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40"/>
        <w:jc w:val="left"/>
        <w:rPr>
          <w:bdr w:val="single" w:sz="2" w:space="1" w:color="000000"/>
        </w:rPr>
      </w:pPr>
      <w:bookmarkStart w:id="0" w:name="d139938d6k.htm"/>
      <w:bookmarkStart w:id="1" w:name="ksd139938d6k"/>
      <w:bookmarkEnd w:id="0"/>
      <w:bookmarkEnd w:id="1"/>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001-40924</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ALGOMA STEEL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105 West Street </w:t>
      </w:r>
    </w:p>
    <w:p>
      <w:pPr>
        <w:pStyle w:val="TextBody"/>
        <w:bidi w:val="0"/>
        <w:spacing w:before="0" w:after="0"/>
        <w:jc w:val="center"/>
        <w:rPr>
          <w:rFonts w:ascii="Times New Roman" w:hAnsi="Times New Roman"/>
          <w:b/>
          <w:sz w:val="20"/>
        </w:rPr>
      </w:pPr>
      <w:r>
        <w:rPr>
          <w:rFonts w:ascii="Times New Roman" w:hAnsi="Times New Roman"/>
          <w:b/>
          <w:sz w:val="20"/>
        </w:rPr>
        <w:t xml:space="preserve">Sault Ste. Marie, Ontario </w:t>
      </w:r>
    </w:p>
    <w:p>
      <w:pPr>
        <w:pStyle w:val="TextBody"/>
        <w:bidi w:val="0"/>
        <w:spacing w:before="0" w:after="0"/>
        <w:jc w:val="center"/>
        <w:rPr>
          <w:rFonts w:ascii="Times New Roman" w:hAnsi="Times New Roman"/>
          <w:b/>
          <w:sz w:val="20"/>
        </w:rPr>
      </w:pPr>
      <w:r>
        <w:rPr>
          <w:rFonts w:ascii="Times New Roman" w:hAnsi="Times New Roman"/>
          <w:b/>
          <w:sz w:val="20"/>
        </w:rPr>
        <w:t xml:space="preserve">P6A 7B4, Canada </w:t>
      </w:r>
    </w:p>
    <w:p>
      <w:pPr>
        <w:pStyle w:val="TextBody"/>
        <w:bidi w:val="0"/>
        <w:spacing w:before="0" w:after="0"/>
        <w:jc w:val="center"/>
        <w:rPr>
          <w:rFonts w:ascii="Times New Roman" w:hAnsi="Times New Roman"/>
          <w:b/>
          <w:sz w:val="20"/>
        </w:rPr>
      </w:pPr>
      <w:r>
        <w:rPr>
          <w:rFonts w:ascii="Times New Roman" w:hAnsi="Times New Roman"/>
          <w:b/>
          <w:sz w:val="20"/>
        </w:rPr>
        <w:t>(705) 945-2351</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8"/>
        <w:gridCol w:w="863"/>
        <w:gridCol w:w="7644"/>
      </w:tblGrid>
      <w:tr>
        <w:trPr/>
        <w:tc>
          <w:tcPr>
            <w:tcW w:w="1698" w:type="dxa"/>
            <w:tcBorders/>
            <w:vAlign w:val="center"/>
          </w:tcPr>
          <w:p>
            <w:pPr>
              <w:pStyle w:val="TableContents"/>
              <w:bidi w:val="0"/>
              <w:spacing w:before="0" w:after="283"/>
              <w:jc w:val="left"/>
              <w:rPr>
                <w:sz w:val="4"/>
                <w:szCs w:val="4"/>
              </w:rPr>
            </w:pPr>
            <w:r>
              <w:rPr>
                <w:sz w:val="4"/>
                <w:szCs w:val="4"/>
              </w:rPr>
            </w:r>
          </w:p>
        </w:tc>
        <w:tc>
          <w:tcPr>
            <w:tcW w:w="863" w:type="dxa"/>
            <w:tcBorders/>
            <w:vAlign w:val="bottom"/>
          </w:tcPr>
          <w:p>
            <w:pPr>
              <w:pStyle w:val="TableContents"/>
              <w:bidi w:val="0"/>
              <w:spacing w:before="0" w:after="283"/>
              <w:jc w:val="left"/>
              <w:rPr>
                <w:sz w:val="4"/>
                <w:szCs w:val="4"/>
              </w:rPr>
            </w:pPr>
            <w:r>
              <w:rPr>
                <w:sz w:val="4"/>
                <w:szCs w:val="4"/>
              </w:rPr>
            </w:r>
          </w:p>
        </w:tc>
        <w:tc>
          <w:tcPr>
            <w:tcW w:w="7644" w:type="dxa"/>
            <w:tcBorders/>
            <w:vAlign w:val="center"/>
          </w:tcPr>
          <w:p>
            <w:pPr>
              <w:pStyle w:val="TableContents"/>
              <w:bidi w:val="0"/>
              <w:spacing w:before="0" w:after="283"/>
              <w:jc w:val="left"/>
              <w:rPr>
                <w:sz w:val="4"/>
                <w:szCs w:val="4"/>
              </w:rPr>
            </w:pPr>
            <w:r>
              <w:rPr>
                <w:sz w:val="4"/>
                <w:szCs w:val="4"/>
              </w:rPr>
            </w:r>
          </w:p>
        </w:tc>
      </w:tr>
      <w:tr>
        <w:trPr/>
        <w:tc>
          <w:tcPr>
            <w:tcW w:w="1698" w:type="dxa"/>
            <w:tcBorders/>
            <w:vAlign w:val="bottom"/>
          </w:tcPr>
          <w:p>
            <w:pPr>
              <w:pStyle w:val="TableContents"/>
              <w:bidi w:val="0"/>
              <w:spacing w:before="0" w:after="283"/>
              <w:jc w:val="center"/>
              <w:rPr>
                <w:b/>
              </w:rPr>
            </w:pPr>
            <w:r>
              <w:rPr>
                <w:b/>
              </w:rPr>
              <w:t>Exhibit Number</w:t>
            </w:r>
          </w:p>
        </w:tc>
        <w:tc>
          <w:tcPr>
            <w:tcW w:w="863" w:type="dxa"/>
            <w:tcBorders/>
            <w:vAlign w:val="bottom"/>
          </w:tcPr>
          <w:p>
            <w:pPr>
              <w:pStyle w:val="TableContents"/>
              <w:bidi w:val="0"/>
              <w:spacing w:before="0" w:after="283"/>
              <w:jc w:val="left"/>
              <w:rPr/>
            </w:pPr>
            <w:r>
              <w:rPr/>
              <w:t>  </w:t>
            </w:r>
          </w:p>
        </w:tc>
        <w:tc>
          <w:tcPr>
            <w:tcW w:w="7644" w:type="dxa"/>
            <w:tcBorders/>
            <w:vAlign w:val="bottom"/>
          </w:tcPr>
          <w:p>
            <w:pPr>
              <w:pStyle w:val="TableContents"/>
              <w:bidi w:val="0"/>
              <w:spacing w:before="0" w:after="283"/>
              <w:jc w:val="left"/>
              <w:rPr>
                <w:b/>
              </w:rPr>
            </w:pPr>
            <w:r>
              <w:rPr>
                <w:b/>
              </w:rPr>
              <w:t>Description</w:t>
            </w:r>
          </w:p>
        </w:tc>
      </w:tr>
      <w:tr>
        <w:trPr>
          <w:trHeight w:val="120" w:hRule="atLeast"/>
        </w:trPr>
        <w:tc>
          <w:tcPr>
            <w:tcW w:w="1698" w:type="dxa"/>
            <w:tcBorders/>
            <w:vAlign w:val="center"/>
          </w:tcPr>
          <w:p>
            <w:pPr>
              <w:pStyle w:val="TableContents"/>
              <w:bidi w:val="0"/>
              <w:spacing w:before="0" w:after="283"/>
              <w:jc w:val="left"/>
              <w:rPr>
                <w:sz w:val="4"/>
                <w:szCs w:val="4"/>
              </w:rPr>
            </w:pPr>
            <w:r>
              <w:rPr>
                <w:sz w:val="4"/>
                <w:szCs w:val="4"/>
              </w:rPr>
            </w:r>
          </w:p>
        </w:tc>
        <w:tc>
          <w:tcPr>
            <w:tcW w:w="8507" w:type="dxa"/>
            <w:gridSpan w:val="2"/>
            <w:tcBorders/>
            <w:vAlign w:val="center"/>
          </w:tcPr>
          <w:p>
            <w:pPr>
              <w:pStyle w:val="TableContents"/>
              <w:bidi w:val="0"/>
              <w:spacing w:before="0" w:after="283"/>
              <w:jc w:val="left"/>
              <w:rPr>
                <w:sz w:val="4"/>
                <w:szCs w:val="4"/>
              </w:rPr>
            </w:pPr>
            <w:r>
              <w:rPr>
                <w:sz w:val="4"/>
                <w:szCs w:val="4"/>
              </w:rPr>
            </w:r>
          </w:p>
        </w:tc>
      </w:tr>
      <w:tr>
        <w:trPr/>
        <w:tc>
          <w:tcPr>
            <w:tcW w:w="1698" w:type="dxa"/>
            <w:tcBorders/>
          </w:tcPr>
          <w:p>
            <w:pPr>
              <w:pStyle w:val="TableContents"/>
              <w:bidi w:val="0"/>
              <w:spacing w:before="0" w:after="283"/>
              <w:jc w:val="left"/>
              <w:rPr/>
            </w:pPr>
            <w:r>
              <w:rPr/>
              <w:t>99.1</w:t>
            </w:r>
          </w:p>
        </w:tc>
        <w:tc>
          <w:tcPr>
            <w:tcW w:w="863" w:type="dxa"/>
            <w:tcBorders/>
            <w:vAlign w:val="bottom"/>
          </w:tcPr>
          <w:p>
            <w:pPr>
              <w:pStyle w:val="TableContents"/>
              <w:bidi w:val="0"/>
              <w:spacing w:before="0" w:after="283"/>
              <w:jc w:val="left"/>
              <w:rPr/>
            </w:pPr>
            <w:r>
              <w:rPr/>
              <w:t>  </w:t>
            </w:r>
          </w:p>
        </w:tc>
        <w:tc>
          <w:tcPr>
            <w:tcW w:w="7644" w:type="dxa"/>
            <w:tcBorders/>
          </w:tcPr>
          <w:p>
            <w:pPr>
              <w:pStyle w:val="TableContents"/>
              <w:bidi w:val="0"/>
              <w:spacing w:before="0" w:after="283"/>
              <w:jc w:val="left"/>
              <w:rPr/>
            </w:pPr>
            <w:hyperlink w:anchor="d139938dex991.htm">
              <w:r>
                <w:rPr>
                  <w:rStyle w:val="InternetLink"/>
                </w:rPr>
                <w:t xml:space="preserve">Press release dated July 16,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6"/>
        <w:gridCol w:w="120"/>
        <w:gridCol w:w="350"/>
        <w:gridCol w:w="120"/>
        <w:gridCol w:w="7119"/>
      </w:tblGrid>
      <w:tr>
        <w:trPr/>
        <w:tc>
          <w:tcPr>
            <w:tcW w:w="24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19" w:type="dxa"/>
            <w:tcBorders/>
            <w:vAlign w:val="center"/>
          </w:tcPr>
          <w:p>
            <w:pPr>
              <w:pStyle w:val="TableContents"/>
              <w:bidi w:val="0"/>
              <w:spacing w:before="0" w:after="283"/>
              <w:jc w:val="left"/>
              <w:rPr>
                <w:sz w:val="4"/>
                <w:szCs w:val="4"/>
              </w:rPr>
            </w:pPr>
            <w:r>
              <w:rPr>
                <w:sz w:val="4"/>
                <w:szCs w:val="4"/>
              </w:rPr>
            </w:r>
          </w:p>
        </w:tc>
      </w:tr>
      <w:tr>
        <w:trPr/>
        <w:tc>
          <w:tcPr>
            <w:tcW w:w="2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89" w:type="dxa"/>
            <w:gridSpan w:val="3"/>
            <w:tcBorders/>
          </w:tcPr>
          <w:p>
            <w:pPr>
              <w:pStyle w:val="TableContents"/>
              <w:bidi w:val="0"/>
              <w:spacing w:before="0" w:after="283"/>
              <w:jc w:val="left"/>
              <w:rPr>
                <w:b/>
              </w:rPr>
            </w:pPr>
            <w:r>
              <w:rPr>
                <w:b/>
              </w:rPr>
              <w:t>Algoma Steel Group Inc.</w:t>
            </w:r>
          </w:p>
        </w:tc>
      </w:tr>
      <w:tr>
        <w:trPr>
          <w:trHeight w:val="240" w:hRule="atLeast"/>
        </w:trPr>
        <w:tc>
          <w:tcPr>
            <w:tcW w:w="2496"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239" w:type="dxa"/>
            <w:gridSpan w:val="2"/>
            <w:tcBorders/>
            <w:vAlign w:val="center"/>
          </w:tcPr>
          <w:p>
            <w:pPr>
              <w:pStyle w:val="TableContents"/>
              <w:bidi w:val="0"/>
              <w:spacing w:before="0" w:after="283"/>
              <w:jc w:val="left"/>
              <w:rPr>
                <w:sz w:val="4"/>
                <w:szCs w:val="4"/>
              </w:rPr>
            </w:pPr>
            <w:r>
              <w:rPr>
                <w:sz w:val="4"/>
                <w:szCs w:val="4"/>
              </w:rPr>
            </w:r>
          </w:p>
        </w:tc>
      </w:tr>
      <w:tr>
        <w:trPr/>
        <w:tc>
          <w:tcPr>
            <w:tcW w:w="2496" w:type="dxa"/>
            <w:tcBorders/>
          </w:tcPr>
          <w:p>
            <w:pPr>
              <w:pStyle w:val="TableContents"/>
              <w:bidi w:val="0"/>
              <w:spacing w:before="0" w:after="283"/>
              <w:jc w:val="left"/>
              <w:rPr/>
            </w:pPr>
            <w:r>
              <w:rPr/>
              <w:t>Date: July 16, 2026</w:t>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71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Naccarato</w:t>
            </w:r>
          </w:p>
        </w:tc>
      </w:tr>
      <w:tr>
        <w:trPr/>
        <w:tc>
          <w:tcPr>
            <w:tcW w:w="2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19" w:type="dxa"/>
            <w:tcBorders/>
          </w:tcPr>
          <w:p>
            <w:pPr>
              <w:pStyle w:val="TableContents"/>
              <w:bidi w:val="0"/>
              <w:spacing w:before="0" w:after="283"/>
              <w:jc w:val="left"/>
              <w:rPr/>
            </w:pPr>
            <w:r>
              <w:rPr/>
              <w:t>Name: John Naccarato</w:t>
            </w:r>
          </w:p>
        </w:tc>
      </w:tr>
      <w:tr>
        <w:trPr/>
        <w:tc>
          <w:tcPr>
            <w:tcW w:w="249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19" w:type="dxa"/>
            <w:tcBorders/>
          </w:tcPr>
          <w:p>
            <w:pPr>
              <w:pStyle w:val="TableContents"/>
              <w:bidi w:val="0"/>
              <w:spacing w:before="0" w:after="283"/>
              <w:jc w:val="left"/>
              <w:rPr/>
            </w:pPr>
            <w:r>
              <w:rPr/>
              <w:t>Title: Vice President Strategy and Chief Legal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Arial" w:hAnsi="Arial"/>
          <w:b/>
          <w:sz w:val="20"/>
        </w:rPr>
      </w:pPr>
      <w:bookmarkStart w:id="2" w:name="d139938dex991.htm"/>
      <w:bookmarkStart w:id="3" w:name="ksd139938dex991"/>
      <w:bookmarkEnd w:id="2"/>
      <w:bookmarkEnd w:id="3"/>
      <w:r>
        <w:rPr>
          <w:rFonts w:ascii="Arial" w:hAnsi="Arial"/>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8"/>
        <w:gridCol w:w="120"/>
        <w:gridCol w:w="4937"/>
      </w:tblGrid>
      <w:tr>
        <w:trPr/>
        <w:tc>
          <w:tcPr>
            <w:tcW w:w="51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7" w:type="dxa"/>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pPr>
            <w:r>
              <w:rPr/>
              <w:drawing>
                <wp:inline distT="0" distB="0" distL="0" distR="0">
                  <wp:extent cx="18859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14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7" w:type="dxa"/>
            <w:tcBorders/>
          </w:tcPr>
          <w:p>
            <w:pPr>
              <w:pStyle w:val="TableContents"/>
              <w:bidi w:val="0"/>
              <w:spacing w:before="0" w:after="283"/>
              <w:jc w:val="right"/>
              <w:rPr/>
            </w:pPr>
            <w:r>
              <w:rPr/>
              <w:drawing>
                <wp:inline distT="0" distB="0" distL="0" distR="0">
                  <wp:extent cx="19526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52625" cy="390525"/>
                          </a:xfrm>
                          <a:prstGeom prst="rect">
                            <a:avLst/>
                          </a:prstGeom>
                        </pic:spPr>
                      </pic:pic>
                    </a:graphicData>
                  </a:graphic>
                </wp:inline>
              </w:drawing>
            </w:r>
            <w:r>
              <w:rPr/>
              <w:t xml:space="preserve"> </w:t>
            </w:r>
          </w:p>
        </w:tc>
      </w:tr>
    </w:tbl>
    <w:p>
      <w:pPr>
        <w:pStyle w:val="TextBody"/>
        <w:bidi w:val="0"/>
        <w:spacing w:before="720" w:after="0"/>
        <w:jc w:val="left"/>
        <w:rPr>
          <w:rFonts w:ascii="Arial" w:hAnsi="Arial"/>
          <w:sz w:val="22"/>
        </w:rPr>
      </w:pPr>
      <w:r>
        <w:rPr>
          <w:rFonts w:ascii="Arial" w:hAnsi="Arial"/>
          <w:sz w:val="22"/>
        </w:rPr>
        <w:t xml:space="preserve">MEDIA RELEASE </w:t>
      </w:r>
    </w:p>
    <w:p>
      <w:pPr>
        <w:pStyle w:val="TextBody"/>
        <w:bidi w:val="0"/>
        <w:spacing w:before="0" w:after="0"/>
        <w:jc w:val="left"/>
        <w:rPr>
          <w:rFonts w:ascii="Arial" w:hAnsi="Arial"/>
          <w:sz w:val="22"/>
        </w:rPr>
      </w:pPr>
      <w:r>
        <w:rPr>
          <w:rFonts w:ascii="Arial" w:hAnsi="Arial"/>
          <w:sz w:val="22"/>
        </w:rPr>
        <w:t xml:space="preserve">July 16, 2026 </w:t>
      </w:r>
    </w:p>
    <w:p>
      <w:pPr>
        <w:pStyle w:val="TextBody"/>
        <w:bidi w:val="0"/>
        <w:spacing w:before="240" w:after="0"/>
        <w:jc w:val="center"/>
        <w:rPr>
          <w:rFonts w:ascii="Arial" w:hAnsi="Arial"/>
          <w:b/>
          <w:sz w:val="28"/>
        </w:rPr>
      </w:pPr>
      <w:r>
        <w:rPr>
          <w:rFonts w:ascii="Arial" w:hAnsi="Arial"/>
          <w:b/>
          <w:sz w:val="28"/>
        </w:rPr>
        <w:t xml:space="preserve">Algoma Steel Group Inc. to Announce 2026 Second Quarter Results July 29, 2026 </w:t>
      </w:r>
    </w:p>
    <w:p>
      <w:pPr>
        <w:pStyle w:val="TextBody"/>
        <w:bidi w:val="0"/>
        <w:spacing w:before="240" w:after="0"/>
        <w:jc w:val="left"/>
        <w:rPr>
          <w:rFonts w:ascii="Arial" w:hAnsi="Arial"/>
          <w:sz w:val="22"/>
        </w:rPr>
      </w:pPr>
      <w:r>
        <w:rPr>
          <w:rFonts w:ascii="Arial" w:hAnsi="Arial"/>
          <w:sz w:val="22"/>
        </w:rPr>
        <w:t xml:space="preserve">SAULT STE. MARIE, Ontario, July 16, 2026 - Algoma Steel Group Inc. (NASDAQ: ASTL; TSX: ASTL) (“Algoma” or “the Company”), a leading Canadian producer of steel plate and hot rolled sheet products, announced today that the Company will release its 2026 second quarter financial results after the market closes on Wednesday, July 29, 2026. A webcast and conference call will be held on Thursday, July 30, 2026 at 11:00 a.m. Eastern Time to review the Company’s results, discuss recent events, and conduct a question-and-answer session. </w:t>
      </w:r>
    </w:p>
    <w:p>
      <w:pPr>
        <w:pStyle w:val="TextBody"/>
        <w:bidi w:val="0"/>
        <w:spacing w:before="240" w:after="0"/>
        <w:jc w:val="left"/>
        <w:rPr>
          <w:rFonts w:ascii="Arial" w:hAnsi="Arial"/>
          <w:sz w:val="22"/>
        </w:rPr>
      </w:pPr>
      <w:r>
        <w:rPr>
          <w:rFonts w:ascii="Arial" w:hAnsi="Arial"/>
          <w:sz w:val="22"/>
        </w:rPr>
        <w:t xml:space="preserve">The live webcast and archived replay of the conference call can be accessed on the Investors section of the Company’s website at </w:t>
      </w:r>
      <w:r>
        <w:rPr>
          <w:rFonts w:ascii="Arial" w:hAnsi="Arial"/>
          <w:color w:val="0072A5"/>
          <w:sz w:val="22"/>
          <w:u w:val="single"/>
        </w:rPr>
        <w:t>www.ir.algoma.com</w:t>
      </w:r>
      <w:r>
        <w:rPr>
          <w:rFonts w:ascii="Arial" w:hAnsi="Arial"/>
          <w:sz w:val="22"/>
        </w:rPr>
        <w:t xml:space="preserve">. For those unable to access the webcast, the conference call will be accessible domestically or internationally by dialing 877-425-9470 or 201-389-0878, respectively. Upon dialing in, please request to join the Algoma Steel Group Inc. Second Quarter 2026 Earnings Call. To access the replay of the call, dial 844-512-2921 (domestic) or 412-317-6671 (international) with passcode 13761609. </w:t>
      </w:r>
    </w:p>
    <w:p>
      <w:pPr>
        <w:pStyle w:val="TextBody"/>
        <w:bidi w:val="0"/>
        <w:spacing w:before="360" w:after="0"/>
        <w:jc w:val="left"/>
        <w:rPr>
          <w:rFonts w:ascii="Arial" w:hAnsi="Arial"/>
          <w:b/>
          <w:sz w:val="22"/>
        </w:rPr>
      </w:pPr>
      <w:r>
        <w:rPr>
          <w:rFonts w:ascii="Arial" w:hAnsi="Arial"/>
          <w:b/>
          <w:sz w:val="22"/>
        </w:rPr>
        <w:t xml:space="preserve">About Algoma Steel </w:t>
      </w:r>
    </w:p>
    <w:p>
      <w:pPr>
        <w:pStyle w:val="TextBody"/>
        <w:bidi w:val="0"/>
        <w:spacing w:before="360" w:after="0"/>
        <w:jc w:val="left"/>
        <w:rPr>
          <w:rFonts w:ascii="Arial" w:hAnsi="Arial"/>
          <w:sz w:val="22"/>
        </w:rPr>
      </w:pPr>
      <w:r>
        <w:rPr>
          <w:rFonts w:ascii="Arial" w:hAnsi="Arial"/>
          <w:sz w:val="22"/>
        </w:rPr>
        <w:t xml:space="preserve">Based in Sault Ste. Marie, Ontario, Algoma is a leading Canadian producer of high-quality plate and sheet steel products, proudly supporting critical sectors including energy, defence, automotive, shipbuilding, and infrastructure. Guided by a purpose to build better lives and a greener future, Algoma is shaping the next generation of sustainable steelmaking in Canada. </w:t>
      </w:r>
    </w:p>
    <w:p>
      <w:pPr>
        <w:pStyle w:val="TextBody"/>
        <w:bidi w:val="0"/>
        <w:spacing w:before="240" w:after="0"/>
        <w:jc w:val="left"/>
        <w:rPr>
          <w:rFonts w:ascii="Arial" w:hAnsi="Arial"/>
          <w:sz w:val="22"/>
        </w:rPr>
      </w:pPr>
      <w:r>
        <w:rPr>
          <w:rFonts w:ascii="Arial" w:hAnsi="Arial"/>
          <w:sz w:val="22"/>
        </w:rPr>
        <w:t xml:space="preserve">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 </w:t>
      </w:r>
    </w:p>
    <w:p>
      <w:pPr>
        <w:pStyle w:val="TextBody"/>
        <w:bidi w:val="0"/>
        <w:spacing w:before="0" w:after="0"/>
        <w:jc w:val="left"/>
        <w:rPr/>
      </w:pPr>
      <w:r>
        <w:rPr/>
        <w:t> </w:t>
      </w:r>
    </w:p>
    <w:tbl>
      <w:tblPr>
        <w:tblW w:w="14250" w:type="dxa"/>
        <w:jc w:val="center"/>
        <w:tblInd w:w="0" w:type="dxa"/>
        <w:tblLayout w:type="fixed"/>
        <w:tblCellMar>
          <w:top w:w="0" w:type="dxa"/>
          <w:left w:w="0" w:type="dxa"/>
          <w:bottom w:w="0" w:type="dxa"/>
          <w:right w:w="0" w:type="dxa"/>
        </w:tblCellMar>
      </w:tblPr>
      <w:tblGrid>
        <w:gridCol w:w="14250"/>
      </w:tblGrid>
      <w:tr>
        <w:trPr/>
        <w:tc>
          <w:tcPr>
            <w:tcW w:w="14250" w:type="dxa"/>
            <w:tcBorders/>
            <w:vAlign w:val="center"/>
          </w:tcPr>
          <w:p>
            <w:pPr>
              <w:pStyle w:val="TableContents"/>
              <w:bidi w:val="0"/>
              <w:spacing w:before="0" w:after="283"/>
              <w:jc w:val="left"/>
              <w:rPr>
                <w:sz w:val="4"/>
                <w:szCs w:val="4"/>
              </w:rPr>
            </w:pPr>
            <w:r>
              <w:rPr>
                <w:sz w:val="4"/>
                <w:szCs w:val="4"/>
              </w:rPr>
            </w:r>
          </w:p>
        </w:tc>
      </w:tr>
      <w:tr>
        <w:trPr/>
        <w:tc>
          <w:tcPr>
            <w:tcW w:w="14250" w:type="dxa"/>
            <w:tcBorders/>
          </w:tcPr>
          <w:p>
            <w:pPr>
              <w:pStyle w:val="TableContents"/>
              <w:bidi w:val="0"/>
              <w:spacing w:before="0" w:after="283"/>
              <w:jc w:val="left"/>
              <w:rPr/>
            </w:pPr>
            <w:r>
              <w:rPr/>
              <w:drawing>
                <wp:inline distT="0" distB="0" distL="0" distR="0">
                  <wp:extent cx="904875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495300"/>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48"/>
        <w:gridCol w:w="120"/>
        <w:gridCol w:w="4937"/>
      </w:tblGrid>
      <w:tr>
        <w:trPr/>
        <w:tc>
          <w:tcPr>
            <w:tcW w:w="51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37" w:type="dxa"/>
            <w:tcBorders/>
            <w:vAlign w:val="center"/>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283"/>
              <w:jc w:val="left"/>
              <w:rPr/>
            </w:pPr>
            <w:r>
              <w:rPr/>
              <w:drawing>
                <wp:inline distT="0" distB="0" distL="0" distR="0">
                  <wp:extent cx="188595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85950" cy="514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937" w:type="dxa"/>
            <w:tcBorders/>
          </w:tcPr>
          <w:p>
            <w:pPr>
              <w:pStyle w:val="TableContents"/>
              <w:bidi w:val="0"/>
              <w:spacing w:before="0" w:after="283"/>
              <w:jc w:val="right"/>
              <w:rPr/>
            </w:pPr>
            <w:r>
              <w:rPr/>
              <w:drawing>
                <wp:inline distT="0" distB="0" distL="0" distR="0">
                  <wp:extent cx="19526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52625" cy="39052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720" w:after="0"/>
        <w:jc w:val="left"/>
        <w:rPr>
          <w:rFonts w:ascii="Arial" w:hAnsi="Arial"/>
          <w:sz w:val="22"/>
        </w:rPr>
      </w:pPr>
      <w:r>
        <w:rPr>
          <w:rFonts w:ascii="Arial" w:hAnsi="Arial"/>
          <w:sz w:val="22"/>
        </w:rPr>
        <w:t xml:space="preserve">This new chapter also introduces Volta, the brand for all steel produced through Algoma’s EAF technology. Volta delivers the same trusted performance customers rely on, with significantly lower emissions—produced safely, sustainably, and proudly in Canada. </w:t>
      </w:r>
    </w:p>
    <w:p>
      <w:pPr>
        <w:pStyle w:val="TextBody"/>
        <w:bidi w:val="0"/>
        <w:spacing w:before="240" w:after="0"/>
        <w:jc w:val="left"/>
        <w:rPr>
          <w:rFonts w:ascii="Arial" w:hAnsi="Arial"/>
          <w:sz w:val="22"/>
        </w:rPr>
      </w:pPr>
      <w:r>
        <w:rPr>
          <w:rFonts w:ascii="Arial" w:hAnsi="Arial"/>
          <w:sz w:val="22"/>
        </w:rPr>
        <w:t xml:space="preserve">Building on more than a century of steelmaking expertise, Algoma continues to invest in its people, processes, and technologies to strengthen domestic supply chains and deliver responsible, Canadian-made steel that helps build a better tomorrow. </w:t>
      </w:r>
    </w:p>
    <w:p>
      <w:pPr>
        <w:pStyle w:val="TextBody"/>
        <w:bidi w:val="0"/>
        <w:spacing w:before="360" w:after="0"/>
        <w:jc w:val="left"/>
        <w:rPr>
          <w:rFonts w:ascii="Arial" w:hAnsi="Arial"/>
          <w:b/>
          <w:sz w:val="22"/>
        </w:rPr>
      </w:pPr>
      <w:r>
        <w:rPr>
          <w:rFonts w:ascii="Arial" w:hAnsi="Arial"/>
          <w:b/>
          <w:sz w:val="22"/>
        </w:rPr>
        <w:t xml:space="preserve">Cautionary Statement Regarding Forward-Looking Statements </w:t>
      </w:r>
    </w:p>
    <w:p>
      <w:pPr>
        <w:pStyle w:val="TextBody"/>
        <w:bidi w:val="0"/>
        <w:spacing w:before="360" w:after="0"/>
        <w:jc w:val="left"/>
        <w:rPr>
          <w:rFonts w:ascii="Arial" w:hAnsi="Arial"/>
          <w:sz w:val="22"/>
        </w:rPr>
      </w:pPr>
      <w:r>
        <w:rPr>
          <w:rFonts w:ascii="Arial" w:hAnsi="Arial"/>
          <w:sz w:val="22"/>
        </w:rPr>
        <w:t xml:space="preserve">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the timing for the release of its financial results and the anticipated impact of Algoma’s EAF project on carbon emissions. These forward-looking statements generally are identified by the words “believe,” “project,” “expect,” “anticipate,” “estimate,” “intend,” “strategy,” “future,” “opportunity,” “plan,” “design,” “pipeline,”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Readers should consider the risks and uncertainties set forth in the section entitled “Risk Factors” and “Cautionary Note Regarding Forward-Looking Information” in Algoma’s annual information form, filed by Algoma with the Ontario Securities Commission (the “OSC”) (available under the company’s SEDAR+ profile at www.sedarplus.ca) and with the SEC (available at www.sec.gov) as part of its annual report on Form 40-F, as well as in Algoma’s quarterly and current reports filed with the OSC and SEC. Forward-looking statements speak only as of the date they are made. Readers are cautioned not to put undue reliance on forward-looking statements, and Algoma assumes no obligation and does not intend to update or revise these forward-looking statements, whether as a result of new information, future events, or otherwise. </w:t>
      </w:r>
    </w:p>
    <w:p>
      <w:pPr>
        <w:pStyle w:val="TextBody"/>
        <w:bidi w:val="0"/>
        <w:spacing w:before="240" w:after="0"/>
        <w:jc w:val="left"/>
        <w:rPr>
          <w:rFonts w:ascii="Arial" w:hAnsi="Arial"/>
          <w:sz w:val="22"/>
        </w:rPr>
      </w:pPr>
      <w:r>
        <w:rPr>
          <w:rFonts w:ascii="Arial" w:hAnsi="Arial"/>
          <w:sz w:val="22"/>
        </w:rPr>
        <w:t xml:space="preserve">For more information, please contact: </w:t>
      </w:r>
    </w:p>
    <w:p>
      <w:pPr>
        <w:pStyle w:val="TextBody"/>
        <w:bidi w:val="0"/>
        <w:spacing w:before="360" w:after="0"/>
        <w:jc w:val="left"/>
        <w:rPr>
          <w:rFonts w:ascii="Arial" w:hAnsi="Arial"/>
          <w:b/>
          <w:sz w:val="22"/>
        </w:rPr>
      </w:pPr>
      <w:r>
        <w:rPr>
          <w:rFonts w:ascii="Arial" w:hAnsi="Arial"/>
          <w:b/>
          <w:sz w:val="22"/>
        </w:rPr>
        <w:t xml:space="preserve">Michael Moraca </w:t>
      </w:r>
    </w:p>
    <w:p>
      <w:pPr>
        <w:pStyle w:val="TextBody"/>
        <w:bidi w:val="0"/>
        <w:spacing w:before="0" w:after="0"/>
        <w:jc w:val="left"/>
        <w:rPr>
          <w:rFonts w:ascii="Arial" w:hAnsi="Arial"/>
          <w:sz w:val="22"/>
        </w:rPr>
      </w:pPr>
      <w:r>
        <w:rPr>
          <w:rFonts w:ascii="Arial" w:hAnsi="Arial"/>
          <w:sz w:val="22"/>
        </w:rPr>
        <w:t xml:space="preserve">Chief Financial Officer </w:t>
      </w:r>
    </w:p>
    <w:p>
      <w:pPr>
        <w:pStyle w:val="TextBody"/>
        <w:bidi w:val="0"/>
        <w:spacing w:before="0" w:after="0"/>
        <w:jc w:val="left"/>
        <w:rPr>
          <w:rFonts w:ascii="Arial" w:hAnsi="Arial"/>
          <w:sz w:val="22"/>
        </w:rPr>
      </w:pPr>
      <w:r>
        <w:rPr>
          <w:rFonts w:ascii="Arial" w:hAnsi="Arial"/>
          <w:sz w:val="22"/>
        </w:rPr>
        <w:t xml:space="preserve">Algoma Steel Group Inc. </w:t>
      </w:r>
    </w:p>
    <w:p>
      <w:pPr>
        <w:pStyle w:val="TextBody"/>
        <w:bidi w:val="0"/>
        <w:spacing w:before="0" w:after="0"/>
        <w:jc w:val="left"/>
        <w:rPr>
          <w:rFonts w:ascii="Arial" w:hAnsi="Arial"/>
          <w:sz w:val="22"/>
        </w:rPr>
      </w:pPr>
      <w:r>
        <w:rPr>
          <w:rFonts w:ascii="Arial" w:hAnsi="Arial"/>
          <w:sz w:val="22"/>
        </w:rPr>
        <w:t xml:space="preserve">Phone: 705.945.3300 </w:t>
      </w:r>
    </w:p>
    <w:p>
      <w:pPr>
        <w:pStyle w:val="TextBody"/>
        <w:bidi w:val="0"/>
        <w:spacing w:before="0" w:after="0"/>
        <w:jc w:val="left"/>
        <w:rPr>
          <w:rFonts w:ascii="Arial" w:hAnsi="Arial"/>
          <w:sz w:val="22"/>
        </w:rPr>
      </w:pPr>
      <w:r>
        <w:rPr>
          <w:rFonts w:ascii="Arial" w:hAnsi="Arial"/>
          <w:sz w:val="22"/>
        </w:rPr>
        <w:t xml:space="preserve">E-mail: </w:t>
      </w:r>
      <w:r>
        <w:rPr>
          <w:rFonts w:ascii="Arial" w:hAnsi="Arial"/>
          <w:color w:val="0072A5"/>
          <w:sz w:val="22"/>
          <w:u w:val="single"/>
        </w:rPr>
        <w:t>IR@algoma.com</w:t>
      </w:r>
      <w:r>
        <w:rPr>
          <w:rFonts w:ascii="Arial" w:hAnsi="Arial"/>
          <w:sz w:val="22"/>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4250" w:type="dxa"/>
        <w:jc w:val="center"/>
        <w:tblInd w:w="0" w:type="dxa"/>
        <w:tblLayout w:type="fixed"/>
        <w:tblCellMar>
          <w:top w:w="0" w:type="dxa"/>
          <w:left w:w="0" w:type="dxa"/>
          <w:bottom w:w="0" w:type="dxa"/>
          <w:right w:w="0" w:type="dxa"/>
        </w:tblCellMar>
      </w:tblPr>
      <w:tblGrid>
        <w:gridCol w:w="14250"/>
      </w:tblGrid>
      <w:tr>
        <w:trPr/>
        <w:tc>
          <w:tcPr>
            <w:tcW w:w="14250" w:type="dxa"/>
            <w:tcBorders/>
            <w:vAlign w:val="center"/>
          </w:tcPr>
          <w:p>
            <w:pPr>
              <w:pStyle w:val="TableContents"/>
              <w:bidi w:val="0"/>
              <w:spacing w:before="0" w:after="283"/>
              <w:jc w:val="left"/>
              <w:rPr>
                <w:sz w:val="4"/>
                <w:szCs w:val="4"/>
              </w:rPr>
            </w:pPr>
            <w:r>
              <w:rPr>
                <w:sz w:val="4"/>
                <w:szCs w:val="4"/>
              </w:rPr>
            </w:r>
          </w:p>
        </w:tc>
      </w:tr>
      <w:tr>
        <w:trPr/>
        <w:tc>
          <w:tcPr>
            <w:tcW w:w="14250" w:type="dxa"/>
            <w:tcBorders/>
          </w:tcPr>
          <w:p>
            <w:pPr>
              <w:pStyle w:val="TableContents"/>
              <w:bidi w:val="0"/>
              <w:spacing w:before="0" w:after="283"/>
              <w:jc w:val="left"/>
              <w:rPr/>
            </w:pPr>
            <w:r>
              <w:rPr/>
              <w:drawing>
                <wp:inline distT="0" distB="0" distL="0" distR="0">
                  <wp:extent cx="904875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495300"/>
                          </a:xfrm>
                          <a:prstGeom prst="rect">
                            <a:avLst/>
                          </a:prstGeom>
                        </pic:spPr>
                      </pic:pic>
                    </a:graphicData>
                  </a:graphic>
                </wp:inline>
              </w:drawing>
            </w:r>
            <w:r>
              <w:rPr/>
              <w:t xml:space="preserv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824</Words>
  <Characters>4866</Characters>
  <CharactersWithSpaces>5728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