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507d6k.htm"/>
      <w:bookmarkStart w:id="1" w:name="ksd14450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001-40924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 xml:space="preserve">(705) 945-2351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Exhibits 99.2 and 99.3 of this Form 6-K are incorporated by reference into the Registration Statement on Form S-8 (Commission File No. 333-264063) and the Registration Statement on Form F-10 (Commission File No. 333-288748) of the Registrant, Algoma Steel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1"/>
        <w:gridCol w:w="509"/>
        <w:gridCol w:w="8815"/>
      </w:tblGrid>
      <w:tr>
        <w:trPr/>
        <w:tc>
          <w:tcPr>
            <w:tcW w:w="881"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815"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bottom"/>
          </w:tcPr>
          <w:p>
            <w:pPr>
              <w:pStyle w:val="TableContents"/>
              <w:bidi w:val="0"/>
              <w:spacing w:before="0" w:after="283"/>
              <w:jc w:val="center"/>
              <w:rPr>
                <w:b/>
              </w:rPr>
            </w:pPr>
            <w:r>
              <w:rPr>
                <w:b/>
              </w:rPr>
              <w:t>Exhibit</w:t>
              <w:br/>
              <w:t>Number</w:t>
            </w:r>
          </w:p>
        </w:tc>
        <w:tc>
          <w:tcPr>
            <w:tcW w:w="509"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center"/>
              <w:rPr>
                <w:b/>
              </w:rPr>
            </w:pPr>
            <w:r>
              <w:rPr>
                <w:b/>
              </w:rPr>
              <w:t>Description</w:t>
            </w:r>
          </w:p>
        </w:tc>
      </w:tr>
      <w:tr>
        <w:trPr>
          <w:trHeight w:val="120" w:hRule="atLeast"/>
        </w:trPr>
        <w:tc>
          <w:tcPr>
            <w:tcW w:w="881" w:type="dxa"/>
            <w:tcBorders/>
            <w:vAlign w:val="center"/>
          </w:tcPr>
          <w:p>
            <w:pPr>
              <w:pStyle w:val="TableContents"/>
              <w:bidi w:val="0"/>
              <w:spacing w:before="0" w:after="283"/>
              <w:jc w:val="left"/>
              <w:rPr>
                <w:sz w:val="4"/>
                <w:szCs w:val="4"/>
              </w:rPr>
            </w:pPr>
            <w:r>
              <w:rPr>
                <w:sz w:val="4"/>
                <w:szCs w:val="4"/>
              </w:rPr>
            </w:r>
          </w:p>
        </w:tc>
        <w:tc>
          <w:tcPr>
            <w:tcW w:w="9324"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99.1</w:t>
            </w:r>
          </w:p>
        </w:tc>
        <w:tc>
          <w:tcPr>
            <w:tcW w:w="509"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w:anchor="d144507dex991.htm">
              <w:r>
                <w:rPr>
                  <w:rStyle w:val="InternetLink"/>
                </w:rPr>
                <w:t xml:space="preserve">Press release dated May 12, 2026. </w:t>
              </w:r>
            </w:hyperlink>
          </w:p>
        </w:tc>
      </w:tr>
      <w:tr>
        <w:trPr>
          <w:trHeight w:val="120" w:hRule="atLeast"/>
        </w:trPr>
        <w:tc>
          <w:tcPr>
            <w:tcW w:w="881" w:type="dxa"/>
            <w:tcBorders/>
            <w:vAlign w:val="center"/>
          </w:tcPr>
          <w:p>
            <w:pPr>
              <w:pStyle w:val="TableContents"/>
              <w:bidi w:val="0"/>
              <w:spacing w:before="0" w:after="283"/>
              <w:jc w:val="left"/>
              <w:rPr>
                <w:sz w:val="4"/>
                <w:szCs w:val="4"/>
              </w:rPr>
            </w:pPr>
            <w:r>
              <w:rPr>
                <w:sz w:val="4"/>
                <w:szCs w:val="4"/>
              </w:rPr>
            </w:r>
          </w:p>
        </w:tc>
        <w:tc>
          <w:tcPr>
            <w:tcW w:w="9324"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99.2</w:t>
            </w:r>
          </w:p>
        </w:tc>
        <w:tc>
          <w:tcPr>
            <w:tcW w:w="509"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w:anchor="d144507dex992.htm">
              <w:r>
                <w:rPr>
                  <w:rStyle w:val="InternetLink"/>
                </w:rPr>
                <w:t xml:space="preserve">Management’s discussion and analysis for the three months ended March 31, 2026. </w:t>
              </w:r>
            </w:hyperlink>
          </w:p>
        </w:tc>
      </w:tr>
      <w:tr>
        <w:trPr>
          <w:trHeight w:val="120" w:hRule="atLeast"/>
        </w:trPr>
        <w:tc>
          <w:tcPr>
            <w:tcW w:w="881" w:type="dxa"/>
            <w:tcBorders/>
            <w:vAlign w:val="center"/>
          </w:tcPr>
          <w:p>
            <w:pPr>
              <w:pStyle w:val="TableContents"/>
              <w:bidi w:val="0"/>
              <w:spacing w:before="0" w:after="283"/>
              <w:jc w:val="left"/>
              <w:rPr>
                <w:sz w:val="4"/>
                <w:szCs w:val="4"/>
              </w:rPr>
            </w:pPr>
            <w:r>
              <w:rPr>
                <w:sz w:val="4"/>
                <w:szCs w:val="4"/>
              </w:rPr>
            </w:r>
          </w:p>
        </w:tc>
        <w:tc>
          <w:tcPr>
            <w:tcW w:w="9324"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99.3</w:t>
            </w:r>
          </w:p>
        </w:tc>
        <w:tc>
          <w:tcPr>
            <w:tcW w:w="509" w:type="dxa"/>
            <w:tcBorders/>
            <w:vAlign w:val="bottom"/>
          </w:tcPr>
          <w:p>
            <w:pPr>
              <w:pStyle w:val="TableContents"/>
              <w:bidi w:val="0"/>
              <w:spacing w:before="0" w:after="283"/>
              <w:jc w:val="left"/>
              <w:rPr/>
            </w:pPr>
            <w:r>
              <w:rPr/>
              <w:t>  </w:t>
            </w:r>
          </w:p>
        </w:tc>
        <w:tc>
          <w:tcPr>
            <w:tcW w:w="8815" w:type="dxa"/>
            <w:tcBorders/>
          </w:tcPr>
          <w:p>
            <w:pPr>
              <w:pStyle w:val="TableContents"/>
              <w:bidi w:val="0"/>
              <w:spacing w:before="0" w:after="283"/>
              <w:jc w:val="left"/>
              <w:rPr/>
            </w:pPr>
            <w:hyperlink w:anchor="d144507dex993.htm">
              <w:r>
                <w:rPr>
                  <w:rStyle w:val="InternetLink"/>
                </w:rPr>
                <w:t xml:space="preserve">Condensed interim consolidated financial statements for the three months ended March 31,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3"/>
        <w:gridCol w:w="103"/>
        <w:gridCol w:w="404"/>
        <w:gridCol w:w="103"/>
        <w:gridCol w:w="317"/>
        <w:gridCol w:w="103"/>
        <w:gridCol w:w="4602"/>
      </w:tblGrid>
      <w:tr>
        <w:trPr/>
        <w:tc>
          <w:tcPr>
            <w:tcW w:w="457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457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22" w:type="dxa"/>
            <w:gridSpan w:val="3"/>
            <w:tcBorders/>
            <w:vAlign w:val="bottom"/>
          </w:tcPr>
          <w:p>
            <w:pPr>
              <w:pStyle w:val="TableContents"/>
              <w:bidi w:val="0"/>
              <w:spacing w:before="0" w:after="283"/>
              <w:jc w:val="left"/>
              <w:rPr>
                <w:b/>
              </w:rPr>
            </w:pPr>
            <w:r>
              <w:rPr>
                <w:b/>
              </w:rPr>
              <w:t>Algoma Steel Group Inc.</w:t>
            </w:r>
          </w:p>
        </w:tc>
      </w:tr>
      <w:tr>
        <w:trPr>
          <w:trHeight w:val="240" w:hRule="atLeast"/>
        </w:trPr>
        <w:tc>
          <w:tcPr>
            <w:tcW w:w="4573"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3" w:type="dxa"/>
            <w:tcBorders/>
            <w:vAlign w:val="bottom"/>
          </w:tcPr>
          <w:p>
            <w:pPr>
              <w:pStyle w:val="TableContents"/>
              <w:bidi w:val="0"/>
              <w:spacing w:before="0" w:after="283"/>
              <w:jc w:val="left"/>
              <w:rPr/>
            </w:pPr>
            <w:r>
              <w:rPr/>
              <w:t>Date: May 12, 2026</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457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2" w:type="dxa"/>
            <w:tcBorders/>
            <w:vAlign w:val="bottom"/>
          </w:tcPr>
          <w:p>
            <w:pPr>
              <w:pStyle w:val="TableContents"/>
              <w:bidi w:val="0"/>
              <w:spacing w:before="0" w:after="283"/>
              <w:jc w:val="left"/>
              <w:rPr/>
            </w:pPr>
            <w:r>
              <w:rPr/>
              <w:t>Name: John Naccarato</w:t>
            </w:r>
          </w:p>
        </w:tc>
      </w:tr>
      <w:tr>
        <w:trPr/>
        <w:tc>
          <w:tcPr>
            <w:tcW w:w="457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2" w:type="dxa"/>
            <w:tcBorders/>
            <w:vAlign w:val="bottom"/>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44507dex991.htm"/>
      <w:bookmarkStart w:id="3" w:name="ksd144507dex991"/>
      <w:bookmarkEnd w:id="2"/>
      <w:bookmarkEnd w:id="3"/>
      <w:r>
        <w:rPr>
          <w:rFonts w:ascii="Times New Roman" w:hAnsi="Times New Roman"/>
          <w:b/>
          <w:sz w:val="20"/>
        </w:rPr>
        <w:t xml:space="preserve">Exhibit 99.1 </w:t>
      </w:r>
      <w:r>
        <w:br w:type="page"/>
      </w:r>
    </w:p>
    <w:p>
      <w:pPr>
        <w:pStyle w:val="TextBody"/>
        <w:bidi w:val="0"/>
        <w:spacing w:before="0" w:after="0"/>
        <w:jc w:val="center"/>
        <w:rPr/>
      </w:pPr>
      <w:r>
        <w:rPr/>
        <w:drawing>
          <wp:inline distT="0" distB="0" distL="0" distR="0">
            <wp:extent cx="72009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MEDIA RELEASE </w:t>
      </w:r>
    </w:p>
    <w:p>
      <w:pPr>
        <w:pStyle w:val="TextBody"/>
        <w:bidi w:val="0"/>
        <w:spacing w:before="0" w:after="0"/>
        <w:jc w:val="left"/>
        <w:rPr>
          <w:rFonts w:ascii="Times New Roman" w:hAnsi="Times New Roman"/>
          <w:sz w:val="20"/>
        </w:rPr>
      </w:pPr>
      <w:r>
        <w:rPr>
          <w:rFonts w:ascii="Times New Roman" w:hAnsi="Times New Roman"/>
          <w:sz w:val="20"/>
        </w:rPr>
        <w:t xml:space="preserve">May 12, 2026 </w:t>
      </w:r>
    </w:p>
    <w:p>
      <w:pPr>
        <w:pStyle w:val="TextBody"/>
        <w:bidi w:val="0"/>
        <w:spacing w:before="240" w:after="0"/>
        <w:jc w:val="center"/>
        <w:rPr>
          <w:rFonts w:ascii="Times New Roman" w:hAnsi="Times New Roman"/>
          <w:b/>
          <w:sz w:val="20"/>
        </w:rPr>
      </w:pPr>
      <w:r>
        <w:rPr>
          <w:rFonts w:ascii="Times New Roman" w:hAnsi="Times New Roman"/>
          <w:b/>
          <w:sz w:val="20"/>
        </w:rPr>
        <w:t xml:space="preserve">Algoma Steel Group Inc. Reports Financial Results for the Three Months Ended March 31, 2026 </w:t>
      </w:r>
    </w:p>
    <w:p>
      <w:pPr>
        <w:pStyle w:val="TextBody"/>
        <w:bidi w:val="0"/>
        <w:spacing w:before="240" w:after="0"/>
        <w:jc w:val="center"/>
        <w:rPr>
          <w:rFonts w:ascii="Times New Roman" w:hAnsi="Times New Roman"/>
          <w:b/>
          <w:i/>
          <w:sz w:val="20"/>
        </w:rPr>
      </w:pPr>
      <w:r>
        <w:rPr>
          <w:rFonts w:ascii="Times New Roman" w:hAnsi="Times New Roman"/>
          <w:b/>
          <w:i/>
          <w:sz w:val="20"/>
        </w:rPr>
        <w:t xml:space="preserve">EAF Unit 1 Fully Operational; Transition from Blast Furnace/Basic Oxygen Furnace to Electric Arc Furnace Steelmaking Complete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Record Plate Sales of 116,000 NT with Further Upside Expected as Plate-First Strategy Scales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Adjusted EBITDA in line with Previously Disclosed Guidance </w:t>
      </w:r>
    </w:p>
    <w:p>
      <w:pPr>
        <w:pStyle w:val="TextBody"/>
        <w:bidi w:val="0"/>
        <w:spacing w:before="240" w:after="0"/>
        <w:jc w:val="both"/>
        <w:rPr>
          <w:rFonts w:ascii="Times New Roman" w:hAnsi="Times New Roman"/>
          <w:sz w:val="20"/>
        </w:rPr>
      </w:pPr>
      <w:r>
        <w:rPr>
          <w:rFonts w:ascii="Times New Roman" w:hAnsi="Times New Roman"/>
          <w:b/>
          <w:sz w:val="20"/>
        </w:rPr>
        <w:t>SAULT STE. MARIE, ONTARIO (May 12, 2026)</w:t>
      </w:r>
      <w:r>
        <w:rPr>
          <w:rFonts w:ascii="Times New Roman" w:hAnsi="Times New Roman"/>
          <w:sz w:val="20"/>
        </w:rPr>
        <w:t xml:space="preserve"> – Algoma Steel Group Inc. (NASDAQ: ASTL; TSX: ASTL) (“Algoma” or “the Company”), a leading Canadian producer of steel plate and hot rolled sheet products, today announced results for the three month period ended March 31, 2026.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specified, all amounts are in Canadian dollars.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Highlights and First Quarter 2026 to First Quarter 2025 Comparisons </w:t>
      </w:r>
    </w:p>
    <w:p>
      <w:pPr>
        <w:pStyle w:val="TextBody"/>
        <w:bidi w:val="0"/>
        <w:spacing w:before="120" w:after="0"/>
        <w:jc w:val="both"/>
        <w:rPr>
          <w:rFonts w:ascii="Times New Roman" w:hAnsi="Times New Roman"/>
          <w:sz w:val="20"/>
        </w:rPr>
      </w:pPr>
      <w:r>
        <w:rPr>
          <w:rFonts w:ascii="Times New Roman" w:hAnsi="Times New Roman"/>
          <w:sz w:val="20"/>
        </w:rPr>
        <w:t xml:space="preserve">Comparisons between Q1 2026 and Q1 2025 were significantly impacted by the transition from legacy blast furnace operations to the Company’s new Electric Arc Furnace (“EAF”) platform, as well as a materially more adverse tariff environment in the current year quarter.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Consolidated revenue of $296.9 million, compared to $517.1 million in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Consolidated loss from operations of $153.5 million, compared to a loss from operations of $139.9 million in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Net loss of $159.4 million, compared to a net loss of $24.5 million in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loss of $28.7 million inclusive of a $90.2 million capacity utilization adjustment and Adjusted EBITDA margin of (9.7%), compared to an Adjusted EBITDA loss of $46.7 million and Adjusted EBITDA margin of (9.0%) in the prior-year quarter. See “Non-GAAP Financial Measures”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Direct tariff costs of $27.4 million, compared to $10.5 million in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Cash used in operating activities of $12.2 million, compared to cash generated by operating activities of $92.1 million in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Shipments of 223,681 tons, compared to shipments of 469,731 tons in the prior-year quarter, reflecting the transition to EAF-only steelmaking and the deliberate pivot toward the Canadian plate market.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Rajat Marwah, the Company’s Chief Executive Officer, commented, “The first quarter of 2026 represented a genuine turning point for Algoma. We permanently closed our blast furnace on January 18, bringing 125 years of coal-based steelmaking to an end and completing what we set out to do: transform this company into a modern, low-carbon steel producer. That transition was not without cost in the quarter, as shipment volumes were lower and transition costs remained elevated while we ramped up our new steelmaking platform. But the direction is clear and the trajectory is improving. Our EAF is running 24 hours a day, our plate mill is producing Volta low-carbon steel at scale, and we are leaning into our competitive advantage as Canada’s only producer of discrete plate.” </w:t>
      </w:r>
    </w:p>
    <w:p>
      <w:pPr>
        <w:pStyle w:val="TextBody"/>
        <w:bidi w:val="0"/>
        <w:spacing w:before="240" w:after="0"/>
        <w:jc w:val="both"/>
        <w:rPr>
          <w:rFonts w:ascii="Times New Roman" w:hAnsi="Times New Roman"/>
          <w:sz w:val="20"/>
        </w:rPr>
      </w:pPr>
      <w:r>
        <w:rPr>
          <w:rFonts w:ascii="Times New Roman" w:hAnsi="Times New Roman"/>
          <w:sz w:val="20"/>
        </w:rPr>
        <w:t xml:space="preserve">Mr. Marwah continued, “Beyond the operational progress, we are building something that matters to Canada. We want to recognize the Canadian government for its steadfast support of this transition, from the federal and provincial investment that helped make our EAF a reality, to the prioritization of Canadian-made steel in defence and procurement, to the resolve shown in responding to unfair trade practices and U.S. Section 232 tariffs. That partnership has been instrumental in positioning Algoma where we are today. The formation of Roshel Algoma Defence extends our reach into sovereign ballistic steel production, and our Hanwha Ocean MOU represents a potential pathway into Canada’s defence and shipbuilding supply chain at scale. These are not speculative opportunities; they reflect the logical extension of what Algoma, with its modernized EAF platform and unique plate capabilities, is positioned to deliver. We believe that we have the liquidity, operational foundation, and strategic direction to create long-term value for our stakeholders.” </w:t>
      </w:r>
    </w:p>
    <w:p>
      <w:pPr>
        <w:pStyle w:val="TextBody"/>
        <w:bidi w:val="0"/>
        <w:spacing w:before="240" w:after="0"/>
        <w:jc w:val="both"/>
        <w:rPr>
          <w:rFonts w:ascii="Times New Roman" w:hAnsi="Times New Roman"/>
          <w:sz w:val="20"/>
        </w:rPr>
      </w:pPr>
      <w:r>
        <w:rPr>
          <w:rFonts w:ascii="Times New Roman" w:hAnsi="Times New Roman"/>
          <w:sz w:val="20"/>
        </w:rPr>
        <w:t xml:space="preserve">Michael Moraca, the Company’s Chief Financial Officer, commented, “This was a transitional quarter, and the financial results reflect that. Results include a $90.2 million capacity utilization charge tied to excess fixed costs from our previous operating configuration, which we expect to decline sequentially and be eliminated by the fourth quarter as the EAF ramps up. Adjusted EBITDA improved from the fourth quarter of 2025, supported by record plate sales and an 11% increase in average net sales realization per ton versus the prior quarter. We expect incremental improvement in the quarters ahead as we ramp up EAF Unit 1 and commission and ramp up EAF Unit 2. We ended the quarter with approximately $553 million in total available liquidity, and with capital expenditures down significantly from the peak of the EAF construction phase, we are increasingly positioned to focus our financial resources on strategic opportunities that support long-term growth and value creation.”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2026 Financial Results </w:t>
      </w:r>
    </w:p>
    <w:p>
      <w:pPr>
        <w:pStyle w:val="TextBody"/>
        <w:bidi w:val="0"/>
        <w:spacing w:before="120" w:after="0"/>
        <w:jc w:val="both"/>
        <w:rPr>
          <w:rFonts w:ascii="Times New Roman" w:hAnsi="Times New Roman"/>
          <w:sz w:val="20"/>
        </w:rPr>
      </w:pPr>
      <w:r>
        <w:rPr>
          <w:rFonts w:ascii="Times New Roman" w:hAnsi="Times New Roman"/>
          <w:sz w:val="20"/>
        </w:rPr>
        <w:t xml:space="preserve">Comparisons between the first quarter 2026 and first quarter 2025 were significantly impacted by a number of factors. In the prior year period, the Company was producing steel exclusively with its legacy blast furnace operations, which were permanently halted on January 18, 2026. In contrast, substantially all steel produced in the first quarter of 2026 was from the new, ramping first EAF unit. Furthermore, the tariff environment in the 2026 quarter was materially more adverse than in the prior year quarter. </w:t>
      </w:r>
    </w:p>
    <w:p>
      <w:pPr>
        <w:pStyle w:val="TextBody"/>
        <w:bidi w:val="0"/>
        <w:spacing w:before="240" w:after="0"/>
        <w:jc w:val="both"/>
        <w:rPr>
          <w:rFonts w:ascii="Times New Roman" w:hAnsi="Times New Roman"/>
          <w:sz w:val="20"/>
        </w:rPr>
      </w:pPr>
      <w:r>
        <w:rPr>
          <w:rFonts w:ascii="Times New Roman" w:hAnsi="Times New Roman"/>
          <w:sz w:val="20"/>
        </w:rPr>
        <w:t xml:space="preserve">First quarter revenue totaled $296.9 million, compared to $517.1 million in the prior-year quarter. Steel revenue was $266.9 million, compared to $463.2 million in the prior year quarter. Average net sales realization per ton of steel sold was $1,193, compared to $986 in the prior year quarter.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Loss from operations was $153.5 million, compared to a loss of $139.9 million in the prior-year quarter. The year-over-year increase was primarily due to lower steel shipments, elevated tariff costs, and a capacity utilization charge of $90.2 million resulting from the accelerated transition to EAF steelmaking and lower production volumes. This was partially offset by improved product mix and lower administrative and selling expenses. </w:t>
      </w:r>
    </w:p>
    <w:p>
      <w:pPr>
        <w:pStyle w:val="TextBody"/>
        <w:bidi w:val="0"/>
        <w:spacing w:before="240" w:after="0"/>
        <w:jc w:val="both"/>
        <w:rPr>
          <w:rFonts w:ascii="Times New Roman" w:hAnsi="Times New Roman"/>
          <w:sz w:val="20"/>
        </w:rPr>
      </w:pPr>
      <w:r>
        <w:rPr>
          <w:rFonts w:ascii="Times New Roman" w:hAnsi="Times New Roman"/>
          <w:sz w:val="20"/>
        </w:rPr>
        <w:t xml:space="preserve">Net loss in the first quarter was $159.4 million, compared to a net loss of $24.5 million in the prior-year quarter. The increase reflects the factors noted above for operating loss, as well as the absence of $50.0 million in insurance proceeds that benefited Q1 2025, a decrease in income tax recovery of $26.4 million, and changes in fair value of warrant and share-based compensation liabilities. These were partially offset by an increase in foreign exchange gain of $15.2 million. </w:t>
      </w:r>
    </w:p>
    <w:p>
      <w:pPr>
        <w:pStyle w:val="TextBody"/>
        <w:bidi w:val="0"/>
        <w:spacing w:before="240" w:after="0"/>
        <w:jc w:val="both"/>
        <w:rPr>
          <w:rFonts w:ascii="Times New Roman" w:hAnsi="Times New Roman"/>
          <w:sz w:val="20"/>
        </w:rPr>
      </w:pPr>
      <w:r>
        <w:rPr>
          <w:rFonts w:ascii="Times New Roman" w:hAnsi="Times New Roman"/>
          <w:sz w:val="20"/>
        </w:rPr>
        <w:t xml:space="preserve">Adjusted EBITDA in the first quarter was a loss of $28.7 million, which resulted in an Adjusted EBITDA margin of (9.7%). This compares to an Adjusted EBITDA loss of $46.7 million in the prior-year period, or an Adjusted EBITDA margin of (9.0%). Average realized price of steel net of freight and non-steel revenue was $1,193 per ton, compared to $986 per ton in the prior-year quarter. Cost per ton of steel products sold was $1,180, compared to $1,137 in the prior-year quarter, reflecting the impact of $16.9 million in tariff costs and lower fixed-cost absorption at reduced production volumes. Shipments for the first quarter decreased by 52.4% to 223,681 tons, compared to 469,731 tons in the prior-year quarter. See “Non-GAAP Financial Measures” below for an explanation of Adjusted EBITDA and a reconciliation of net loss to Adjusted EBITDA. </w:t>
      </w:r>
    </w:p>
    <w:p>
      <w:pPr>
        <w:pStyle w:val="TextBody"/>
        <w:bidi w:val="0"/>
        <w:spacing w:before="360" w:after="0"/>
        <w:jc w:val="left"/>
        <w:rPr>
          <w:rFonts w:ascii="Times New Roman" w:hAnsi="Times New Roman"/>
          <w:b/>
          <w:sz w:val="20"/>
        </w:rPr>
      </w:pPr>
      <w:r>
        <w:rPr>
          <w:rFonts w:ascii="Times New Roman" w:hAnsi="Times New Roman"/>
          <w:b/>
          <w:sz w:val="20"/>
        </w:rPr>
        <w:t xml:space="preserve">Electric Arc Furnace </w:t>
      </w:r>
    </w:p>
    <w:p>
      <w:pPr>
        <w:pStyle w:val="TextBody"/>
        <w:bidi w:val="0"/>
        <w:spacing w:before="120" w:after="0"/>
        <w:jc w:val="both"/>
        <w:rPr>
          <w:rFonts w:ascii="Times New Roman" w:hAnsi="Times New Roman"/>
          <w:sz w:val="20"/>
        </w:rPr>
      </w:pPr>
      <w:r>
        <w:rPr>
          <w:rFonts w:ascii="Times New Roman" w:hAnsi="Times New Roman"/>
          <w:sz w:val="20"/>
        </w:rPr>
        <w:t xml:space="preserve">On January 18, 2026, Algoma permanently ceased production at its blast furnace and associated coke batteries, marking the end of 125 years of coal-based integrated steelmaking and completing the Company’s full transition to EAF steelmaking. The first quarter of 2026 was the first full quarter in which all liquid steel production was sourced entirely from the Company’s EAF facility. </w:t>
      </w:r>
    </w:p>
    <w:p>
      <w:pPr>
        <w:pStyle w:val="TextBody"/>
        <w:bidi w:val="0"/>
        <w:spacing w:before="240" w:after="0"/>
        <w:jc w:val="both"/>
        <w:rPr>
          <w:rFonts w:ascii="Times New Roman" w:hAnsi="Times New Roman"/>
          <w:sz w:val="20"/>
        </w:rPr>
      </w:pPr>
      <w:r>
        <w:rPr>
          <w:rFonts w:ascii="Times New Roman" w:hAnsi="Times New Roman"/>
          <w:sz w:val="20"/>
        </w:rPr>
        <w:t xml:space="preserve">Ramp-up activities are progressing in line with expectations. The Unit One EAF furnace and associated melt shop assets are performing as designed, with quality metrics achieved across a range of plate and hot-rolled coil product grades. The Q-One power system and other key process components have demonstrated stable and reliable performance, supporting consistent metallurgical quality and process control. Operations are currently running on a full 24-hour-per-day schedule. Construction activities on the second EAF unit are nearing completion with steel production expected in the third quarter of 2026. </w:t>
      </w:r>
    </w:p>
    <w:p>
      <w:pPr>
        <w:pStyle w:val="TextBody"/>
        <w:bidi w:val="0"/>
        <w:spacing w:before="240" w:after="0"/>
        <w:jc w:val="both"/>
        <w:rPr>
          <w:rFonts w:ascii="Times New Roman" w:hAnsi="Times New Roman"/>
          <w:sz w:val="20"/>
        </w:rPr>
      </w:pPr>
      <w:r>
        <w:rPr>
          <w:rFonts w:ascii="Times New Roman" w:hAnsi="Times New Roman"/>
          <w:sz w:val="20"/>
        </w:rPr>
        <w:t xml:space="preserve">As announced during Q4 2025, Algoma is focusing its commercial strategy on the manufacturing and sale of discrete plate while scaling back coil production to align with domestic market conditions. As Canada’s only producer of discrete plate, the Company holds a unique competitive position in this segment. Plate demand from infrastructure, construction, and defence end-markets remained healthy during the quarter, and the Company expects plate production to increase sequentially as the EAF ramp-up continues through 2026. </w:t>
      </w:r>
    </w:p>
    <w:p>
      <w:pPr>
        <w:pStyle w:val="TextBody"/>
        <w:bidi w:val="0"/>
        <w:spacing w:before="240" w:after="0"/>
        <w:jc w:val="both"/>
        <w:rPr>
          <w:rFonts w:ascii="Times New Roman" w:hAnsi="Times New Roman"/>
          <w:sz w:val="20"/>
        </w:rPr>
      </w:pPr>
      <w:r>
        <w:rPr>
          <w:rFonts w:ascii="Times New Roman" w:hAnsi="Times New Roman"/>
          <w:sz w:val="20"/>
        </w:rPr>
        <w:t xml:space="preserve">Following completion of the EAF transformation, Algoma’s facility is expected to have an annual raw steel production capacity of approximately 3.7 million tons and is projected to reduce annual carbon emissions by approximately 70% from pre-EAF levels.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Trade Environment and Strategic Response </w:t>
      </w:r>
    </w:p>
    <w:p>
      <w:pPr>
        <w:pStyle w:val="TextBody"/>
        <w:bidi w:val="0"/>
        <w:spacing w:before="120" w:after="0"/>
        <w:jc w:val="both"/>
        <w:rPr>
          <w:rFonts w:ascii="Times New Roman" w:hAnsi="Times New Roman"/>
          <w:sz w:val="20"/>
        </w:rPr>
      </w:pPr>
      <w:r>
        <w:rPr>
          <w:rFonts w:ascii="Times New Roman" w:hAnsi="Times New Roman"/>
          <w:sz w:val="20"/>
        </w:rPr>
        <w:t xml:space="preserve">The 50% U.S. Section 232 tariff on steel imports from Canada continued to define the operating landscape in the first quarter of 2026. The Company incurred $27.4 million in direct tariff costs in the quarter, compared to $10.5 million in Q1 2025. Shipments to the United States represented 28% of total steel volumes in the quarter, compared to the historical range of approximately 45–55%, reflecting the ongoing reorientation of Algoma’s commercial book toward the Canadian market. </w:t>
      </w:r>
    </w:p>
    <w:p>
      <w:pPr>
        <w:pStyle w:val="TextBody"/>
        <w:bidi w:val="0"/>
        <w:spacing w:before="240" w:after="0"/>
        <w:jc w:val="both"/>
        <w:rPr>
          <w:rFonts w:ascii="Times New Roman" w:hAnsi="Times New Roman"/>
          <w:sz w:val="20"/>
        </w:rPr>
      </w:pPr>
      <w:r>
        <w:rPr>
          <w:rFonts w:ascii="Times New Roman" w:hAnsi="Times New Roman"/>
          <w:sz w:val="20"/>
        </w:rPr>
        <w:t xml:space="preserve">The Canadian steel market remains supply-pressured, with domestic coil pricing held down by oversupply from domestic producers, the continued presence of U.S. steel in the Canadian market, and import offers priced at less-than-fair-value. Algoma’s strategic response, concentrating production on discrete plate, where it enjoys a pricing premium and a unique market position, is designed to mitigate these dynamics. </w:t>
      </w:r>
    </w:p>
    <w:p>
      <w:pPr>
        <w:pStyle w:val="TextBody"/>
        <w:bidi w:val="0"/>
        <w:spacing w:before="240" w:after="0"/>
        <w:jc w:val="both"/>
        <w:rPr>
          <w:rFonts w:ascii="Times New Roman" w:hAnsi="Times New Roman"/>
          <w:sz w:val="20"/>
        </w:rPr>
      </w:pPr>
      <w:r>
        <w:rPr>
          <w:rFonts w:ascii="Times New Roman" w:hAnsi="Times New Roman"/>
          <w:sz w:val="20"/>
        </w:rPr>
        <w:t xml:space="preserve">In April 2026, Algoma announced the formation of Roshel Algoma Defence, a joint venture with Roshel Inc., a Canadian-owned defence manufacturer of smart armoured vehicles. The joint venture is established to create a Canadian Centre of Excellence for Ballistic Steel Production, with full-cycle capabilities including metal fabrication, forming, welding, and machining. This partnership is purpose-built to deliver sovereign ballistic steel defence solutions for Canada and represents a meaningful step in the diversification of Algoma’s product portfolio. </w:t>
      </w:r>
    </w:p>
    <w:p>
      <w:pPr>
        <w:pStyle w:val="TextBody"/>
        <w:bidi w:val="0"/>
        <w:spacing w:before="240" w:after="0"/>
        <w:jc w:val="both"/>
        <w:rPr>
          <w:rFonts w:ascii="Times New Roman" w:hAnsi="Times New Roman"/>
          <w:sz w:val="20"/>
        </w:rPr>
      </w:pPr>
      <w:r>
        <w:rPr>
          <w:rFonts w:ascii="Times New Roman" w:hAnsi="Times New Roman"/>
          <w:sz w:val="20"/>
        </w:rPr>
        <w:t xml:space="preserve">Algoma’s binding Memorandum of Understanding with Hanwha Ocean Co. Ltd. (“Hanwha Ocean”), announced in January 2026, remains in effect. The arrangement carries an aggregate potential value of US$250 million, comprised of a US$200 million contribution toward the potential development of a structural steel beam mill and up to US$50 million in anticipated product purchases related to the Canadian Patrol Submarine Project (“CPSP”). The MOU is subject to Hanwha Ocean being awarded and entering into an effective contract under the CPSP and the negotiation and execution of definitive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both"/>
        <w:rPr>
          <w:rFonts w:ascii="Times New Roman" w:hAnsi="Times New Roman"/>
          <w:sz w:val="20"/>
        </w:rPr>
      </w:pPr>
      <w:r>
        <w:rPr>
          <w:rFonts w:ascii="Times New Roman" w:hAnsi="Times New Roman"/>
          <w:sz w:val="20"/>
        </w:rPr>
        <w:t xml:space="preserve">At March 31, 2026, the Company had cash of $65.3 million, unused availability under its Revolving Credit Facility of $195.1 million, and $292.5 million available to draw under the LETL Facilities, for total available liquidity of approximately $553 million. During the first quarter, the Company drew $126.0 million under the LETL Facilities, net of PIK interest, to support operations and fund the transition. Capital expenditures in the quarter were $20.4 million, substantially lower than the $127.0 million invested in Q1 2025 during EAF construction.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Details </w:t>
      </w:r>
    </w:p>
    <w:p>
      <w:pPr>
        <w:pStyle w:val="TextBody"/>
        <w:bidi w:val="0"/>
        <w:spacing w:before="120" w:after="0"/>
        <w:jc w:val="both"/>
        <w:rPr>
          <w:rFonts w:ascii="Times New Roman" w:hAnsi="Times New Roman"/>
          <w:sz w:val="20"/>
        </w:rPr>
      </w:pPr>
      <w:r>
        <w:rPr>
          <w:rFonts w:ascii="Times New Roman" w:hAnsi="Times New Roman"/>
          <w:sz w:val="20"/>
        </w:rPr>
        <w:t xml:space="preserve">A webcast and conference call will be held on Wednesday, May 13, 2026 at 11:00 a.m. EDT to review the Company’s results for the three month period ended March 31, 2026, discuss recent events, and conduct a question-and-answer session. </w:t>
      </w:r>
    </w:p>
    <w:p>
      <w:pPr>
        <w:pStyle w:val="TextBody"/>
        <w:bidi w:val="0"/>
        <w:spacing w:before="240" w:after="0"/>
        <w:jc w:val="both"/>
        <w:rPr>
          <w:rFonts w:ascii="Times New Roman" w:hAnsi="Times New Roman"/>
          <w:sz w:val="20"/>
        </w:rPr>
      </w:pPr>
      <w:r>
        <w:rPr>
          <w:rFonts w:ascii="Times New Roman" w:hAnsi="Times New Roman"/>
          <w:sz w:val="20"/>
        </w:rPr>
        <w:t xml:space="preserve">The live webcast and archived replay of the conference call can be accessed on the Investors section of the Company’s website at ir.algoma.com. For those unable to access the webcast, the conference call will be accessible domestically or internationally by dialing 877-425-9470 or 201-389-0878, respectively. Upon dialing in, please request to join the Algoma Steel First Quarter 2026 Conference Call. To access the replay of the call, dial 844-512-2921 (domestic) or 412-317-6671 (international) and enter passcode 13759815.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Financial Statements and Management’s Discussion and Analysis </w:t>
      </w:r>
    </w:p>
    <w:p>
      <w:pPr>
        <w:pStyle w:val="TextBody"/>
        <w:bidi w:val="0"/>
        <w:spacing w:before="120" w:after="0"/>
        <w:jc w:val="both"/>
        <w:rPr>
          <w:rFonts w:ascii="Times New Roman" w:hAnsi="Times New Roman"/>
          <w:sz w:val="20"/>
        </w:rPr>
      </w:pPr>
      <w:r>
        <w:rPr>
          <w:rFonts w:ascii="Times New Roman" w:hAnsi="Times New Roman"/>
          <w:sz w:val="20"/>
        </w:rPr>
        <w:t xml:space="preserve">The Company’s unaudited condensed interim consolidated financial statements for the three month period ended March 31, 2026 and Management’s Discussion &amp; Analysis thereon are available under the Company’s profile on the U.S. Securities and Exchange Commission’s (“SEC”) EDGAR website at www.sec.gov and under the Company’s profile on SEDAR+ at www.sedarplus.ca. These documents are also available on the Company’s website, www.algoma.com, and shareholders may receive hard copies of such documents free of charge upon request by contacting IR@algoma.com.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expected decline of the capacity utilization charge, expected increases in plate steel production and sales as well as average net sales realization per ton, expected incremental improvement in financial results in future quarters, the expected commissioning and ramp-up of EAF Unit 2, the expected scaling of the Company’s plate-first commercial strategy, imposed and threatened tariffs, including the impact, timing and resolution thereof, trends in the pricing of steel, Algoma’s transition to EAF steelmaking and the expected benefits thereof, the Company’s expected annual raw steel production capacity and reduction in carbon emissions, Algoma’s future as a leading producer of green steel, the potential impacts of inflationary pressures, the Company’s ability to preserve and strengthen near-term liquidity and financial flexibility, the Company’s ability to focus financial resources on strategic opportunities supporting long-term growth and value creation, the potential value and benefits of the strategic relationship with Hanwha Ocean including the potential development of a structural steel beam mill, anticipated product purchases related to the Canadian Patrol Submarine Project and the completion of the arrangement with Hanwha Ocean, the potential benefits of the Roshel Algoma Defence joint venture and sovereign ballistic steel production capabilities, expectations regarding Canadian government defence procurement policies and their impact on the Company’s business, the Company’s plans for continued investment in diversification projects, labor availability, the impact of global supply chain disruptions on costs, and the Company’s strategy, plans or future financial or operating performance.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including those set forth in “Risk Factors” and “Cautionary Note Regarding Forward-Looking Information” in Algoma’s Annual Information Form, filed under the Company’s SEDAR+ profile at www.sedarplus.ca and with the SEC as part of Algoma’s Annual Report on Form 40-F at www.sec.gov. Forward-looking statements speak only as of the date they are made. Algoma assumes no obligation and does not intend to update or revise these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both"/>
        <w:rPr>
          <w:rFonts w:ascii="Times New Roman" w:hAnsi="Times New Roman"/>
          <w:sz w:val="20"/>
        </w:rPr>
      </w:pPr>
      <w:r>
        <w:rPr>
          <w:rFonts w:ascii="Times New Roman" w:hAnsi="Times New Roman"/>
          <w:sz w:val="20"/>
        </w:rPr>
        <w:t xml:space="preserve">To supplement our financial statements, which are prepared in accordance with IFRS® Accounting Standards as issued by the International Accounting Standards Board (“IASB”) (“IFRS Accounting Standards”), we use certain non-GAAP measures to evaluate the performance of Algoma. These terms do not have any standardized meaning prescribed within IFRS Accounting Standards and, therefore, may not be comparable to similar measures presented by other companies. Rather, these measures are provided as additional information to complement those IFRS Accounting Standards measures by providing a further understanding of our financial performance from management’s perspective. </w:t>
      </w:r>
    </w:p>
    <w:p>
      <w:pPr>
        <w:pStyle w:val="TextBody"/>
        <w:bidi w:val="0"/>
        <w:spacing w:before="240" w:after="0"/>
        <w:jc w:val="both"/>
        <w:rPr>
          <w:rFonts w:ascii="Times New Roman" w:hAnsi="Times New Roman"/>
          <w:sz w:val="20"/>
        </w:rPr>
      </w:pPr>
      <w:r>
        <w:rPr>
          <w:rFonts w:ascii="Times New Roman" w:hAnsi="Times New Roman"/>
          <w:sz w:val="20"/>
        </w:rPr>
        <w:t xml:space="preserve">EBITDA refers to net income or loss before depreciation of property, plant, equipment and amortization of intangible assets, finance costs, interest on pension and other post-employment benefit obligations and income taxes. Adjusted EBITDA refers to EBITDA before foreign exchange loss (gain), finance income, carbon tax, changes in fair value of IPO and LETL Warrants, earnout rights, share-based compensation liabilities, share-based compensation related to the Company’s Omnibus Long Term Incentive Plan, derivatives, certain inventory adjustments, impairment loss, legal settlement, severance costs, stranded inventory and capacity utilization. Adjusted EBITDA margin is calculated by dividing Adjusted EBITDA by revenue for the corresponding period. Adjusted EBITDA is not intended to represent cash flow from operations, as defined by IFRS Accounting Standards. We consider Adjusted EBITDA to be a meaningful measure to assess our operating performance in addition to IFRS Accounting Standards. See the financial tables below for a reconciliation of net loss to Adjusted EBITDA. </w:t>
      </w:r>
    </w:p>
    <w:p>
      <w:pPr>
        <w:pStyle w:val="TextBody"/>
        <w:bidi w:val="0"/>
        <w:spacing w:before="360" w:after="0"/>
        <w:jc w:val="left"/>
        <w:rPr>
          <w:rFonts w:ascii="Times New Roman" w:hAnsi="Times New Roman"/>
          <w:b/>
          <w:sz w:val="20"/>
        </w:rPr>
      </w:pPr>
      <w:r>
        <w:rPr>
          <w:rFonts w:ascii="Times New Roman" w:hAnsi="Times New Roman"/>
          <w:b/>
          <w:sz w:val="20"/>
        </w:rPr>
        <w:t xml:space="preserve">About Algoma Steel </w:t>
      </w:r>
    </w:p>
    <w:p>
      <w:pPr>
        <w:pStyle w:val="TextBody"/>
        <w:bidi w:val="0"/>
        <w:spacing w:before="120" w:after="0"/>
        <w:jc w:val="both"/>
        <w:rPr>
          <w:rFonts w:ascii="Times New Roman" w:hAnsi="Times New Roman"/>
          <w:sz w:val="20"/>
        </w:rPr>
      </w:pPr>
      <w:r>
        <w:rPr>
          <w:rFonts w:ascii="Times New Roman" w:hAnsi="Times New Roman"/>
          <w:sz w:val="20"/>
        </w:rPr>
        <w:t xml:space="preserve">Based in Sault Ste. Marie, Ontario, Algoma is a leading Canadian producer of high-quality plate and sheet steel products, proudly supporting critical sectors including energy, defense, automotive, shipbuilding, and infrastructure. Guided by a purpose to build better lives and a greener future, Algoma is shaping the next generation of sustainable steelmaking in Canada. </w:t>
      </w:r>
    </w:p>
    <w:p>
      <w:pPr>
        <w:pStyle w:val="TextBody"/>
        <w:bidi w:val="0"/>
        <w:spacing w:before="240" w:after="0"/>
        <w:jc w:val="both"/>
        <w:rPr>
          <w:rFonts w:ascii="Times New Roman" w:hAnsi="Times New Roman"/>
          <w:sz w:val="20"/>
        </w:rPr>
      </w:pPr>
      <w:r>
        <w:rPr>
          <w:rFonts w:ascii="Times New Roman" w:hAnsi="Times New Roman"/>
          <w:sz w:val="20"/>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240" w:after="0"/>
        <w:jc w:val="both"/>
        <w:rPr>
          <w:rFonts w:ascii="Times New Roman" w:hAnsi="Times New Roman"/>
          <w:sz w:val="20"/>
        </w:rPr>
      </w:pPr>
      <w:r>
        <w:rPr>
          <w:rFonts w:ascii="Times New Roman" w:hAnsi="Times New Roman"/>
          <w:sz w:val="20"/>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240" w:after="0"/>
        <w:jc w:val="left"/>
        <w:rPr>
          <w:rFonts w:ascii="Times New Roman" w:hAnsi="Times New Roman"/>
          <w:b/>
          <w:sz w:val="20"/>
        </w:rPr>
      </w:pPr>
      <w:r>
        <w:rPr>
          <w:rFonts w:ascii="Times New Roman" w:hAnsi="Times New Roman"/>
          <w:b/>
          <w:sz w:val="20"/>
        </w:rPr>
        <w:t xml:space="preserve">Michael Moraca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Algoma Steel Group Inc. </w:t>
      </w:r>
    </w:p>
    <w:p>
      <w:pPr>
        <w:pStyle w:val="TextBody"/>
        <w:bidi w:val="0"/>
        <w:spacing w:before="0" w:after="0"/>
        <w:jc w:val="left"/>
        <w:rPr>
          <w:rFonts w:ascii="Times New Roman" w:hAnsi="Times New Roman"/>
          <w:sz w:val="20"/>
        </w:rPr>
      </w:pPr>
      <w:r>
        <w:rPr>
          <w:rFonts w:ascii="Times New Roman" w:hAnsi="Times New Roman"/>
          <w:sz w:val="20"/>
        </w:rPr>
        <w:t xml:space="preserve">Phone: 705.945.3300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IR@algoma.com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Financial Position </w:t>
      </w:r>
    </w:p>
    <w:p>
      <w:pPr>
        <w:pStyle w:val="TextBody"/>
        <w:bidi w:val="0"/>
        <w:spacing w:before="0" w:after="0"/>
        <w:jc w:val="left"/>
        <w:rPr>
          <w:rFonts w:ascii="Times New Roman" w:hAnsi="Times New Roman"/>
          <w:sz w:val="20"/>
        </w:rPr>
      </w:pP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1"/>
        <w:gridCol w:w="231"/>
        <w:gridCol w:w="156"/>
        <w:gridCol w:w="921"/>
        <w:gridCol w:w="155"/>
        <w:gridCol w:w="184"/>
        <w:gridCol w:w="225"/>
        <w:gridCol w:w="1274"/>
        <w:gridCol w:w="158"/>
      </w:tblGrid>
      <w:tr>
        <w:trPr/>
        <w:tc>
          <w:tcPr>
            <w:tcW w:w="6901"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at,</w:t>
            </w:r>
          </w:p>
        </w:tc>
        <w:tc>
          <w:tcPr>
            <w:tcW w:w="231"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expressed in millions of Canadian dollars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7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65.3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77.5</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212.9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206.9</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158.4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192.7</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475.6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569.3</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deposits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30.1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30.4</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6.3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5.5</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948.6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1,082.4</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7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1,050.7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1,029.9</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0.3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0.3</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3.3</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1,053.6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1,033.5</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2,002.2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2,115.9</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7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Bank indebtedness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67.6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170.2</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207.0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203.9</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Taxes payable and accrued taxes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39.2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32.7</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other long-term liabilities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5.8</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governmental loans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0.3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14.0</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environmental liabilities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4.6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4.7</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Severance cost liability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43.8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45.8</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IPO Warrant liability</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2.5</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Earnout liability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3.8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3.7</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compensation liability</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14.5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14.1</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387.7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497.4</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Senior secured lien notes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485.1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476.6</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governmental loans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271.2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192.3</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Accrued pension liability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148.1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153.0</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post-employment benefit obligation</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190.6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193.0</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126.1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70.7</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Environmental liabilities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34.9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34.3</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LETL Warrant liability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12.6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7.5</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1,268.6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1,127.4</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1,656.3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1,624.8</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7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Capital stock</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980.2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975.5</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425.8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414.4</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(1,057.3</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(897.9</w:t>
            </w:r>
          </w:p>
        </w:tc>
        <w:tc>
          <w:tcPr>
            <w:tcW w:w="158" w:type="dxa"/>
            <w:tcBorders/>
            <w:vAlign w:val="bottom"/>
          </w:tcPr>
          <w:p>
            <w:pPr>
              <w:pStyle w:val="TableContents"/>
              <w:bidi w:val="0"/>
              <w:spacing w:before="0" w:after="283"/>
              <w:jc w:val="left"/>
              <w:rPr/>
            </w:pPr>
            <w:r>
              <w:rPr/>
              <w:t>) </w:t>
            </w:r>
          </w:p>
        </w:tc>
      </w:tr>
      <w:tr>
        <w:trPr/>
        <w:tc>
          <w:tcPr>
            <w:tcW w:w="69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Contributed deficit</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(0.9</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21" w:type="dxa"/>
            <w:tcBorders/>
            <w:vAlign w:val="bottom"/>
          </w:tcPr>
          <w:p>
            <w:pPr>
              <w:pStyle w:val="TableContents"/>
              <w:bidi w:val="0"/>
              <w:spacing w:before="0" w:after="283"/>
              <w:jc w:val="right"/>
              <w:rPr>
                <w:b/>
              </w:rPr>
            </w:pPr>
            <w:r>
              <w:rPr>
                <w:b/>
              </w:rPr>
              <w:t>345.9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74" w:type="dxa"/>
            <w:tcBorders/>
            <w:vAlign w:val="bottom"/>
          </w:tcPr>
          <w:p>
            <w:pPr>
              <w:pStyle w:val="TableContents"/>
              <w:bidi w:val="0"/>
              <w:spacing w:before="0" w:after="283"/>
              <w:jc w:val="right"/>
              <w:rPr/>
            </w:pPr>
            <w:r>
              <w:rPr/>
              <w:t>491.1</w:t>
            </w:r>
          </w:p>
        </w:tc>
        <w:tc>
          <w:tcPr>
            <w:tcW w:w="158" w:type="dxa"/>
            <w:tcBorders/>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3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21" w:type="dxa"/>
            <w:tcBorders/>
            <w:shd w:fill="CCEEFF" w:val="clear"/>
            <w:vAlign w:val="bottom"/>
          </w:tcPr>
          <w:p>
            <w:pPr>
              <w:pStyle w:val="TableContents"/>
              <w:bidi w:val="0"/>
              <w:spacing w:before="0" w:after="283"/>
              <w:jc w:val="right"/>
              <w:rPr>
                <w:b/>
              </w:rPr>
            </w:pPr>
            <w:r>
              <w:rPr>
                <w:b/>
              </w:rPr>
              <w:t>2,002.2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74" w:type="dxa"/>
            <w:tcBorders/>
            <w:shd w:fill="CCEEFF" w:val="clear"/>
            <w:vAlign w:val="bottom"/>
          </w:tcPr>
          <w:p>
            <w:pPr>
              <w:pStyle w:val="TableContents"/>
              <w:bidi w:val="0"/>
              <w:spacing w:before="0" w:after="283"/>
              <w:jc w:val="right"/>
              <w:rPr/>
            </w:pPr>
            <w:r>
              <w:rPr/>
              <w:t>2,115.9</w:t>
            </w:r>
          </w:p>
        </w:tc>
        <w:tc>
          <w:tcPr>
            <w:tcW w:w="158" w:type="dxa"/>
            <w:tcBorders/>
            <w:shd w:fill="CCEEFF" w:val="clear"/>
            <w:vAlign w:val="bottom"/>
          </w:tcPr>
          <w:p>
            <w:pPr>
              <w:pStyle w:val="TableContents"/>
              <w:bidi w:val="0"/>
              <w:spacing w:before="0" w:after="283"/>
              <w:jc w:val="left"/>
              <w:rPr/>
            </w:pPr>
            <w:r>
              <w:rPr/>
              <w:t> </w:t>
            </w:r>
          </w:p>
        </w:tc>
      </w:tr>
      <w:tr>
        <w:trPr/>
        <w:tc>
          <w:tcPr>
            <w:tcW w:w="69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7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34250" cy="8953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308215" cy="10179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08215" cy="10179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Net Loss  </w:t>
      </w:r>
    </w:p>
    <w:p>
      <w:pPr>
        <w:pStyle w:val="TextBody"/>
        <w:bidi w:val="0"/>
        <w:spacing w:before="0" w:after="0"/>
        <w:jc w:val="left"/>
        <w:rPr>
          <w:rFonts w:ascii="Times New Roman" w:hAnsi="Times New Roman"/>
          <w:sz w:val="20"/>
        </w:rPr>
      </w:pP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2"/>
        <w:gridCol w:w="297"/>
        <w:gridCol w:w="296"/>
        <w:gridCol w:w="780"/>
        <w:gridCol w:w="155"/>
        <w:gridCol w:w="247"/>
        <w:gridCol w:w="276"/>
        <w:gridCol w:w="734"/>
        <w:gridCol w:w="158"/>
      </w:tblGrid>
      <w:tr>
        <w:trPr/>
        <w:tc>
          <w:tcPr>
            <w:tcW w:w="7262"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 period ended</w:t>
            </w:r>
          </w:p>
        </w:tc>
        <w:tc>
          <w:tcPr>
            <w:tcW w:w="297"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expressed in millions of Canadian dollars, except for per share amounts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296.9</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517.1</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423.5</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626.1</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Administrative and selling expenses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b/>
              </w:rPr>
            </w:pPr>
            <w:r>
              <w:rPr>
                <w:b/>
              </w:rPr>
              <w:t>26.9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30.9</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153.5</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139.9</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and expenses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0.6</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17.8</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b/>
              </w:rPr>
            </w:pPr>
            <w:r>
              <w:rPr>
                <w:b/>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0.9</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(50.0</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Initial Public Offering (“IPO”) and Large Enterprise</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Tariff Loan (“LETL”) Warrant liabilities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(39.1</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liability</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share-based compensation liability</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(15.4</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80" w:type="dxa"/>
            <w:tcBorders/>
            <w:shd w:fill="CCEEFF" w:val="clear"/>
            <w:vAlign w:val="bottom"/>
          </w:tcPr>
          <w:p>
            <w:pPr>
              <w:pStyle w:val="TableContents"/>
              <w:bidi w:val="0"/>
              <w:spacing w:before="0" w:after="283"/>
              <w:jc w:val="right"/>
              <w:rPr>
                <w:b/>
              </w:rPr>
            </w:pPr>
            <w:r>
              <w:rPr>
                <w:b/>
              </w:rPr>
              <w:t>5.9</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89.0</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50.9</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tax recovery</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(26.4</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24.5</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per common share</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9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80" w:type="dxa"/>
            <w:tcBorders/>
            <w:vAlign w:val="bottom"/>
          </w:tcPr>
          <w:p>
            <w:pPr>
              <w:pStyle w:val="TableContents"/>
              <w:bidi w:val="0"/>
              <w:spacing w:before="0" w:after="283"/>
              <w:jc w:val="right"/>
              <w:rPr>
                <w:b/>
              </w:rPr>
            </w:pPr>
            <w:r>
              <w:rPr>
                <w:b/>
              </w:rPr>
              <w:t>1.46</w:t>
            </w:r>
          </w:p>
        </w:tc>
        <w:tc>
          <w:tcPr>
            <w:tcW w:w="155" w:type="dxa"/>
            <w:tcBorders/>
            <w:vAlign w:val="bottom"/>
          </w:tcPr>
          <w:p>
            <w:pPr>
              <w:pStyle w:val="TableContents"/>
              <w:bidi w:val="0"/>
              <w:spacing w:before="0" w:after="283"/>
              <w:jc w:val="left"/>
              <w:rPr>
                <w:b/>
              </w:rPr>
            </w:pPr>
            <w:r>
              <w:rPr>
                <w:b/>
              </w:rPr>
              <w:t>) </w:t>
            </w:r>
          </w:p>
        </w:tc>
        <w:tc>
          <w:tcPr>
            <w:tcW w:w="24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0.23</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97"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80" w:type="dxa"/>
            <w:tcBorders/>
            <w:shd w:fill="CCEEFF" w:val="clear"/>
            <w:vAlign w:val="bottom"/>
          </w:tcPr>
          <w:p>
            <w:pPr>
              <w:pStyle w:val="TableContents"/>
              <w:bidi w:val="0"/>
              <w:spacing w:before="0" w:after="283"/>
              <w:jc w:val="right"/>
              <w:rPr>
                <w:b/>
              </w:rPr>
            </w:pPr>
            <w:r>
              <w:rPr>
                <w:b/>
              </w:rPr>
              <w:t>1.46</w:t>
            </w:r>
          </w:p>
        </w:tc>
        <w:tc>
          <w:tcPr>
            <w:tcW w:w="155" w:type="dxa"/>
            <w:tcBorders/>
            <w:shd w:fill="CCEEFF" w:val="clear"/>
            <w:vAlign w:val="bottom"/>
          </w:tcPr>
          <w:p>
            <w:pPr>
              <w:pStyle w:val="TableContents"/>
              <w:bidi w:val="0"/>
              <w:spacing w:before="0" w:after="283"/>
              <w:jc w:val="left"/>
              <w:rPr>
                <w:b/>
              </w:rPr>
            </w:pPr>
            <w:r>
              <w:rPr>
                <w:b/>
              </w:rPr>
              <w:t>) </w:t>
            </w:r>
          </w:p>
        </w:tc>
        <w:tc>
          <w:tcPr>
            <w:tcW w:w="24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0.48</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442835" cy="911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442835" cy="911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308215" cy="10179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308215" cy="10179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Cash Flows  </w:t>
      </w:r>
    </w:p>
    <w:p>
      <w:pPr>
        <w:pStyle w:val="TextBody"/>
        <w:bidi w:val="0"/>
        <w:spacing w:before="0" w:after="0"/>
        <w:jc w:val="left"/>
        <w:rPr>
          <w:rFonts w:ascii="Times New Roman" w:hAnsi="Times New Roman"/>
          <w:sz w:val="20"/>
        </w:rPr>
      </w:pP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9"/>
        <w:gridCol w:w="309"/>
        <w:gridCol w:w="296"/>
        <w:gridCol w:w="778"/>
        <w:gridCol w:w="155"/>
        <w:gridCol w:w="260"/>
        <w:gridCol w:w="276"/>
        <w:gridCol w:w="733"/>
        <w:gridCol w:w="159"/>
      </w:tblGrid>
      <w:tr>
        <w:trPr/>
        <w:tc>
          <w:tcPr>
            <w:tcW w:w="7239"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9"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expressed in millions of Canadian dollars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78" w:type="dxa"/>
            <w:tcBorders/>
            <w:shd w:fill="CCEEFF" w:val="clear"/>
            <w:vAlign w:val="bottom"/>
          </w:tcPr>
          <w:p>
            <w:pPr>
              <w:pStyle w:val="TableContents"/>
              <w:bidi w:val="0"/>
              <w:spacing w:before="0" w:after="283"/>
              <w:jc w:val="right"/>
              <w:rPr>
                <w:b/>
              </w:rPr>
            </w:pPr>
            <w:r>
              <w:rPr>
                <w:b/>
              </w:rPr>
              <w:t>159.4</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24.5</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b/>
                <w:sz w:val="20"/>
              </w:rPr>
            </w:pPr>
            <w:r>
              <w:rPr>
                <w:rFonts w:ascii="Times New Roman" w:hAnsi="Times New Roman"/>
                <w:b/>
                <w:sz w:val="20"/>
              </w:rPr>
              <w:t>Items not affecting cash:</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 and intangible assets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33.4</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35.0</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recovery</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(2.0</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funding in excess of expense</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(3.6</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benefit funding in excess of expense</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(1.9</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(1.7</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 on:</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accrued pension liability</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(2.4</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0.2</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post-employment benefit obligations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(3.3</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0.2</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17.8</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plant and equipment</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(50.0</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governmental loans and environmental liabilities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(2.2</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 on government loan facilities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0.2</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fair value of IPO and LETL Warrant liabilities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(39.1</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fair value of earnout liability</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(4.4</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fair value of share-based compensation liability</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(15.4</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4.6</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78" w:type="dxa"/>
            <w:tcBorders/>
            <w:vAlign w:val="bottom"/>
          </w:tcPr>
          <w:p>
            <w:pPr>
              <w:pStyle w:val="TableContents"/>
              <w:bidi w:val="0"/>
              <w:spacing w:before="0" w:after="283"/>
              <w:jc w:val="right"/>
              <w:rPr>
                <w:b/>
              </w:rPr>
            </w:pPr>
            <w:r>
              <w:rPr>
                <w:b/>
              </w:rPr>
              <w:t>125.7</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72.9</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non-cash operating working capital</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107.0</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165.4</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liabilities paid</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proceeds for operating expenses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6.5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in) generated by operating activities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78" w:type="dxa"/>
            <w:tcBorders/>
            <w:vAlign w:val="bottom"/>
          </w:tcPr>
          <w:p>
            <w:pPr>
              <w:pStyle w:val="TableContents"/>
              <w:bidi w:val="0"/>
              <w:spacing w:before="0" w:after="283"/>
              <w:jc w:val="right"/>
              <w:rPr>
                <w:b/>
              </w:rPr>
            </w:pPr>
            <w:r>
              <w:rPr>
                <w:b/>
              </w:rPr>
              <w:t>12.2</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92.1</w:t>
            </w:r>
          </w:p>
        </w:tc>
        <w:tc>
          <w:tcPr>
            <w:tcW w:w="159" w:type="dxa"/>
            <w:tcBorders/>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property, plant and equipment</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78"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127.0</w:t>
            </w:r>
          </w:p>
        </w:tc>
        <w:tc>
          <w:tcPr>
            <w:tcW w:w="159" w:type="dxa"/>
            <w:tcBorders/>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in investing activities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78" w:type="dxa"/>
            <w:tcBorders/>
            <w:shd w:fill="CCEEFF" w:val="clear"/>
            <w:vAlign w:val="bottom"/>
          </w:tcPr>
          <w:p>
            <w:pPr>
              <w:pStyle w:val="TableContents"/>
              <w:bidi w:val="0"/>
              <w:spacing w:before="0" w:after="283"/>
              <w:jc w:val="right"/>
              <w:rPr>
                <w:b/>
              </w:rPr>
            </w:pPr>
            <w:r>
              <w:rPr>
                <w:b/>
              </w:rPr>
              <w:t>20.4</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127.0</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indebtedness advanced, net</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78" w:type="dxa"/>
            <w:tcBorders/>
            <w:shd w:fill="CCEEFF" w:val="clear"/>
            <w:vAlign w:val="bottom"/>
          </w:tcPr>
          <w:p>
            <w:pPr>
              <w:pStyle w:val="TableContents"/>
              <w:bidi w:val="0"/>
              <w:spacing w:before="0" w:after="283"/>
              <w:jc w:val="right"/>
              <w:rPr>
                <w:b/>
              </w:rPr>
            </w:pPr>
            <w:r>
              <w:rPr>
                <w:b/>
              </w:rPr>
              <w:t>103.8</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Governmental loans received</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127.5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governmental loans</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(6.3</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(3.7</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(0.7</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generated by (used in) financing activities</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778" w:type="dxa"/>
            <w:tcBorders/>
            <w:shd w:fill="CCEEFF" w:val="clear"/>
            <w:vAlign w:val="bottom"/>
          </w:tcPr>
          <w:p>
            <w:pPr>
              <w:pStyle w:val="TableContents"/>
              <w:bidi w:val="0"/>
              <w:spacing w:before="0" w:after="283"/>
              <w:jc w:val="right"/>
              <w:rPr>
                <w:b/>
              </w:rPr>
            </w:pPr>
            <w:r>
              <w:rPr>
                <w:b/>
              </w:rPr>
              <w:t>19.3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5.3</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78" w:type="dxa"/>
            <w:tcBorders/>
            <w:vAlign w:val="bottom"/>
          </w:tcPr>
          <w:p>
            <w:pPr>
              <w:pStyle w:val="TableContents"/>
              <w:bidi w:val="0"/>
              <w:spacing w:before="0" w:after="283"/>
              <w:jc w:val="right"/>
              <w:rPr>
                <w:b/>
              </w:rPr>
            </w:pPr>
            <w:r>
              <w:rPr>
                <w:b/>
              </w:rPr>
              <w:t>1.1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0.2</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9"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cash</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(12.2</w:t>
            </w:r>
          </w:p>
        </w:tc>
        <w:tc>
          <w:tcPr>
            <w:tcW w:w="155" w:type="dxa"/>
            <w:tcBorders/>
            <w:vAlign w:val="bottom"/>
          </w:tcPr>
          <w:p>
            <w:pPr>
              <w:pStyle w:val="TableContents"/>
              <w:bidi w:val="0"/>
              <w:spacing w:before="0" w:after="283"/>
              <w:jc w:val="left"/>
              <w:rPr>
                <w:b/>
              </w:rPr>
            </w:pPr>
            <w:r>
              <w:rPr>
                <w:b/>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(40.4</w:t>
            </w:r>
          </w:p>
        </w:tc>
        <w:tc>
          <w:tcPr>
            <w:tcW w:w="159" w:type="dxa"/>
            <w:tcBorders/>
            <w:vAlign w:val="bottom"/>
          </w:tcPr>
          <w:p>
            <w:pPr>
              <w:pStyle w:val="TableContents"/>
              <w:bidi w:val="0"/>
              <w:spacing w:before="0" w:after="283"/>
              <w:jc w:val="left"/>
              <w:rPr/>
            </w:pPr>
            <w:r>
              <w:rPr/>
              <w:t>) </w:t>
            </w:r>
          </w:p>
        </w:tc>
      </w:tr>
      <w:tr>
        <w:trPr/>
        <w:tc>
          <w:tcPr>
            <w:tcW w:w="7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30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77.5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266.9</w:t>
            </w:r>
          </w:p>
        </w:tc>
        <w:tc>
          <w:tcPr>
            <w:tcW w:w="159" w:type="dxa"/>
            <w:tcBorders/>
            <w:shd w:fill="CCEEFF" w:val="clear"/>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778" w:type="dxa"/>
            <w:tcBorders/>
            <w:vAlign w:val="bottom"/>
          </w:tcPr>
          <w:p>
            <w:pPr>
              <w:pStyle w:val="TableContents"/>
              <w:bidi w:val="0"/>
              <w:spacing w:before="0" w:after="283"/>
              <w:jc w:val="right"/>
              <w:rPr>
                <w:b/>
              </w:rPr>
            </w:pPr>
            <w:r>
              <w:rPr>
                <w:b/>
              </w:rPr>
              <w:t>65.3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226.5</w:t>
            </w:r>
          </w:p>
        </w:tc>
        <w:tc>
          <w:tcPr>
            <w:tcW w:w="159" w:type="dxa"/>
            <w:tcBorders/>
            <w:vAlign w:val="bottom"/>
          </w:tcPr>
          <w:p>
            <w:pPr>
              <w:pStyle w:val="TableContents"/>
              <w:bidi w:val="0"/>
              <w:spacing w:before="0" w:after="283"/>
              <w:jc w:val="left"/>
              <w:rPr/>
            </w:pPr>
            <w:r>
              <w:rPr/>
              <w:t> </w:t>
            </w:r>
          </w:p>
        </w:tc>
      </w:tr>
      <w:tr>
        <w:trPr/>
        <w:tc>
          <w:tcPr>
            <w:tcW w:w="7239"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442835" cy="911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442835" cy="911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200900" cy="1000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200900" cy="1000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Net Loss to 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3"/>
        <w:gridCol w:w="509"/>
        <w:gridCol w:w="446"/>
        <w:gridCol w:w="1171"/>
        <w:gridCol w:w="395"/>
        <w:gridCol w:w="452"/>
        <w:gridCol w:w="452"/>
        <w:gridCol w:w="1093"/>
        <w:gridCol w:w="354"/>
      </w:tblGrid>
      <w:tr>
        <w:trPr/>
        <w:tc>
          <w:tcPr>
            <w:tcW w:w="5333"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millions of dollars</w:t>
            </w:r>
          </w:p>
        </w:tc>
        <w:tc>
          <w:tcPr>
            <w:tcW w:w="509"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 2025</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b/>
              </w:rPr>
            </w:pPr>
            <w:r>
              <w:rPr>
                <w:b/>
              </w:rPr>
              <w:t>($</w:t>
            </w:r>
          </w:p>
        </w:tc>
        <w:tc>
          <w:tcPr>
            <w:tcW w:w="1171" w:type="dxa"/>
            <w:tcBorders/>
            <w:shd w:fill="CCEEFF" w:val="clear"/>
            <w:vAlign w:val="bottom"/>
          </w:tcPr>
          <w:p>
            <w:pPr>
              <w:pStyle w:val="TableContents"/>
              <w:bidi w:val="0"/>
              <w:spacing w:before="0" w:after="283"/>
              <w:jc w:val="right"/>
              <w:rPr>
                <w:b/>
              </w:rPr>
            </w:pPr>
            <w:r>
              <w:rPr>
                <w:b/>
              </w:rPr>
              <w:t>159.4</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24.5</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 and amortization of intangible assets</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b/>
              </w:rPr>
            </w:pPr>
            <w:r>
              <w:rPr>
                <w:b/>
              </w:rPr>
              <w:t>33.4</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35.0</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Inventory adjustments </w:t>
            </w:r>
            <w:r>
              <w:rPr>
                <w:rFonts w:ascii="Times New Roman" w:hAnsi="Times New Roman"/>
                <w:i/>
                <w:sz w:val="20"/>
              </w:rPr>
              <w:t>(depreciation on property, plant</w:t>
            </w:r>
            <w:r>
              <w:rPr>
                <w:rFonts w:ascii="Times New Roman" w:hAnsi="Times New Roman"/>
                <w:sz w:val="20"/>
              </w:rPr>
              <w:t> </w:t>
            </w:r>
            <w:r>
              <w:rPr>
                <w:rFonts w:ascii="Times New Roman" w:hAnsi="Times New Roman"/>
                <w:i/>
                <w:sz w:val="20"/>
              </w:rPr>
              <w:t>&amp; equipment in inventory)</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(7.7</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1.0</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b/>
              </w:rPr>
            </w:pPr>
            <w:r>
              <w:rPr>
                <w:b/>
              </w:rPr>
              <w:t>11.5</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17.8</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(0.6</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(2.8</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b/>
              </w:rPr>
            </w:pPr>
            <w:r>
              <w:rPr>
                <w:b/>
              </w:rPr>
              <w:t>3.6</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4.0</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recovery</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(26.4</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EBITDA (ii)</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b/>
              </w:rPr>
            </w:pPr>
            <w:r>
              <w:rPr>
                <w:b/>
              </w:rPr>
              <w:t>($</w:t>
            </w:r>
          </w:p>
        </w:tc>
        <w:tc>
          <w:tcPr>
            <w:tcW w:w="1171" w:type="dxa"/>
            <w:tcBorders/>
            <w:vAlign w:val="bottom"/>
          </w:tcPr>
          <w:p>
            <w:pPr>
              <w:pStyle w:val="TableContents"/>
              <w:bidi w:val="0"/>
              <w:spacing w:before="0" w:after="283"/>
              <w:jc w:val="right"/>
              <w:rPr>
                <w:b/>
              </w:rPr>
            </w:pPr>
            <w:r>
              <w:rPr>
                <w:b/>
              </w:rPr>
              <w:t>119.2</w:t>
            </w:r>
          </w:p>
        </w:tc>
        <w:tc>
          <w:tcPr>
            <w:tcW w:w="395" w:type="dxa"/>
            <w:tcBorders/>
            <w:vAlign w:val="bottom"/>
          </w:tcPr>
          <w:p>
            <w:pPr>
              <w:pStyle w:val="TableContents"/>
              <w:bidi w:val="0"/>
              <w:spacing w:before="0" w:after="283"/>
              <w:jc w:val="left"/>
              <w:rPr>
                <w:b/>
              </w:rPr>
            </w:pPr>
            <w:r>
              <w:rPr>
                <w:b/>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4.1</w:t>
            </w:r>
          </w:p>
        </w:tc>
        <w:tc>
          <w:tcPr>
            <w:tcW w:w="35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(14.3</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0.9</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Carbon tax</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b/>
              </w:rPr>
            </w:pPr>
            <w:r>
              <w:rPr>
                <w:b/>
              </w:rPr>
              <w:t>6.0</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3.5</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financial instruments (i)</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5.8</w:t>
            </w:r>
          </w:p>
        </w:tc>
        <w:tc>
          <w:tcPr>
            <w:tcW w:w="395"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(58.9</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b/>
              </w:rPr>
            </w:pPr>
            <w:r>
              <w:rPr>
                <w:b/>
              </w:rPr>
              <w:t>2.8</w:t>
            </w:r>
          </w:p>
        </w:tc>
        <w:tc>
          <w:tcPr>
            <w:tcW w:w="395"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3.7</w:t>
            </w:r>
          </w:p>
        </w:tc>
        <w:tc>
          <w:tcPr>
            <w:tcW w:w="354" w:type="dxa"/>
            <w:tcBorders/>
            <w:vAlign w:val="bottom"/>
          </w:tcPr>
          <w:p>
            <w:pPr>
              <w:pStyle w:val="TableContents"/>
              <w:bidi w:val="0"/>
              <w:spacing w:before="0" w:after="283"/>
              <w:jc w:val="left"/>
              <w:rPr/>
            </w:pPr>
            <w:r>
              <w:rPr/>
              <w:t> </w:t>
            </w:r>
          </w:p>
        </w:tc>
      </w:tr>
      <w:tr>
        <w:trPr/>
        <w:tc>
          <w:tcPr>
            <w:tcW w:w="5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Capacity utilization</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90.2</w:t>
            </w:r>
          </w:p>
        </w:tc>
        <w:tc>
          <w:tcPr>
            <w:tcW w:w="395"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(ii)</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b/>
              </w:rPr>
            </w:pPr>
            <w:r>
              <w:rPr>
                <w:b/>
              </w:rPr>
              <w:t>($</w:t>
            </w:r>
          </w:p>
        </w:tc>
        <w:tc>
          <w:tcPr>
            <w:tcW w:w="1171" w:type="dxa"/>
            <w:tcBorders/>
            <w:vAlign w:val="bottom"/>
          </w:tcPr>
          <w:p>
            <w:pPr>
              <w:pStyle w:val="TableContents"/>
              <w:bidi w:val="0"/>
              <w:spacing w:before="0" w:after="283"/>
              <w:jc w:val="right"/>
              <w:rPr>
                <w:b/>
              </w:rPr>
            </w:pPr>
            <w:r>
              <w:rPr>
                <w:b/>
              </w:rPr>
              <w:t>28.7</w:t>
            </w:r>
          </w:p>
        </w:tc>
        <w:tc>
          <w:tcPr>
            <w:tcW w:w="395" w:type="dxa"/>
            <w:tcBorders/>
            <w:vAlign w:val="bottom"/>
          </w:tcPr>
          <w:p>
            <w:pPr>
              <w:pStyle w:val="TableContents"/>
              <w:bidi w:val="0"/>
              <w:spacing w:before="0" w:after="283"/>
              <w:jc w:val="left"/>
              <w:rPr>
                <w:b/>
              </w:rPr>
            </w:pPr>
            <w:r>
              <w:rPr>
                <w:b/>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46.7</w:t>
            </w:r>
          </w:p>
        </w:tc>
        <w:tc>
          <w:tcPr>
            <w:tcW w:w="35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Margin</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(53.7</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(4.7</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 ton</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b/>
              </w:rPr>
            </w:pPr>
            <w:r>
              <w:rPr>
                <w:b/>
              </w:rPr>
              <w:t>($</w:t>
            </w:r>
          </w:p>
        </w:tc>
        <w:tc>
          <w:tcPr>
            <w:tcW w:w="1171" w:type="dxa"/>
            <w:tcBorders/>
            <w:vAlign w:val="bottom"/>
          </w:tcPr>
          <w:p>
            <w:pPr>
              <w:pStyle w:val="TableContents"/>
              <w:bidi w:val="0"/>
              <w:spacing w:before="0" w:after="283"/>
              <w:jc w:val="right"/>
              <w:rPr>
                <w:b/>
              </w:rPr>
            </w:pPr>
            <w:r>
              <w:rPr>
                <w:b/>
              </w:rPr>
              <w:t>712.6</w:t>
            </w:r>
          </w:p>
        </w:tc>
        <w:tc>
          <w:tcPr>
            <w:tcW w:w="395" w:type="dxa"/>
            <w:tcBorders/>
            <w:vAlign w:val="bottom"/>
          </w:tcPr>
          <w:p>
            <w:pPr>
              <w:pStyle w:val="TableContents"/>
              <w:bidi w:val="0"/>
              <w:spacing w:before="0" w:after="283"/>
              <w:jc w:val="left"/>
              <w:rPr>
                <w:b/>
              </w:rPr>
            </w:pPr>
            <w:r>
              <w:rPr>
                <w:b/>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52.2</w:t>
            </w:r>
          </w:p>
        </w:tc>
        <w:tc>
          <w:tcPr>
            <w:tcW w:w="35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Margin (iii)</w:t>
            </w:r>
          </w:p>
        </w:tc>
        <w:tc>
          <w:tcPr>
            <w:tcW w:w="50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b/>
              </w:rPr>
            </w:pPr>
            <w:r>
              <w:rPr>
                <w:b/>
              </w:rPr>
              <w:t>(9.7</w:t>
            </w:r>
          </w:p>
        </w:tc>
        <w:tc>
          <w:tcPr>
            <w:tcW w:w="395" w:type="dxa"/>
            <w:tcBorders/>
            <w:shd w:fill="CCEEFF" w:val="clear"/>
            <w:vAlign w:val="bottom"/>
          </w:tcPr>
          <w:p>
            <w:pPr>
              <w:pStyle w:val="TableContents"/>
              <w:bidi w:val="0"/>
              <w:spacing w:before="0" w:after="283"/>
              <w:jc w:val="left"/>
              <w:rPr>
                <w:b/>
              </w:rPr>
            </w:pPr>
            <w:r>
              <w:rPr>
                <w:b/>
              </w:rPr>
              <w:t>%) </w:t>
            </w:r>
          </w:p>
        </w:tc>
        <w:tc>
          <w:tcPr>
            <w:tcW w:w="452"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(9.0</w:t>
            </w:r>
          </w:p>
        </w:tc>
        <w:tc>
          <w:tcPr>
            <w:tcW w:w="35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 ton</w:t>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b/>
              </w:rPr>
            </w:pPr>
            <w:r>
              <w:rPr>
                <w:b/>
              </w:rPr>
              <w:t>($</w:t>
            </w:r>
          </w:p>
        </w:tc>
        <w:tc>
          <w:tcPr>
            <w:tcW w:w="1171" w:type="dxa"/>
            <w:tcBorders/>
            <w:vAlign w:val="bottom"/>
          </w:tcPr>
          <w:p>
            <w:pPr>
              <w:pStyle w:val="TableContents"/>
              <w:bidi w:val="0"/>
              <w:spacing w:before="0" w:after="283"/>
              <w:jc w:val="right"/>
              <w:rPr>
                <w:b/>
              </w:rPr>
            </w:pPr>
            <w:r>
              <w:rPr>
                <w:b/>
              </w:rPr>
              <w:t>128.3</w:t>
            </w:r>
          </w:p>
        </w:tc>
        <w:tc>
          <w:tcPr>
            <w:tcW w:w="395" w:type="dxa"/>
            <w:tcBorders/>
            <w:vAlign w:val="bottom"/>
          </w:tcPr>
          <w:p>
            <w:pPr>
              <w:pStyle w:val="TableContents"/>
              <w:bidi w:val="0"/>
              <w:spacing w:before="0" w:after="283"/>
              <w:jc w:val="left"/>
              <w:rPr>
                <w:b/>
              </w:rPr>
            </w:pPr>
            <w:r>
              <w:rPr>
                <w:b/>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99.4</w:t>
            </w:r>
          </w:p>
        </w:tc>
        <w:tc>
          <w:tcPr>
            <w:tcW w:w="35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instruments at fair value are comprised of IPO and LETL Warrant liabilities, earnout liability, share-based payment compensation liability and derivatives.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“Non-GAAP Financial Measures” in this Press Release for information regarding the limitations of using EBITDA and Adjusted EBITDA.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Margin is Adjusted EBITDA as a percentage of revenue.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334250" cy="895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34250" cy="895350"/>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4" w:name="d144507dex992.htm"/>
      <w:bookmarkStart w:id="5" w:name="ksd144507dex992"/>
      <w:bookmarkEnd w:id="4"/>
      <w:bookmarkEnd w:id="5"/>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MANAGEMENT’S DISCUSSION AND ANALYSIS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Management’s Discussion and Analysis (“MD&amp;A”) contains information regarding the financial position and financial performance of Algoma Steel Group Inc. and its consolidated subsidiaries and unless the context otherwise requires, all references to “Algoma,” “the Company,”, “we,” “us,” or “our” refer to Algoma Steel Group Inc. and its consolidated subsidiaries. </w:t>
      </w:r>
    </w:p>
    <w:p>
      <w:pPr>
        <w:pStyle w:val="TextBody"/>
        <w:bidi w:val="0"/>
        <w:spacing w:before="240" w:after="0"/>
        <w:jc w:val="both"/>
        <w:rPr>
          <w:rFonts w:ascii="Times New Roman" w:hAnsi="Times New Roman"/>
          <w:i/>
          <w:sz w:val="20"/>
        </w:rPr>
      </w:pPr>
      <w:r>
        <w:rPr>
          <w:rFonts w:ascii="Times New Roman" w:hAnsi="Times New Roman"/>
          <w:i/>
          <w:sz w:val="20"/>
        </w:rPr>
        <w:t xml:space="preserve">We publish our condensed interim consolidated financial statements in Canadian dollars. In this MD&amp;A, unless otherwise specified, all monetary amounts are in Canadian dollars, all references to “C$,” mean Canadian dollars and all references to “$” or “US$” and mean U.S. dollars.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MD&amp;A provides the Company’s management perspective on the financial position and financial performance of the Company and its consolidated subsidiaries for the three month periods ended March 31, 2026 and March 31, 2025. This MD&amp;A provides information to assist readers of, and should be read in conjunction with, the Company’s March 31, 2026 condensed interim consolidated financial statements and the accompanying notes thereto and the December 31, 2025 audited consolidated financial statements and the accompanying notes thereto. The condensed interim consolidated financial statements have been prepared in accordance with IFRS® Accounting Standards as issued by the International Accounting Standards Board (“IASB”) (“IFRS Accounting Standards”) and the financial information included in this MD&amp;A is derived from the condensed interim consolidated financial statements, except as otherwise noted. </w:t>
      </w:r>
    </w:p>
    <w:p>
      <w:pPr>
        <w:pStyle w:val="TextBody"/>
        <w:bidi w:val="0"/>
        <w:spacing w:before="240" w:after="0"/>
        <w:jc w:val="both"/>
        <w:rPr>
          <w:rFonts w:ascii="Times New Roman" w:hAnsi="Times New Roman"/>
          <w:i/>
          <w:sz w:val="20"/>
        </w:rPr>
      </w:pPr>
      <w:r>
        <w:rPr>
          <w:rFonts w:ascii="Times New Roman" w:hAnsi="Times New Roman"/>
          <w:i/>
          <w:sz w:val="20"/>
        </w:rPr>
        <w:t xml:space="preserve">This discussion of the Company’s business may include forward-looking information with respect to the Company, including its operations and strategies, as well as financial performance and conditions, which are subject to a variety of risks and uncertainties. See “Cautionary Note Regarding Forward-Looking Information” below. Readers are directed to carefully review the sections entitled “Non-GAAP Financial Measures” included elsewhere in this MD&amp;A. For a discussion of risks and uncertainties that may affect the Company and its financial position and results, refer to “Risk Factors” in the annual information form for the twelve month period ended December 31, 2025 (the “Annual Information Form”) filed by the Company with the applicable Canadian securities regulatory authorities (available under the Company’s System for Electronic Document Analysis and Retrieval (“SEDAR+”) profile at </w:t>
      </w:r>
      <w:r>
        <w:rPr>
          <w:rFonts w:ascii="Times New Roman" w:hAnsi="Times New Roman"/>
          <w:i/>
          <w:sz w:val="20"/>
          <w:u w:val="single"/>
        </w:rPr>
        <w:t>www.sedarplus.ca</w:t>
      </w:r>
      <w:r>
        <w:rPr>
          <w:rFonts w:ascii="Times New Roman" w:hAnsi="Times New Roman"/>
          <w:i/>
          <w:sz w:val="20"/>
        </w:rPr>
        <w:t xml:space="preserve">) and filed by the Company with the U.S. Securities and Exchange Commission (the “SEC”) as part of the Company’s annual report on Form 40-F (available on the SEC’s EDGAR website at </w:t>
      </w:r>
      <w:r>
        <w:rPr>
          <w:rFonts w:ascii="Times New Roman" w:hAnsi="Times New Roman"/>
          <w:i/>
          <w:sz w:val="20"/>
          <w:u w:val="single"/>
        </w:rPr>
        <w:t>www.sec.gov)</w:t>
      </w:r>
      <w:r>
        <w:rPr>
          <w:rFonts w:ascii="Times New Roman" w:hAnsi="Times New Roman"/>
          <w:i/>
          <w:sz w:val="20"/>
        </w:rPr>
        <w:t xml:space="preserve">, as well as in the other documents Algoma has filed with the OSC and the SEC. </w:t>
      </w:r>
    </w:p>
    <w:p>
      <w:pPr>
        <w:pStyle w:val="TextBody"/>
        <w:bidi w:val="0"/>
        <w:spacing w:before="240" w:after="0"/>
        <w:jc w:val="both"/>
        <w:rPr>
          <w:rFonts w:ascii="Times New Roman" w:hAnsi="Times New Roman"/>
          <w:i/>
          <w:sz w:val="20"/>
        </w:rPr>
      </w:pPr>
      <w:r>
        <w:rPr>
          <w:rFonts w:ascii="Times New Roman" w:hAnsi="Times New Roman"/>
          <w:i/>
          <w:sz w:val="20"/>
        </w:rPr>
        <w:t xml:space="preserve">This MD&amp;A is dated as of May 11, 2026. This document has been approved and authorized for issue by the Board of Directors on May 11, 2026. Events occurring after this date could render the information contained herein inaccurate or misleading in a material respect. </w:t>
      </w:r>
    </w:p>
    <w:p>
      <w:pPr>
        <w:pStyle w:val="TextBody"/>
        <w:bidi w:val="0"/>
        <w:spacing w:before="360" w:after="0"/>
        <w:jc w:val="left"/>
        <w:rPr>
          <w:rFonts w:ascii="Times New Roman" w:hAnsi="Times New Roman"/>
          <w:b/>
          <w:sz w:val="20"/>
        </w:rPr>
      </w:pPr>
      <w:r>
        <w:rPr>
          <w:rFonts w:ascii="Times New Roman" w:hAnsi="Times New Roman"/>
          <w:b/>
          <w:sz w:val="20"/>
        </w:rPr>
        <w:t xml:space="preserve">Functional Currency </w:t>
      </w:r>
    </w:p>
    <w:p>
      <w:pPr>
        <w:pStyle w:val="TextBody"/>
        <w:bidi w:val="0"/>
        <w:spacing w:before="120" w:after="0"/>
        <w:jc w:val="both"/>
        <w:rPr>
          <w:rFonts w:ascii="Times New Roman" w:hAnsi="Times New Roman"/>
          <w:sz w:val="20"/>
        </w:rPr>
      </w:pPr>
      <w:r>
        <w:rPr>
          <w:rFonts w:ascii="Times New Roman" w:hAnsi="Times New Roman"/>
          <w:sz w:val="20"/>
        </w:rPr>
        <w:t xml:space="preserve">The Company’s functional currency is the U.S. dollar, which reflects the Company’s operational exposure to the U.S. dollar. The Company uses the Canadian dollar as its presentation currency. In accordance with IFRS Accounting Standards, all amounts presented are translated to Canadian dollars using the current rate method whereby all revenues, expenses and cash flows are translated at the average rate that was in effect during the period or presented at their Canadian dollar transactional amounts and all assets and liabilities are translated at the prevailing closing rate in effect at the end of the period. Equity transactions have been translated at historical rates. The resulting net translation adjustment has been reflected in other comprehensive income or loss. </w:t>
      </w:r>
    </w:p>
    <w:p>
      <w:pPr>
        <w:pStyle w:val="TextBody"/>
        <w:bidi w:val="0"/>
        <w:spacing w:before="240" w:after="0"/>
        <w:jc w:val="both"/>
        <w:rPr>
          <w:rFonts w:ascii="Times New Roman" w:hAnsi="Times New Roman"/>
          <w:sz w:val="20"/>
        </w:rPr>
      </w:pPr>
      <w:r>
        <w:rPr>
          <w:rFonts w:ascii="Times New Roman" w:hAnsi="Times New Roman"/>
          <w:sz w:val="20"/>
        </w:rPr>
        <w:t xml:space="preserve">The currency exchange rates for the three month periods ended March 31, 2026 and March 31, 2025 are provided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20"/>
        <w:gridCol w:w="256"/>
        <w:gridCol w:w="130"/>
        <w:gridCol w:w="1480"/>
        <w:gridCol w:w="60"/>
        <w:gridCol w:w="256"/>
        <w:gridCol w:w="124"/>
        <w:gridCol w:w="1415"/>
        <w:gridCol w:w="60"/>
        <w:gridCol w:w="256"/>
        <w:gridCol w:w="129"/>
        <w:gridCol w:w="1480"/>
        <w:gridCol w:w="60"/>
        <w:gridCol w:w="256"/>
        <w:gridCol w:w="124"/>
        <w:gridCol w:w="1415"/>
        <w:gridCol w:w="67"/>
      </w:tblGrid>
      <w:tr>
        <w:trPr/>
        <w:tc>
          <w:tcPr>
            <w:tcW w:w="182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465" w:type="dxa"/>
            <w:gridSpan w:val="6"/>
            <w:tcBorders/>
            <w:vAlign w:val="bottom"/>
          </w:tcPr>
          <w:p>
            <w:pPr>
              <w:pStyle w:val="TableContents"/>
              <w:bidi w:val="0"/>
              <w:spacing w:before="0" w:after="283"/>
              <w:jc w:val="center"/>
              <w:rPr>
                <w:b/>
              </w:rPr>
            </w:pPr>
            <w:r>
              <w:rPr>
                <w:b/>
              </w:rPr>
              <w:t>Average Rate</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464" w:type="dxa"/>
            <w:gridSpan w:val="6"/>
            <w:tcBorders/>
            <w:vAlign w:val="bottom"/>
          </w:tcPr>
          <w:p>
            <w:pPr>
              <w:pStyle w:val="TableContents"/>
              <w:bidi w:val="0"/>
              <w:spacing w:before="0" w:after="283"/>
              <w:jc w:val="center"/>
              <w:rPr>
                <w:b/>
              </w:rPr>
            </w:pPr>
            <w:r>
              <w:rPr>
                <w:b/>
              </w:rPr>
              <w:t>Period End Rate</w:t>
            </w:r>
          </w:p>
        </w:tc>
        <w:tc>
          <w:tcPr>
            <w:tcW w:w="67" w:type="dxa"/>
            <w:tcBorders/>
            <w:vAlign w:val="bottom"/>
          </w:tcPr>
          <w:p>
            <w:pPr>
              <w:pStyle w:val="TableContents"/>
              <w:bidi w:val="0"/>
              <w:spacing w:before="0" w:after="283"/>
              <w:jc w:val="left"/>
              <w:rPr/>
            </w:pPr>
            <w:r>
              <w:rPr/>
              <w:t> </w:t>
            </w:r>
          </w:p>
        </w:tc>
      </w:tr>
      <w:tr>
        <w:trPr/>
        <w:tc>
          <w:tcPr>
            <w:tcW w:w="182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 2025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 2025</w:t>
            </w:r>
          </w:p>
        </w:tc>
        <w:tc>
          <w:tcPr>
            <w:tcW w:w="67" w:type="dxa"/>
            <w:tcBorders/>
            <w:vAlign w:val="bottom"/>
          </w:tcPr>
          <w:p>
            <w:pPr>
              <w:pStyle w:val="TableContents"/>
              <w:bidi w:val="0"/>
              <w:spacing w:before="0" w:after="283"/>
              <w:jc w:val="left"/>
              <w:rPr/>
            </w:pPr>
            <w:r>
              <w:rPr/>
              <w:t> </w:t>
            </w:r>
          </w:p>
        </w:tc>
      </w:tr>
      <w:tr>
        <w:trPr/>
        <w:tc>
          <w:tcPr>
            <w:tcW w:w="18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January 1 to March 31</w:t>
            </w:r>
          </w:p>
        </w:tc>
        <w:tc>
          <w:tcPr>
            <w:tcW w:w="25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b/>
              </w:rPr>
            </w:pPr>
            <w:r>
              <w:rPr>
                <w:b/>
              </w:rPr>
              <w:t>1.3715</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1.4350</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80" w:type="dxa"/>
            <w:tcBorders/>
            <w:shd w:fill="CCEEFF" w:val="clear"/>
            <w:vAlign w:val="bottom"/>
          </w:tcPr>
          <w:p>
            <w:pPr>
              <w:pStyle w:val="TableContents"/>
              <w:bidi w:val="0"/>
              <w:spacing w:before="0" w:after="283"/>
              <w:jc w:val="right"/>
              <w:rPr>
                <w:b/>
              </w:rPr>
            </w:pPr>
            <w:r>
              <w:rPr>
                <w:b/>
              </w:rPr>
              <w:t>1.3939</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1.4376</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Information </w:t>
      </w:r>
    </w:p>
    <w:p>
      <w:pPr>
        <w:pStyle w:val="TextBody"/>
        <w:bidi w:val="0"/>
        <w:spacing w:before="120" w:after="0"/>
        <w:jc w:val="both"/>
        <w:rPr>
          <w:rFonts w:ascii="Times New Roman" w:hAnsi="Times New Roman"/>
          <w:sz w:val="20"/>
        </w:rPr>
      </w:pPr>
      <w:r>
        <w:rPr>
          <w:rFonts w:ascii="Times New Roman" w:hAnsi="Times New Roman"/>
          <w:sz w:val="20"/>
        </w:rPr>
        <w:t xml:space="preserve">This MD&amp;A contains “forward-looking statements” within the meaning of the U.S. Private Securities Litigation Reform Act of 1995 and “forward-looking information” under applicable Canadian securities legislation (collectively, “forward-looking statements”), that are subject to risks and uncertainties. These forward-looking statements include information about imposed and threatened tariffs, including the impact, timing and resolution thereof, trends in the pricing of steel, the Company’s expected annual raw steel production capacity and reduction in carbon emissions, the Company’s future as a leading producer of green steel, the potential impacts of inflationary pressures, the Company’s ability to preserve and strengthen near-term liquidity and financial flexibility, labor availability, global supply chain disruptions on costs, the ability to deliver greater and long-term value, ability to offer North America a secure steel supply and a sustainable future, and investment in its people, and processes, and statements regarding potential borrowings under the Company’s credit facilities, and the Company’s strategy, plans or future financial or operating performance. In some cases, you can identify forward-looking statements by the words “believe,” “project,” “expect,” “anticipate,” “estimate,” “intend,” “strategy,” “future,” “opportunity,” “plan,” “pipeline,” “may,” “should,” “will,” “would,” “will be,” “will continue,” “will likely result” or the negative of these terms or other similar expressions. In addition, any statements that refer to expectations, intentions, projections or other characterizations of future events or circumstances contain forward-looking information. Statements containing forward-looking information are not historical facts but instead represent management’s expectations, estimates and projections regarding future events or circumstances. In addition, our business and operations involve numerous risks and uncertainties, many of which are beyond our control, which could result in our expectations not being realized or otherwise materially affect our financial position, financial performance and cash flows. Although management believes that expectations reflected in forward-looking statements are reasonable, such statements involve risks and uncertainties and should not be regarded as a representation by the Company or any other person that the anticipated results will be achieved. The Company cautions you not to place undue reliance upon any such forward-looking statements, which speak only as of the date they are made. Our forward-looking statements are not guarantees of future performance, and actual events, results and outcomes may differ materially from our expectations suggested in any forward-looking statements due to a variety of factors, including, among others, those set forth in the section entitled “Risk factors” in the Annual Information Form. Although it is not possible to identify all of these factors, they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cash flow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capital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low-priced steel imports, decreased trade regulation, and other trade barriers including tariffs and/or trade wars;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operate our business, remain in compliance with debt covenants and make payments on our indebtedness, with a substantial amount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restrictive covenants in debt agreements limit our discretion to operate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significant domestic and international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macroeconomic pressures such as inflation and interest rates in the markets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use of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protracted fall in steel prices resulting in reduced revenue and/or further impairment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excess capacity, resulting in part from expanded production in China and other developing economies;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protracted declines in steel consumption caused by poor economic conditions in North America or by the deterioration of the financial position of our key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increases in annual funding obligations resulting from our under-funded Pension Plans and Wrap Plan (each as defined in the Annual Information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supply and cost of raw materials and energy;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impact of a downgrade in credit rating, including our access to sources of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currency fluctuations, including an increase in the value of the Canadian dollar against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environmental compliance and remediation;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unexpected equipment failures and other business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protracted global recession or depression;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or interpretation of royalty, tax, environmental, greenhouse gas (“GHG”), carbon, accounting and other laws or regulations, including potential environmental liabilities that are not covered by an effective indemnity or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associated with existing and potential lawsuits and regulatory actions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impact of disputes arising with our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implement and realize our business plans, including our ability to fully implement, stabilize and optimize electric arc furnace (“EAF”) steelmaking operations and realize the anticipated operational, financial and strategic benefits of the transformation;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operate the EAF and related melt shop and downstream equipment at sustainable production rates consistent with planned capacity, quality specifications and cost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increases in liquid steel capacity and productivity as a result of the transformation to EAF steelmaking;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cost savings associated with the transformation to EAF steelmaking;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reliance on a single primary steelmaking route following the cessation of blast furnace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realization, measurement and regulatory recognition of expected reductions in carbon dioxide (“CO₂”) emissions associated with the transition to EAF steelmaking, including impacts on carbon compliance obligations, carbon pricing regimes and government support arrangements such as the Federal SIF EAF Loan (as defined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reliability and cost of electrical power required for EAF operations, including the risks that higher cost of internally generated power and market pricing for electricity sourced from our current grid in Northern Ontario could have an adverse impact on our production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completion of planned local and regional electricity transmission and distribution infrastructure upgrades necessary to support the Company’s long-term power requirements, including the risk of delays, capacity constraints or changes in project scope;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Indigenous rights, claims, consultation requirements or related matters to affect ongoing operations, infrastructure, energy supply arrangements or future development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relating to scrap pricing, metallics supply, consumable usage and overall conversion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access to an adequate supply of the various grades of steel scrap;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risks associated with the steel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economic, social and political conditions in North America and certain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general economic conditions, including ongoing market uncertainty and global geopolitical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associated with 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inherent in the Company’s corporate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achieve cost and efficiency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inherent in marketing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risks associated with technology, including electronic, cyber and physical security breaches;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construction risks, including delays and cost overruns;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alternative metallic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decommissioning and environmental risks associated with closed blast furnace and coke oven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business interruption or unexpected technical difficulties, including impact of weather;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counterparty and credit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labour interruptions and difficulties;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capital markets.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particular, you should consider the risks provided under “Risk Factors” in the Annual Information Form. </w:t>
      </w:r>
    </w:p>
    <w:p>
      <w:pPr>
        <w:pStyle w:val="TextBody"/>
        <w:bidi w:val="0"/>
        <w:spacing w:before="240" w:after="0"/>
        <w:jc w:val="both"/>
        <w:rPr>
          <w:rFonts w:ascii="Times New Roman" w:hAnsi="Times New Roman"/>
          <w:sz w:val="20"/>
        </w:rPr>
      </w:pPr>
      <w:r>
        <w:rPr>
          <w:rFonts w:ascii="Times New Roman" w:hAnsi="Times New Roman"/>
          <w:sz w:val="20"/>
        </w:rPr>
        <w:t xml:space="preserve">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Despite a careful process to prepare and review the forward-looking information, there can be no assurance that the underlying assumptions will prove to be correct. Except as required by law, we undertake no obligation to update publicly any forward-looking statements for any reason after the date of this MD&amp;A, to conform these statements to actual results or to changes in our expectations.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Business </w:t>
      </w:r>
    </w:p>
    <w:p>
      <w:pPr>
        <w:pStyle w:val="TextBody"/>
        <w:bidi w:val="0"/>
        <w:spacing w:before="120" w:after="0"/>
        <w:jc w:val="both"/>
        <w:rPr>
          <w:rFonts w:ascii="Times New Roman" w:hAnsi="Times New Roman"/>
          <w:sz w:val="20"/>
        </w:rPr>
      </w:pPr>
      <w:r>
        <w:rPr>
          <w:rFonts w:ascii="Times New Roman" w:hAnsi="Times New Roman"/>
          <w:sz w:val="20"/>
        </w:rPr>
        <w:t xml:space="preserve">Algoma Steel Group Inc., formerly known as 1295908 B.C. Ltd. (the “Company”), was incorporated on March 23, 2021 under the Business Corporations Act of British Columbia solely for the purpose of purchasing Algoma Steel Holdings Inc. The Company’s publicly traded securities under the symbol ‘ASTL’ and ASTLW’ are listed on the Toronto Stock Exchange (TSX) and the Nasdaq Stock Market (“Nasdaq”). Algoma Steel Group Inc. is the ultimate parent holding company of Algoma Steel Inc. and does not conduct any business operations. </w:t>
      </w:r>
    </w:p>
    <w:p>
      <w:pPr>
        <w:pStyle w:val="TextBody"/>
        <w:bidi w:val="0"/>
        <w:spacing w:before="240" w:after="0"/>
        <w:jc w:val="both"/>
        <w:rPr>
          <w:rFonts w:ascii="Times New Roman" w:hAnsi="Times New Roman"/>
          <w:sz w:val="20"/>
        </w:rPr>
      </w:pPr>
      <w:r>
        <w:rPr>
          <w:rFonts w:ascii="Times New Roman" w:hAnsi="Times New Roman"/>
          <w:sz w:val="20"/>
        </w:rPr>
        <w:t xml:space="preserve">Algoma Steel Inc. (“ASI”), the operating company and a wholly-owned subsidiary of Algoma Steel Holdings Inc., was incorporated on May 19, 2016 under the Business Corporations Act of British Columbia. ASI is a producer of hot and cold rolled steel products with its active operations located entirely in Sault Ste. Marie, Ontario, Canada. ASI produces sheet and plate products that are sold primarily in Canada and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Transition to EAF Steelmaking </w:t>
      </w:r>
    </w:p>
    <w:p>
      <w:pPr>
        <w:pStyle w:val="TextBody"/>
        <w:bidi w:val="0"/>
        <w:spacing w:before="120" w:after="0"/>
        <w:jc w:val="both"/>
        <w:rPr>
          <w:rFonts w:ascii="Times New Roman" w:hAnsi="Times New Roman"/>
          <w:sz w:val="20"/>
        </w:rPr>
      </w:pPr>
      <w:r>
        <w:rPr>
          <w:rFonts w:ascii="Times New Roman" w:hAnsi="Times New Roman"/>
          <w:sz w:val="20"/>
        </w:rPr>
        <w:t xml:space="preserve">The President of the United States issued various executive orders and related measures (collectively, the “Trade Actions”) imposing tariffs on products imported from Canada, including tariffs under Section 232 of the Trade Expansion Act of 1962. Pursuant to these Trade Actions, a 25% ad valorem tariff was imposed on all steel and aluminum articles and certain derivative products, without exclusions. These tariffs became effective March 4, 2025, were briefly paused on March 6, 2025, and reinstated on March 12, 2025. On June 4, 2025, the tariffs were increased to 50% for all steel and aluminum imports into the United States. On August 15, 2025, the U.S. Department of Commerce expanded the scope of the tariffs to include an additional 407 categories of steel and aluminum derivative products. In 2026, the United States continued to expand and enforce the scope of these measures, including through the addition and clarification of further downstream and derivative steel and aluminum products subject to the 50% tariff. As of April 2026, these tariffs remain in effect at the 50% level, with expanded product coverage, and continue to have a sustained and material adverse impact on Canadian steel producers’ access to the U.S. market and on North American steel trade flows. </w:t>
      </w:r>
    </w:p>
    <w:p>
      <w:pPr>
        <w:pStyle w:val="TextBody"/>
        <w:bidi w:val="0"/>
        <w:spacing w:before="240" w:after="0"/>
        <w:jc w:val="both"/>
        <w:rPr>
          <w:rFonts w:ascii="Times New Roman" w:hAnsi="Times New Roman"/>
          <w:sz w:val="20"/>
        </w:rPr>
      </w:pPr>
      <w:r>
        <w:rPr>
          <w:rFonts w:ascii="Times New Roman" w:hAnsi="Times New Roman"/>
          <w:sz w:val="20"/>
        </w:rPr>
        <w:t xml:space="preserve">As previously disclosed, the Company had planned to continue blast furnace production through 2027 during a staged transition to EAF steelmaking. However, beginning in early 2025 and intensifying in June 2025, the unprecedented Trade Actions and escalating trade tensions with the United States materially and adversely affected the North American steel market. The scope and magnitude of these Trade Actions was unprecedented and fundamentally disrupted the Company’s established U.S. sales channels. In addition, tariffs on derivative products reduced demand for Canadian-manufactured finished goods exported into the United States, which in turn materially impacted domestic Canadian steel demand. The combined effect was an irreparable contraction in addressable markets for the Company’s integrated blast furnace production. These external market conditions represented a fundamental change to the continued operation of the Company’s integrated blast furnace and coke oven facilities. As a result, the Company’s blast furnace and coke-making operations became commercially and technically unviable, and production was permanently halted. The Company’s ongoing transition to EAF steelmaking, which had been planned as a gradual, multi-year process through 2027, became the sole remaining production pathway. </w:t>
      </w:r>
    </w:p>
    <w:p>
      <w:pPr>
        <w:pStyle w:val="TextBody"/>
        <w:bidi w:val="0"/>
        <w:spacing w:before="240" w:after="0"/>
        <w:jc w:val="both"/>
        <w:rPr>
          <w:rFonts w:ascii="Times New Roman" w:hAnsi="Times New Roman"/>
          <w:sz w:val="20"/>
        </w:rPr>
      </w:pPr>
      <w:r>
        <w:rPr>
          <w:rFonts w:ascii="Times New Roman" w:hAnsi="Times New Roman"/>
          <w:sz w:val="20"/>
        </w:rPr>
        <w:t xml:space="preserve">On September 28, 2025, the Company’s Board of Directors approved a plan to permanently exit coal-based integrated steelmaking operations and accelerate the transition to low-carbon steel production through its new electric arc furnace (“EAF”) facility. On January 18, 2026, production was permanently halted at blast furnace No. 7 and the associated coke batteries, ending 125 years of coal-based steelmaking operations at the Company. Following the transition, the Company is focusing its operations on EAF-based steel production, with an increased emphasis on discrete plate products and reduced coil production, while aligning its product mix with prevailing demand conditions in the Canadian steel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Company is now solely relying on liquid steel production from the EAF process route. With EAF production now underway, the Company is advancing toward a more flexible, cost-effective, and environmentally responsible steelmaking model that supports long-term shareholder value. </w:t>
      </w:r>
    </w:p>
    <w:p>
      <w:pPr>
        <w:pStyle w:val="TextBody"/>
        <w:bidi w:val="0"/>
        <w:spacing w:before="240" w:after="0"/>
        <w:jc w:val="both"/>
        <w:rPr>
          <w:rFonts w:ascii="Times New Roman" w:hAnsi="Times New Roman"/>
          <w:sz w:val="20"/>
        </w:rPr>
      </w:pPr>
      <w:r>
        <w:rPr>
          <w:rFonts w:ascii="Times New Roman" w:hAnsi="Times New Roman"/>
          <w:sz w:val="20"/>
        </w:rPr>
        <w:t xml:space="preserve">Ramp-up activities for the EAF project are progressing in line with expectations. The Unit One furnace and associated melt shop assets are performing as designed, with quality metrics achieved across a range of plate and hot-rolled coil product grades. The Q-One power system and other key process components have demonstrated stable and reliable performance, supporting consistent metallurgical quality and process control. Operations are currently running on a full 24-hour-per-day schedule.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Company’s Response to Tariffs </w:t>
      </w:r>
    </w:p>
    <w:p>
      <w:pPr>
        <w:pStyle w:val="TextBody"/>
        <w:bidi w:val="0"/>
        <w:spacing w:before="120" w:after="0"/>
        <w:jc w:val="both"/>
        <w:rPr>
          <w:rFonts w:ascii="Times New Roman" w:hAnsi="Times New Roman"/>
          <w:sz w:val="20"/>
        </w:rPr>
      </w:pPr>
      <w:r>
        <w:rPr>
          <w:rFonts w:ascii="Times New Roman" w:hAnsi="Times New Roman"/>
          <w:sz w:val="20"/>
        </w:rPr>
        <w:t xml:space="preserve">As discussed above, the President of the United States issued Trade Actions imposing tariffs on products imported from Canada, including tariffs under Section 232 of the Trade Expansion Act of 1962. As of April 2026, pursuant to these Trade Actions, a 50% tariff for all steel and aluminum imports to the United States remain in effect on steel the Company imports into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The ongoing impact of the Trade Actions, including tariffs on steel and derivative products, together with prolonged trade uncertainty, has continued to contribute to significant volatility in steel demand and pricing in both the U.S. and Canadian markets. In addition to adversely impacting the Company’s access to the U.S. steel market, the tariffs on derivative products have also negatively affected Canadian manufacturing demand for steel used in converted products destined for the U.S. market. As a result, the Trade Actions have adversely affected steel demand in both the United States and Canada. Ongoing concerns regarding supply chain disruptions, market access and changing customer purchasing patterns have further contributed to market instability. In addition, uncertainty surrounding U.S. trade policy has contributed to volatility in foreign exchange markets, including the U.S. dollar exchange rate, which impacts the Company’s sales and cost structure through changes in raw material costs (principally scrap steel), pricing competitiveness, and cross-border trade dynamics. </w:t>
      </w:r>
    </w:p>
    <w:p>
      <w:pPr>
        <w:pStyle w:val="TextBody"/>
        <w:bidi w:val="0"/>
        <w:spacing w:before="240" w:after="0"/>
        <w:jc w:val="both"/>
        <w:rPr>
          <w:rFonts w:ascii="Times New Roman" w:hAnsi="Times New Roman"/>
          <w:sz w:val="20"/>
        </w:rPr>
      </w:pPr>
      <w:r>
        <w:rPr>
          <w:rFonts w:ascii="Times New Roman" w:hAnsi="Times New Roman"/>
          <w:sz w:val="20"/>
        </w:rPr>
        <w:t xml:space="preserve">In most cases, the Company has not been able to pass tariff costs through to customers. Unlike the predominantly contract-based U.S. steel market, the Canadian steel market is more heavily weighted toward spot market transactions. As a result, the Company has experienced a widening pricing imbalance between the U.S. and Canadian markets, with Canadian transactional pricing declining below comparable U.S. pricing levels. The Company believes this imbalance has been driven by increased supply into the Canadian market from domestic producers, the continued shipment of steel products into Canada by U.S. steel manufacturers, and increased import offers from offshore producers at prices believed to be below fair market value. During the three-month period ended March 31, 2026, the Company incurred direct tariff costs of C$27.4 million, compared to C$10.5 million during the three-month period ended March 31, 2025. During the three-month periods ended March 31, 2026 and March 31, 2025, steel shipments to the United States represented 28% and 52%, respectively, of total steel shipments. </w:t>
      </w:r>
    </w:p>
    <w:p>
      <w:pPr>
        <w:pStyle w:val="TextBody"/>
        <w:bidi w:val="0"/>
        <w:spacing w:before="240" w:after="0"/>
        <w:jc w:val="both"/>
        <w:rPr>
          <w:rFonts w:ascii="Times New Roman" w:hAnsi="Times New Roman"/>
          <w:sz w:val="20"/>
        </w:rPr>
      </w:pPr>
      <w:r>
        <w:rPr>
          <w:rFonts w:ascii="Times New Roman" w:hAnsi="Times New Roman"/>
          <w:sz w:val="20"/>
        </w:rPr>
        <w:t xml:space="preserve">As discussed above, the Company exited its coal-based integrated steelmaking operations in January 2026 and accelerated the transition to EAF steelmaking. In connection with this plan, on December 1, 2025, the Company issued layoff notices (the “Layoffs”) to 1,005 unionized employees, to take effect March 23, 2026. The Layoffs resulted in expected severance costs totaling C$45.8 million, which were recognized in the consolidated statements of net loss for the twelve month period ended December 31, 2025. To align production with prevailing market conditions, the Company intends to focus on the manufacturing and sale of discrete plate and to scale back coil production, with predominant emphasis on the Canadian market. As EAF production ramps up, the Company expects to align product offerings with domestic demand. </w:t>
      </w:r>
    </w:p>
    <w:p>
      <w:pPr>
        <w:pStyle w:val="TextBody"/>
        <w:bidi w:val="0"/>
        <w:spacing w:before="240" w:after="0"/>
        <w:jc w:val="both"/>
        <w:rPr>
          <w:rFonts w:ascii="Times New Roman" w:hAnsi="Times New Roman"/>
          <w:sz w:val="20"/>
        </w:rPr>
      </w:pPr>
      <w:r>
        <w:rPr>
          <w:rFonts w:ascii="Times New Roman" w:hAnsi="Times New Roman"/>
          <w:sz w:val="20"/>
        </w:rPr>
        <w:t xml:space="preserve">Historically, the Company secured key raw materials under annual and multi-year supply agreements to support its integrated steel operations and cross-border business. In response to the impacts of the Trade Actions as previously discussed, the Company issued notices asserting that certain raw material and other supply agreements had been frustrated. The Company has initiated and is responding to legal proceedings relating to certain supply agreements, including proceedings arising from the Company’s position that certain agreements have been frustrated as a result of the unprecedented Trade Actions described above. The Company’s position is that these external governmental actions destroyed the essential purpose of those agreements, rendering continued performance radically different from what was originally contemplated and commercially impossible. Management continues to monitor these proceedings and will recognize provisions where a present obligation exists and a reliable estimate of loss can be made. While management believes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that it has valid legal remedies and defenses to these claims, an adverse outcome in certain matters could have a material adverse effect on the Company’s consolidated financial condition or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further exploring liquidity tools and funding programs that could support its current operations and enable strategic diversification of products, including LETL Facilities, as defined and described further below. </w:t>
      </w:r>
    </w:p>
    <w:p>
      <w:pPr>
        <w:pStyle w:val="TextBody"/>
        <w:bidi w:val="0"/>
        <w:spacing w:before="360" w:after="0"/>
        <w:jc w:val="left"/>
        <w:rPr>
          <w:rFonts w:ascii="Times New Roman" w:hAnsi="Times New Roman"/>
          <w:b/>
          <w:sz w:val="20"/>
        </w:rPr>
      </w:pPr>
      <w:r>
        <w:rPr>
          <w:rFonts w:ascii="Times New Roman" w:hAnsi="Times New Roman"/>
          <w:b/>
          <w:sz w:val="20"/>
        </w:rPr>
        <w:t xml:space="preserve">Key Leadership Changes </w:t>
      </w:r>
    </w:p>
    <w:p>
      <w:pPr>
        <w:pStyle w:val="TextBody"/>
        <w:bidi w:val="0"/>
        <w:spacing w:before="120" w:after="0"/>
        <w:jc w:val="both"/>
        <w:rPr>
          <w:rFonts w:ascii="Times New Roman" w:hAnsi="Times New Roman"/>
          <w:sz w:val="20"/>
        </w:rPr>
      </w:pPr>
      <w:r>
        <w:rPr>
          <w:rFonts w:ascii="Times New Roman" w:hAnsi="Times New Roman"/>
          <w:sz w:val="20"/>
        </w:rPr>
        <w:t xml:space="preserve">Michael Garcia, former Chief Executive Officer, retired at the end of 2025 after successfully leading Algoma through a period of major transformation. Effective January 1, 2026, Rajat Marwah, formerly Chief Financial Officer, became Chief Executive Officer and Michael Moraca, formerly Vice President, Corporate Development and Treasurer, was appointed Chief Financial Officer. These appointments reflect the Company’s structured succession plan and the depth of leadership experience within Algoma’s management team.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Matters </w:t>
      </w:r>
    </w:p>
    <w:p>
      <w:pPr>
        <w:pStyle w:val="TextBody"/>
        <w:bidi w:val="0"/>
        <w:spacing w:before="120" w:after="0"/>
        <w:jc w:val="both"/>
        <w:rPr>
          <w:rFonts w:ascii="Times New Roman" w:hAnsi="Times New Roman"/>
          <w:sz w:val="20"/>
        </w:rPr>
      </w:pPr>
      <w:r>
        <w:rPr>
          <w:rFonts w:ascii="Times New Roman" w:hAnsi="Times New Roman"/>
          <w:sz w:val="20"/>
        </w:rPr>
        <w:t xml:space="preserve">Steel producers such as Algoma are subject to numerous environmental laws and regulations (“Environmental Law”), including federal and provincial, relating to the protection of the environment. The Company can incur regulatory liability as well as civil liability for contamination on-site (soil, groundwater, indoor air), contaminant migration and impacts off-site including in respect of groundwater, rivers, lakes, other waterways, and air emissions. </w:t>
      </w:r>
    </w:p>
    <w:p>
      <w:pPr>
        <w:pStyle w:val="TextBody"/>
        <w:bidi w:val="0"/>
        <w:spacing w:before="240" w:after="0"/>
        <w:jc w:val="both"/>
        <w:rPr>
          <w:rFonts w:ascii="Times New Roman" w:hAnsi="Times New Roman"/>
          <w:sz w:val="20"/>
        </w:rPr>
      </w:pPr>
      <w:r>
        <w:rPr>
          <w:rFonts w:ascii="Times New Roman" w:hAnsi="Times New Roman"/>
          <w:sz w:val="20"/>
        </w:rPr>
        <w:t xml:space="preserve">On June 9, 2022, the Company experienced an incident involving the release of an oil-based lubricant from its hot mill in Sault Ste. Marie, a quantity of which entered the St. Mary’s River. Provincial and federal regulators investigated the incident, and charges were laid under applicable environmental legislation. The Company has reached an agreement in principle with federal and provincial authorities to resolve these matters, subject to final documentation and required approvals. While the settlement process is not yet complete, the Company expects the matter to be concluded on this basis and does not anticipate that the final outcome will have a material adverse effect on its financial position. </w:t>
      </w:r>
    </w:p>
    <w:p>
      <w:pPr>
        <w:pStyle w:val="TextBody"/>
        <w:bidi w:val="0"/>
        <w:spacing w:before="240" w:after="0"/>
        <w:jc w:val="both"/>
        <w:rPr>
          <w:rFonts w:ascii="Times New Roman" w:hAnsi="Times New Roman"/>
          <w:sz w:val="20"/>
        </w:rPr>
      </w:pPr>
      <w:r>
        <w:rPr>
          <w:rFonts w:ascii="Times New Roman" w:hAnsi="Times New Roman"/>
          <w:sz w:val="20"/>
        </w:rPr>
        <w:t xml:space="preserve">Algoma has implemented operational and procedural enhancements following the incident and remains committed to maintaining compliance with applicable environmental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Fatal Incident Involving an Employee of a Contractor </w:t>
      </w:r>
    </w:p>
    <w:p>
      <w:pPr>
        <w:pStyle w:val="TextBody"/>
        <w:bidi w:val="0"/>
        <w:spacing w:before="120" w:after="0"/>
        <w:jc w:val="both"/>
        <w:rPr>
          <w:rFonts w:ascii="Times New Roman" w:hAnsi="Times New Roman"/>
          <w:sz w:val="20"/>
        </w:rPr>
      </w:pPr>
      <w:r>
        <w:rPr>
          <w:rFonts w:ascii="Times New Roman" w:hAnsi="Times New Roman"/>
          <w:sz w:val="20"/>
        </w:rPr>
        <w:t xml:space="preserve">On June 16, 2023, the Company reported a fatal incident involving an employee of a contractor who was retained to perform specialized maintenance work cleaning an out-of-service gas line. The Company investigated the fatal accident internally and worked with provincial authorities as they investigated. On May 2, 2024, the Company was served with three charges under the provincial Occupational Health &amp; Safety Act in connection with the fatality. The Company is responding accordingly.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Report </w:t>
      </w:r>
    </w:p>
    <w:p>
      <w:pPr>
        <w:pStyle w:val="TextBody"/>
        <w:bidi w:val="0"/>
        <w:spacing w:before="120" w:after="0"/>
        <w:jc w:val="both"/>
        <w:rPr>
          <w:rFonts w:ascii="Times New Roman" w:hAnsi="Times New Roman"/>
          <w:sz w:val="20"/>
        </w:rPr>
      </w:pPr>
      <w:r>
        <w:rPr>
          <w:rFonts w:ascii="Times New Roman" w:hAnsi="Times New Roman"/>
          <w:sz w:val="20"/>
        </w:rPr>
        <w:t xml:space="preserve">As part of our commitment to continue to augment our transparency and accountability on environmental, social and governance (“ESG”), the Company published its third annual sustainability report, (the “Sustainability Report”) in June 2025. Algoma aims to be a climate change leader and contributor toward a sustainable and environmentally responsible future for Canadian steel production. The report was designed to align with market-leading, investor preferred ESG disclosure frameworks, such as the Sustainability Accounting Standards Board and the recommendations of the Task Force on Climate-related Financial Disclosures. The Sustainability Report sets out the Company’s ESG strategy, and its approach to mitigating ESG risks and capturing ESG opportunities, and provides an update on the Company’s ESG performance. The Company intends to publish its next report in June 2026. </w:t>
      </w:r>
    </w:p>
    <w:p>
      <w:pPr>
        <w:pStyle w:val="TextBody"/>
        <w:bidi w:val="0"/>
        <w:spacing w:before="240" w:after="0"/>
        <w:jc w:val="both"/>
        <w:rPr>
          <w:rFonts w:ascii="Times New Roman" w:hAnsi="Times New Roman"/>
          <w:sz w:val="20"/>
        </w:rPr>
      </w:pPr>
      <w:r>
        <w:rPr>
          <w:rFonts w:ascii="Times New Roman" w:hAnsi="Times New Roman"/>
          <w:sz w:val="20"/>
        </w:rPr>
        <w:t xml:space="preserve">Oversight of sustainability matters is embedded in our governance structure. Our Board of Directors holds ultimate accountability for sustainability-related risks and opportunities, including those related to climate. The Nominating and Governance Committee supports the Board in overseeing these matters, in coordination with other Board committees, and regularly reports to the full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Structural Corridor Collapse </w:t>
      </w:r>
    </w:p>
    <w:p>
      <w:pPr>
        <w:pStyle w:val="TextBody"/>
        <w:bidi w:val="0"/>
        <w:spacing w:before="120" w:after="0"/>
        <w:jc w:val="both"/>
        <w:rPr>
          <w:rFonts w:ascii="Times New Roman" w:hAnsi="Times New Roman"/>
          <w:sz w:val="20"/>
        </w:rPr>
      </w:pPr>
      <w:r>
        <w:rPr>
          <w:rFonts w:ascii="Times New Roman" w:hAnsi="Times New Roman"/>
          <w:sz w:val="20"/>
        </w:rPr>
        <w:t xml:space="preserve">On January 20, 2024, a structural corridor carrying various utilities crucial for the Company’s coke oven battery and blast furnace operations suffered an unexpected collapse. An independent investigation revealed an unforeseen escalating overload condition, resulting in a failure of a structural support member of the utility corridor, thereby causing the subsequent cascading collapse of other support structures. The collapse disrupted the flow of coke oven gas from the batteries to the rest of the steelworks, as well as a portion of the natural gas and oxygen flow to specific facilities, most critically the blast furnace. The unforeseen structural collapse did not result in any injuries, but for safety reasons, various areas near the collapse were evacuated and blast furnace operations were suspended at the time of the incident. Due to the unexpected shutdown and delayed restart, the blast furnace experienced operational challenges culminating in a chilled hearth, which suspended production for a period of three weeks, during which roughly 150,000 tons of hot metal production was lost.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standard insurance coverage that is intended to address events such as these, including business interruption and property damage insurance. The Company has engaged its insurers and has submitted claims under its insurance policies for covered losses.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and its insurers continue to review the impact of the structural collapse and subsequent lost production as it relates to the insurance claim. During the three month periods ended March 31, 2026 and March 31, 2025, the Company recorded insurance proceeds totalling nil and C$50.0 million, respectively, which have been presented in other income in the condensed interim consolidated statements of net loss. </w:t>
      </w:r>
    </w:p>
    <w:p>
      <w:pPr>
        <w:pStyle w:val="TextBody"/>
        <w:bidi w:val="0"/>
        <w:spacing w:before="360" w:after="0"/>
        <w:jc w:val="left"/>
        <w:rPr>
          <w:rFonts w:ascii="Times New Roman" w:hAnsi="Times New Roman"/>
          <w:b/>
          <w:sz w:val="20"/>
        </w:rPr>
      </w:pPr>
      <w:r>
        <w:rPr>
          <w:rFonts w:ascii="Times New Roman" w:hAnsi="Times New Roman"/>
          <w:b/>
          <w:sz w:val="20"/>
        </w:rPr>
        <w:t xml:space="preserve">LETL Facilities </w:t>
      </w:r>
    </w:p>
    <w:p>
      <w:pPr>
        <w:pStyle w:val="TextBody"/>
        <w:bidi w:val="0"/>
        <w:spacing w:before="120" w:after="0"/>
        <w:jc w:val="both"/>
        <w:rPr>
          <w:rFonts w:ascii="Times New Roman" w:hAnsi="Times New Roman"/>
          <w:sz w:val="20"/>
        </w:rPr>
      </w:pPr>
      <w:r>
        <w:rPr>
          <w:rFonts w:ascii="Times New Roman" w:hAnsi="Times New Roman"/>
          <w:sz w:val="20"/>
        </w:rPr>
        <w:t xml:space="preserve">On November 14, 2025, the Company entered into agreements with Canada Enterprise Emergency Funding Corporation (“CEEFC”) under the Large Enterprise Tariff Loan program and the Ministry of Northern Economic Development and Growth to secure a C$500 million governmental loan comprised of a C$400 million loan facility from the Government of Canada and a C$100 million loan facility from the Province of Ontario (collectively, the “LETL Facilities”). </w:t>
      </w:r>
    </w:p>
    <w:p>
      <w:pPr>
        <w:pStyle w:val="TextBody"/>
        <w:bidi w:val="0"/>
        <w:spacing w:before="240" w:after="0"/>
        <w:jc w:val="both"/>
        <w:rPr>
          <w:rFonts w:ascii="Times New Roman" w:hAnsi="Times New Roman"/>
          <w:sz w:val="20"/>
        </w:rPr>
      </w:pPr>
      <w:r>
        <w:rPr>
          <w:rFonts w:ascii="Times New Roman" w:hAnsi="Times New Roman"/>
          <w:sz w:val="20"/>
        </w:rPr>
        <w:t xml:space="preserve">Each facility consists of: 20% secured loan facility, ranking junior to the Company’s existing first lien Revolving Credit Facility and its 9.125% Senior Secured Second Lien Note; and 80% unsecured loan facility. Amounts may be drawn monthly for up to 36 months following closing, subject to satisfaction of customary conditions precedent. Individual monthly advances are capped and may be suspended if: tariffs affecting the Company’s exports to the United States fall below certain thresholds for a sustained period; or the Company’s liquidity exceeds C$700 million (excluding availability on the LETL). </w:t>
      </w:r>
    </w:p>
    <w:p>
      <w:pPr>
        <w:pStyle w:val="TextBody"/>
        <w:bidi w:val="0"/>
        <w:spacing w:before="240" w:after="0"/>
        <w:jc w:val="both"/>
        <w:rPr>
          <w:rFonts w:ascii="Times New Roman" w:hAnsi="Times New Roman"/>
          <w:sz w:val="20"/>
        </w:rPr>
      </w:pPr>
      <w:r>
        <w:rPr>
          <w:rFonts w:ascii="Times New Roman" w:hAnsi="Times New Roman"/>
          <w:i/>
          <w:sz w:val="20"/>
        </w:rPr>
        <w:t>Maturity</w:t>
      </w:r>
      <w:r>
        <w:rPr>
          <w:rFonts w:ascii="Times New Roman" w:hAnsi="Times New Roman"/>
          <w:sz w:val="20"/>
        </w:rPr>
        <w:t xml:space="preserve">. The facilities mature seven years from the closing date, with no scheduled amortization prior to maturity. </w:t>
      </w:r>
    </w:p>
    <w:p>
      <w:pPr>
        <w:pStyle w:val="TextBody"/>
        <w:bidi w:val="0"/>
        <w:spacing w:before="240" w:after="0"/>
        <w:jc w:val="both"/>
        <w:rPr>
          <w:rFonts w:ascii="Times New Roman" w:hAnsi="Times New Roman"/>
          <w:sz w:val="20"/>
        </w:rPr>
      </w:pPr>
      <w:r>
        <w:rPr>
          <w:rFonts w:ascii="Times New Roman" w:hAnsi="Times New Roman"/>
          <w:i/>
          <w:sz w:val="20"/>
        </w:rPr>
        <w:t>Interest</w:t>
      </w:r>
      <w:r>
        <w:rPr>
          <w:rFonts w:ascii="Times New Roman" w:hAnsi="Times New Roman"/>
          <w:sz w:val="20"/>
        </w:rPr>
        <w:t xml:space="preserve">. Interest accrues at Term CORRA (3-month) + 200 basis points, increasing by 200 basis points on each anniversary after year three. The Company may elect to capitalize interest (PIK) during the first two years, subject to certain conditions. </w:t>
      </w:r>
    </w:p>
    <w:p>
      <w:pPr>
        <w:pStyle w:val="TextBody"/>
        <w:bidi w:val="0"/>
        <w:spacing w:before="240" w:after="0"/>
        <w:jc w:val="both"/>
        <w:rPr>
          <w:rFonts w:ascii="Times New Roman" w:hAnsi="Times New Roman"/>
          <w:sz w:val="20"/>
        </w:rPr>
      </w:pPr>
      <w:r>
        <w:rPr>
          <w:rFonts w:ascii="Times New Roman" w:hAnsi="Times New Roman"/>
          <w:i/>
          <w:sz w:val="20"/>
        </w:rPr>
        <w:t>Ranking and Security</w:t>
      </w:r>
      <w:r>
        <w:rPr>
          <w:rFonts w:ascii="Times New Roman" w:hAnsi="Times New Roman"/>
          <w:sz w:val="20"/>
        </w:rPr>
        <w:t xml:space="preserve">. The secured portion of the facilities ranks third-lien, junior to the Company’s existing asset-based lending facility and second-lien secured notes, and pari passu with certain other government facilities. The unsecured portion ranks pari passu with other unsecured indebtedness of the Company. </w:t>
      </w:r>
    </w:p>
    <w:p>
      <w:pPr>
        <w:pStyle w:val="TextBody"/>
        <w:bidi w:val="0"/>
        <w:spacing w:before="240" w:after="0"/>
        <w:jc w:val="both"/>
        <w:rPr>
          <w:rFonts w:ascii="Times New Roman" w:hAnsi="Times New Roman"/>
          <w:sz w:val="20"/>
        </w:rPr>
      </w:pPr>
      <w:r>
        <w:rPr>
          <w:rFonts w:ascii="Times New Roman" w:hAnsi="Times New Roman"/>
          <w:i/>
          <w:sz w:val="20"/>
        </w:rPr>
        <w:t>Use of Proceeds</w:t>
      </w:r>
      <w:r>
        <w:rPr>
          <w:rFonts w:ascii="Times New Roman" w:hAnsi="Times New Roman"/>
          <w:sz w:val="20"/>
        </w:rPr>
        <w:t xml:space="preserve">. Loan proceeds may be used for operating expenses; ordinary course obligations; and capital expenditures consistent with the Company’s business plan. Proceeds may not be used to repay existing indebtedness, fund acquisitions or make investments outside the ordinary course of business, subject to certain exceptions. </w:t>
      </w:r>
    </w:p>
    <w:p>
      <w:pPr>
        <w:pStyle w:val="TextBody"/>
        <w:bidi w:val="0"/>
        <w:spacing w:before="240" w:after="0"/>
        <w:jc w:val="both"/>
        <w:rPr>
          <w:rFonts w:ascii="Times New Roman" w:hAnsi="Times New Roman"/>
          <w:sz w:val="20"/>
        </w:rPr>
      </w:pPr>
      <w:r>
        <w:rPr>
          <w:rFonts w:ascii="Times New Roman" w:hAnsi="Times New Roman"/>
          <w:i/>
          <w:sz w:val="20"/>
        </w:rPr>
        <w:t>Warrants</w:t>
      </w:r>
      <w:r>
        <w:rPr>
          <w:rFonts w:ascii="Times New Roman" w:hAnsi="Times New Roman"/>
          <w:sz w:val="20"/>
        </w:rPr>
        <w:t xml:space="preserve">. In connection with the unsecured portion of the facilities, the Company issued warrants to purchase common shares of Algoma Steel Group Inc. The principal terms include: exercise price of C$11.08 per share; 10-year term; and vesting proportionately as advances are drawn under the unsecured facility. The warrants also include customary anti-dilution protections, registration rights, and a repurchase right allowing the Company to repurchase the warrants following repayment of the facilities at fair market value or the in-the-money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Covenants and Restrictions</w:t>
      </w:r>
      <w:r>
        <w:rPr>
          <w:rFonts w:ascii="Times New Roman" w:hAnsi="Times New Roman"/>
          <w:sz w:val="20"/>
        </w:rPr>
        <w:t xml:space="preserve">. While the facilities remain outstanding, the Company is subject to customary covenants, including restrictions relating to: payment of dividends and share repurchases; incurrence of additional indebtedness; transactions with non-arm’s length parties; mergers, acquisitions and asset sales; and transfers of Canadian operations outside Canada. The Company must also maintain compliance with certain financial covenants under its existing credit facilities. </w:t>
      </w:r>
    </w:p>
    <w:p>
      <w:pPr>
        <w:pStyle w:val="TextBody"/>
        <w:bidi w:val="0"/>
        <w:spacing w:before="240" w:after="0"/>
        <w:jc w:val="both"/>
        <w:rPr>
          <w:rFonts w:ascii="Times New Roman" w:hAnsi="Times New Roman"/>
          <w:sz w:val="20"/>
        </w:rPr>
      </w:pPr>
      <w:r>
        <w:rPr>
          <w:rFonts w:ascii="Times New Roman" w:hAnsi="Times New Roman"/>
          <w:i/>
          <w:sz w:val="20"/>
        </w:rPr>
        <w:t>Executive Compensation Restrictions</w:t>
      </w:r>
      <w:r>
        <w:rPr>
          <w:rFonts w:ascii="Times New Roman" w:hAnsi="Times New Roman"/>
          <w:sz w:val="20"/>
        </w:rPr>
        <w:t xml:space="preserve">. For a specified period, the Company is subject to limitations on executive compensation for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facilities contain customary representations, warranties, reporting obligations, and events of default, including cross-default provisions, insolvency events and change-of-control triggers. </w:t>
      </w:r>
    </w:p>
    <w:p>
      <w:pPr>
        <w:pStyle w:val="TextBody"/>
        <w:bidi w:val="0"/>
        <w:spacing w:before="240" w:after="0"/>
        <w:jc w:val="both"/>
        <w:rPr>
          <w:rFonts w:ascii="Times New Roman" w:hAnsi="Times New Roman"/>
          <w:sz w:val="20"/>
        </w:rPr>
      </w:pPr>
      <w:r>
        <w:rPr>
          <w:rFonts w:ascii="Times New Roman" w:hAnsi="Times New Roman"/>
          <w:sz w:val="20"/>
        </w:rPr>
        <w:t xml:space="preserve">Copies of the foregoing documents are available under the Company’s profiles on SEDAR+ at </w:t>
      </w:r>
      <w:r>
        <w:rPr>
          <w:rFonts w:ascii="Times New Roman" w:hAnsi="Times New Roman"/>
          <w:sz w:val="20"/>
          <w:u w:val="single"/>
        </w:rPr>
        <w:t>www.sedarplus.ca</w:t>
      </w:r>
      <w:r>
        <w:rPr>
          <w:rFonts w:ascii="Times New Roman" w:hAnsi="Times New Roman"/>
          <w:sz w:val="20"/>
        </w:rPr>
        <w:t xml:space="preserve"> and on the SEC’s EDGAR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Strategic Arrangement </w:t>
      </w:r>
    </w:p>
    <w:p>
      <w:pPr>
        <w:pStyle w:val="TextBody"/>
        <w:bidi w:val="0"/>
        <w:spacing w:before="120" w:after="0"/>
        <w:jc w:val="both"/>
        <w:rPr>
          <w:rFonts w:ascii="Times New Roman" w:hAnsi="Times New Roman"/>
          <w:sz w:val="20"/>
        </w:rPr>
      </w:pPr>
      <w:r>
        <w:rPr>
          <w:rFonts w:ascii="Times New Roman" w:hAnsi="Times New Roman"/>
          <w:sz w:val="20"/>
        </w:rPr>
        <w:t xml:space="preserve">On January 26, 2026, the Company announced that its wholly owned subsidiary, Algoma Steel Inc., has entered into a binding Memorandum of Understanding (MOU) with Hanwha Ocean Co. Ltd. to establish a long-term strategic arrangement with an aggregate potential value of U.S. $250.0 million comprised of (i) a cash contribution of U.S. $200.0 million towards the potential development of a structural steel beam mill and (ii) anticipated purchases of the Company’s products with an aggregate value of up to U.S. $50.0 million for use in connection with its Canadian Patrol Submarine Project (“CPSP”)-related commitments. The MOU is subject to Hanwha Ocean Co. Ltd. being awarded and entering into an effective contract under the CPSP and the negotiation and execution of definitive agreements with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April 7, 2026, the Company announced the formation of Roshel Algoma Defence, which is a joint venture with Roshel Inc, a Canadian-owned defence manufacturer of smart armoured vehicles, to establish a Canadian Centre of Excellence for Ballistic Steel Production. This partnership is purpose-built to deliver sovereign ballistic steel defence solutions, including full-cycle capabilities such as metal fabrication, forming, welding, and machining in Canada. </w:t>
      </w:r>
    </w:p>
    <w:p>
      <w:pPr>
        <w:pStyle w:val="TextBody"/>
        <w:bidi w:val="0"/>
        <w:spacing w:before="360" w:after="0"/>
        <w:jc w:val="left"/>
        <w:rPr>
          <w:rFonts w:ascii="Times New Roman" w:hAnsi="Times New Roman"/>
          <w:b/>
          <w:sz w:val="20"/>
        </w:rPr>
      </w:pPr>
      <w:r>
        <w:rPr>
          <w:rFonts w:ascii="Times New Roman" w:hAnsi="Times New Roman"/>
          <w:b/>
          <w:sz w:val="20"/>
        </w:rPr>
        <w:t xml:space="preserve">Factors Affecting Financial Performance </w:t>
      </w:r>
    </w:p>
    <w:p>
      <w:pPr>
        <w:pStyle w:val="TextBody"/>
        <w:bidi w:val="0"/>
        <w:spacing w:before="120" w:after="0"/>
        <w:jc w:val="both"/>
        <w:rPr>
          <w:rFonts w:ascii="Times New Roman" w:hAnsi="Times New Roman"/>
          <w:sz w:val="20"/>
        </w:rPr>
      </w:pPr>
      <w:r>
        <w:rPr>
          <w:rFonts w:ascii="Times New Roman" w:hAnsi="Times New Roman"/>
          <w:sz w:val="20"/>
        </w:rPr>
        <w:t xml:space="preserve">The Company’s financial performance is significantly influenced by the cost and availability of key inputs and by global and regional market dynamics affecting steel prices and demand. Historically, the Company’s costs were primarily driven by commodity prices, including those for iron ore, coal, coke, scrap, electricity, and natural gas. Under EAF steelmaking, the Company’s most significant costs driven by commodity prices primarily include scrap, electricity, and natural gas. Inflationary pressures or volatility in these input costs can materially affect profitability. These pressures may arise from global supply and demand imbalances, geopolitical tensions, trade policies, currency exchange fluctuations, natural disasters, or other macroeconomic factors beyond the Company’s control. Sustained increases in raw material or energy prices can erode profit margins and impair the Company’s ability to maintain competitive pricing. In addition, volatility in input markets can complicate supply chain management, increase working capital requirements, and affect the timely and cost-effective procurement of essential materials. </w:t>
      </w:r>
    </w:p>
    <w:p>
      <w:pPr>
        <w:pStyle w:val="TextBody"/>
        <w:bidi w:val="0"/>
        <w:spacing w:before="240" w:after="0"/>
        <w:jc w:val="both"/>
        <w:rPr>
          <w:rFonts w:ascii="Times New Roman" w:hAnsi="Times New Roman"/>
          <w:sz w:val="20"/>
        </w:rPr>
      </w:pPr>
      <w:r>
        <w:rPr>
          <w:rFonts w:ascii="Times New Roman" w:hAnsi="Times New Roman"/>
          <w:sz w:val="20"/>
        </w:rPr>
        <w:t xml:space="preserve">As the Company transitioned to EAF steelmaking in early 2026, the procurement of sufficient quantities of high-quality scrap steel has become a critical factor in operational efficiency and cost competitiveness. Access to scrap depends on collection volumes, regional recycling rates, industrial activity, and competition among regional EAF producers. The Company’s geographic location provides proximity to major scrap markets and waterborne transportation routes; however, economic access to scrap sources and freight logistics across the Great Lakes system are key to maintaining reliable supply and cost-effective delivery. Market dislocations, export restrictions, or transportation constraints could adversely affect the Company’s ability to secure scrap at competitive prices. </w:t>
      </w:r>
    </w:p>
    <w:p>
      <w:pPr>
        <w:pStyle w:val="TextBody"/>
        <w:bidi w:val="0"/>
        <w:spacing w:before="240" w:after="0"/>
        <w:jc w:val="both"/>
        <w:rPr>
          <w:rFonts w:ascii="Times New Roman" w:hAnsi="Times New Roman"/>
          <w:sz w:val="20"/>
        </w:rPr>
      </w:pPr>
      <w:r>
        <w:rPr>
          <w:rFonts w:ascii="Times New Roman" w:hAnsi="Times New Roman"/>
          <w:sz w:val="20"/>
        </w:rPr>
        <w:t xml:space="preserve">North American steel pricing is determined largely by global supply-demand conditions, international trade policies, import volumes, and regional economic performance. Competitive pressures are influenced by global steelmaking overcapacity, fluctuations in raw material costs, and domestic and foreign trade policies of various trading countries. North American producers compete with producers in Europe, China, and other Asian countries—regions where export decisions are sometimes guided more by domestic economic or political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policies than by prevailing market forces. Trade policies between Canada and the United States, as well as import measures affecting the broader North American market, have a material impact on domestic demand, selling prices, and overall industry margins. </w:t>
      </w:r>
    </w:p>
    <w:p>
      <w:pPr>
        <w:pStyle w:val="TextBody"/>
        <w:bidi w:val="0"/>
        <w:spacing w:before="240" w:after="0"/>
        <w:jc w:val="both"/>
        <w:rPr>
          <w:rFonts w:ascii="Times New Roman" w:hAnsi="Times New Roman"/>
          <w:sz w:val="20"/>
        </w:rPr>
      </w:pPr>
      <w:r>
        <w:rPr>
          <w:rFonts w:ascii="Times New Roman" w:hAnsi="Times New Roman"/>
          <w:sz w:val="20"/>
        </w:rPr>
        <w:t xml:space="preserve">Ongoing uncertainty surrounding trade relations between the United States and Canada—including the potential for continuing tariffs, quotas, or other restrictions on cross-border steel and raw material trade—has a direct impact on market stability, pricing dynamics, and investment confidence in both countries. Changes in U.S. trade policy can alter the flow of steel and scrap materials across the border, affecting regional supply-demand balances and price differentials between the U.S. Midwest and Central Canadian markets. The Company’s exposure to these dynamics can influence input costs, realized selling prices, and overall competitiveness within the North American steel market. </w:t>
      </w:r>
    </w:p>
    <w:p>
      <w:pPr>
        <w:pStyle w:val="TextBody"/>
        <w:bidi w:val="0"/>
        <w:spacing w:before="240" w:after="0"/>
        <w:jc w:val="both"/>
        <w:rPr>
          <w:rFonts w:ascii="Times New Roman" w:hAnsi="Times New Roman"/>
          <w:sz w:val="20"/>
        </w:rPr>
      </w:pPr>
      <w:r>
        <w:rPr>
          <w:rFonts w:ascii="Times New Roman" w:hAnsi="Times New Roman"/>
          <w:sz w:val="20"/>
        </w:rPr>
        <w:t xml:space="preserve">According to the World Steel Association, crude steel production across the 69 reporting countries reached approximately 141.8 million tonnes in February 2026, representing a 2.2% decrease over February 2025, with China accounting for roughly 54% of global output (World Steel Association, “February 2026 crude steel production and 2026 global crude steel production total,” March 24, 2026). The Organization for Economic Cooperation and Development (OECD) continues to report challenging global conditions characterized by persistent excess capacity. As of the latest estimates, global steelmaking capacity stands at approximately 2,445 million metric tonnes, projected to exceed demand by more than 721 million tonnes by 2027—equivalent to roughly 48 times the size of the Canadian steel industry. Current investment data indicate that 165 million tonnes of new gross capacity are under construction worldwide and expected to come online between 2025 and 2027, further contributing to competitive intensity and potential pricing pressure. </w:t>
      </w:r>
    </w:p>
    <w:p>
      <w:pPr>
        <w:pStyle w:val="TextBody"/>
        <w:bidi w:val="0"/>
        <w:spacing w:before="360" w:after="0"/>
        <w:jc w:val="left"/>
        <w:rPr>
          <w:rFonts w:ascii="Times New Roman" w:hAnsi="Times New Roman"/>
          <w:b/>
          <w:sz w:val="20"/>
        </w:rPr>
      </w:pPr>
      <w:r>
        <w:rPr>
          <w:rFonts w:ascii="Times New Roman" w:hAnsi="Times New Roman"/>
          <w:b/>
          <w:sz w:val="20"/>
        </w:rPr>
        <w:t xml:space="preserve">Overall Results </w:t>
      </w:r>
    </w:p>
    <w:p>
      <w:pPr>
        <w:pStyle w:val="TextBody"/>
        <w:bidi w:val="0"/>
        <w:spacing w:before="120" w:after="0"/>
        <w:jc w:val="left"/>
        <w:rPr>
          <w:rFonts w:ascii="Times New Roman" w:hAnsi="Times New Roman"/>
          <w:b/>
          <w:sz w:val="20"/>
        </w:rPr>
      </w:pPr>
      <w:r>
        <w:rPr>
          <w:rFonts w:ascii="Times New Roman" w:hAnsi="Times New Roman"/>
          <w:b/>
          <w:sz w:val="20"/>
        </w:rPr>
        <w:t xml:space="preserve">Net Loss </w:t>
      </w:r>
    </w:p>
    <w:p>
      <w:pPr>
        <w:pStyle w:val="TextBody"/>
        <w:bidi w:val="0"/>
        <w:spacing w:before="120" w:after="0"/>
        <w:jc w:val="both"/>
        <w:rPr>
          <w:rFonts w:ascii="Times New Roman" w:hAnsi="Times New Roman"/>
          <w:sz w:val="20"/>
        </w:rPr>
      </w:pPr>
      <w:r>
        <w:rPr>
          <w:rFonts w:ascii="Times New Roman" w:hAnsi="Times New Roman"/>
          <w:sz w:val="20"/>
        </w:rPr>
        <w:t xml:space="preserve">The Company’s net loss for the three month period ended March 31, 2026 was C$159.4 million compared to net loss of C$24.5 million for the three month period ended March 31, 2025, resulting in a C$134.9 million increase in net loss. The increase is primarily due to a decrease in insurance proceeds (C$50.0 million), change in fair value of Initial Public Offering (“IPO”) and LETL Warrant (as defined herein) liabilities (C$44.8 million), decrease in income tax recovery (C$26.4 million), change in fair value of share-based compensation liability (C$15.5 million), and the increase in loss from operations (C$13.6 million) for reasons described below in Loss from Operations. This was offset, in part, by an increase in foreign exchange gain (C$15.2 million), </w:t>
      </w:r>
    </w:p>
    <w:p>
      <w:pPr>
        <w:pStyle w:val="TextBody"/>
        <w:bidi w:val="0"/>
        <w:spacing w:before="360" w:after="0"/>
        <w:jc w:val="left"/>
        <w:rPr>
          <w:rFonts w:ascii="Times New Roman" w:hAnsi="Times New Roman"/>
          <w:b/>
          <w:sz w:val="20"/>
        </w:rPr>
      </w:pPr>
      <w:r>
        <w:rPr>
          <w:rFonts w:ascii="Times New Roman" w:hAnsi="Times New Roman"/>
          <w:b/>
          <w:sz w:val="20"/>
        </w:rPr>
        <w:t>Loss from Operations</w:t>
      </w:r>
    </w:p>
    <w:p>
      <w:pPr>
        <w:pStyle w:val="TextBody"/>
        <w:bidi w:val="0"/>
        <w:spacing w:before="120" w:after="0"/>
        <w:jc w:val="both"/>
        <w:rPr>
          <w:rFonts w:ascii="Times New Roman" w:hAnsi="Times New Roman"/>
          <w:sz w:val="20"/>
        </w:rPr>
      </w:pPr>
      <w:r>
        <w:rPr>
          <w:rFonts w:ascii="Times New Roman" w:hAnsi="Times New Roman"/>
          <w:sz w:val="20"/>
        </w:rPr>
        <w:t xml:space="preserve">The Company’s loss from operations for the three month period ended March 31, 2026 was C$153.5 million compared to C$139.9 million for the three month period ended March 31, 2025, resulting in a C$13.6 million increase of loss from operations. The increase is primarily driven by lower steel shipments and tariff costs (C$16.9 million), particularly due to the S232 Tariffs. The increase was also affected by capacity utilization (C$90.2 million) resulting from the accelerated transition to EAF steelmaking. This was offset, in part, by improved product mix and a decrease in administrative and selling expenses (C$4.0 million),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both"/>
        <w:rPr>
          <w:rFonts w:ascii="Times New Roman" w:hAnsi="Times New Roman"/>
          <w:sz w:val="20"/>
        </w:rPr>
      </w:pPr>
      <w:r>
        <w:rPr>
          <w:rFonts w:ascii="Times New Roman" w:hAnsi="Times New Roman"/>
          <w:sz w:val="20"/>
        </w:rPr>
        <w:t xml:space="preserve">In this MD&amp;A, we use certain non-GAAP measures to evaluate the performance of the Company. These terms do not have any standardized meaning prescribed under IFRS Accounting Standards and, therefore, may not be comparable to similar measures presented by other companies. Rather, these measures are provided as additional information to complement those IFRS Accounting Standards measures by providing a further understanding of our financial performance from management’s perspective. Accordingly, they should not be considered in isolation nor as a substitute for analysis of our financial information reported in accordance with IFRS Accounting Standards. As described below, the terms “EBITDA,” “Adjusted EBITDA,” “Adjusted EBITDA margin,” “Adjusted EBITDA per ton,” “Average Net Sales Realization” (“NSR”), “Cost of Steel Products Sold” and “Cost Per Ton of Steel Products Sold” are financial measures utilized by the Company in evaluating its financial results that are not defined by IFRS Accounting Standards. EBITDA refers to net income or loss before depreciation of property, plant, equipment and amortization of intangible assets, finance costs, interest on pension and other post-employment benefit obligations and income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Adjusted EBITDA refers to EBITDA before foreign exchange loss (gain), finance income, carbon tax, changes in fair value of IPO and LETL Warrants, earnout rights, share-based compensation liabilities, share-based compensation related to the Company’s Omnibus Long Term Incentive Plan, derivatives, certain inventory adjustments, impairment loss, legal settlement, severance costs, stranded inventory and capacity utilization, as described below. Adjusted EBITDA margin is calculated by dividing Adjusted EBITDA by revenue for the corresponding period. Adjusted EBITDA per ton is calculated by dividing Adjusted EBITDA by tons of steel products sold for the corresponding period. EBITDA and Adjusted EBITDA are not intended to represent cash flow from operations, as defined by IFRS Accounting Standards, and should not be considered as alternatives to income from operations or any other measure of performance prescribed by IFRS Accounting Standards. EBITDA and Adjusted EBITDA, as defined and used by the Company, may not be comparable to EBITDA and Adjusted EBITDA as defined and used by other companies. </w:t>
      </w:r>
    </w:p>
    <w:p>
      <w:pPr>
        <w:pStyle w:val="TextBody"/>
        <w:bidi w:val="0"/>
        <w:spacing w:before="240" w:after="0"/>
        <w:jc w:val="both"/>
        <w:rPr>
          <w:rFonts w:ascii="Times New Roman" w:hAnsi="Times New Roman"/>
          <w:sz w:val="20"/>
        </w:rPr>
      </w:pPr>
      <w:r>
        <w:rPr>
          <w:rFonts w:ascii="Times New Roman" w:hAnsi="Times New Roman"/>
          <w:sz w:val="20"/>
        </w:rPr>
        <w:t xml:space="preserve">We consider EBITDA and Adjusted EBITDA to be meaningful measures to assess our operating performance in addition to IFRS Accounting Standards measures. These measures are included because we believe they can be useful in measuring our operating performance and our ability to expand our business and provide management and investors with additional information for comparison of our operating results across different time periods. EBITDA and Adjusted EBITDA are also used by analysts and our lenders as measures of our financial performance. In addition, we consider Adjusted EBITDA margin and Adjusted EBITDA per ton, to be useful measures of our operating performance and profitability across different time periods that enhance the comparability of our results. For a reconciliation of EBITDA and Adjusted EBITDA to its most comparable IFRS Accounting Standards financial measure, see “Adjusted EBITDA” presented in this MD&amp;A. Average Net Sales Realization refers to steel revenue less freight revenue per steel tons shipped. Average Net Sales Realization is included because it allows management and investors to evaluate our selling prices per ton of steel products sold, excluding the geographic impact of freight charges, in order to enhance comparability when comparing our sales performance to that of our competitors. Cost Per Ton of Steel Products Sold refers to cost of steel revenue less freight, depreciation and carbon tax (included in cost of steel revenue) per steel tons shipped. Cost Per Ton of Steel Products Sold allows management and investors to evaluate our cost of steel products sold on a per ton basis, excluding certain of the items that we exclude when calculating Adjusted EBITDA, to evaluate our operating performance and to enhance the comparability of our costs over different time periods. We consider each of Average Net Sales Realization and Cost Per Ton of Steel Products Sold to be meaningful measures to assess our operating performance in addition to IFRS Accounting Standards measures. </w:t>
      </w:r>
    </w:p>
    <w:p>
      <w:pPr>
        <w:pStyle w:val="TextBody"/>
        <w:bidi w:val="0"/>
        <w:spacing w:before="240" w:after="0"/>
        <w:jc w:val="both"/>
        <w:rPr>
          <w:rFonts w:ascii="Times New Roman" w:hAnsi="Times New Roman"/>
          <w:sz w:val="20"/>
        </w:rPr>
      </w:pPr>
      <w:r>
        <w:rPr>
          <w:rFonts w:ascii="Times New Roman" w:hAnsi="Times New Roman"/>
          <w:sz w:val="20"/>
        </w:rPr>
        <w:t xml:space="preserve">EBITDA, Adjusted EBITDA, Average Net Sales Realization, Cost Per Ton of Steel Products Sold, Adjusted EBITDA margin and Adjusted EBITDA per ton have limitations as analytical tools and should not be considered in isolation from, or as alternatives to, net income, cash flow from operations or other data prepared in accordance with IFRS Accounting Standards. Some of these limitations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cash outlays for capital expenditures or contractual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changes in, or cash requirements for,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finance costs, or the cash requirements necessary to service interest or principal payments on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interest on pension and other post-employment benefit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income tax expense or the cash necessary to pay income taxes;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cash requirements for such replacements.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in the case of Adjusted EBITDA, Adjusted EBITDA margin and Adjusted EBITDA per ton: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certain non-cash items, including share-based compensation charges, impairment loss, and the accounting for IPO and LETL Warrants, earnout and share-based payment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impact of changes resulting from foreign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impact of carbon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impact of certain inventory adjustments, including stranded inventory as a result of the accelerated transition to EAF steelmaking;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exclude certain non-recurring items, such as transaction costs, severance costs and capacity utilization which were as a result of the accelerated transition to EAF steelmaking;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impact of past service costs related to pension benefits and post-employment benefits;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they do not reflect the impact of other earnings or charges resulting from matters we believe not to be indicative of our ongoing operations, including legal settlements.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Because of these limitations EBITDA, Adjusted EBITDA and the related ratios such as Adjusted EBITDA margin and Adjusted EBITDA per ton should not be considered as measures of discretionary cash available to invest in business growth or to reduce indebtedness. In addition, other companies, including other companies in our industry, may calculate these measures differently than we do, limiting their usefulness as comparative measures. We compensate for these limitations by relying primarily on our IFRS Accounting Standards results using such measures only as a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Steel Revenue and Cost of Sales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56"/>
        <w:gridCol w:w="171"/>
        <w:gridCol w:w="60"/>
        <w:gridCol w:w="140"/>
        <w:gridCol w:w="60"/>
        <w:gridCol w:w="85"/>
        <w:gridCol w:w="60"/>
        <w:gridCol w:w="440"/>
        <w:gridCol w:w="328"/>
        <w:gridCol w:w="85"/>
        <w:gridCol w:w="291"/>
        <w:gridCol w:w="84"/>
        <w:gridCol w:w="84"/>
        <w:gridCol w:w="107"/>
        <w:gridCol w:w="83"/>
        <w:gridCol w:w="1170"/>
        <w:gridCol w:w="155"/>
        <w:gridCol w:w="141"/>
        <w:gridCol w:w="258"/>
        <w:gridCol w:w="79"/>
        <w:gridCol w:w="79"/>
        <w:gridCol w:w="103"/>
        <w:gridCol w:w="79"/>
        <w:gridCol w:w="1111"/>
        <w:gridCol w:w="163"/>
      </w:tblGrid>
      <w:tr>
        <w:trPr/>
        <w:tc>
          <w:tcPr>
            <w:tcW w:w="315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09" w:type="dxa"/>
            <w:gridSpan w:val="6"/>
            <w:tcBorders>
              <w:bottom w:val="single" w:sz="8" w:space="0" w:color="000000"/>
            </w:tcBorders>
            <w:tcMar>
              <w:bottom w:w="28" w:type="dxa"/>
            </w:tcMar>
            <w:vAlign w:val="bottom"/>
          </w:tcPr>
          <w:p>
            <w:pPr>
              <w:pStyle w:val="TableContents"/>
              <w:bidi w:val="0"/>
              <w:spacing w:before="0" w:after="283"/>
              <w:jc w:val="center"/>
              <w:rPr/>
            </w:pPr>
            <w:r>
              <w:rPr/>
              <w:t>Three months</w:t>
              <w:br/>
              <w:t>ended March 31,</w:t>
              <w:br/>
              <w:t>2025</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tons</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Steel Shipments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both"/>
              <w:rPr>
                <w:rFonts w:ascii="SYMBOL" w:hAnsi="SYMBOL"/>
                <w:sz w:val="20"/>
              </w:rPr>
            </w:pPr>
            <w:r>
              <w:rPr>
                <w:rFonts w:ascii="SYMBOL" w:hAnsi="SYMBOL"/>
                <w:sz w:val="20"/>
              </w:rPr>
              <w:t>¯</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b/>
              </w:rPr>
            </w:pPr>
            <w:r>
              <w:rPr>
                <w:b/>
              </w:rPr>
              <w:t>52.4</w:t>
            </w:r>
          </w:p>
        </w:tc>
        <w:tc>
          <w:tcPr>
            <w:tcW w:w="328"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223,681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469,731</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millions of dollars</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both"/>
              <w:rPr>
                <w:rFonts w:ascii="SYMBOL" w:hAnsi="SYMBOL"/>
                <w:sz w:val="20"/>
              </w:rPr>
            </w:pPr>
            <w:r>
              <w:rPr>
                <w:rFonts w:ascii="SYMBOL" w:hAnsi="SYMBOL"/>
                <w:sz w:val="20"/>
              </w:rPr>
              <w:t>¯</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b/>
              </w:rPr>
            </w:pPr>
            <w:r>
              <w:rPr>
                <w:b/>
              </w:rPr>
              <w:t>42.6</w:t>
            </w:r>
          </w:p>
        </w:tc>
        <w:tc>
          <w:tcPr>
            <w:tcW w:w="328"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C$</w:t>
            </w:r>
          </w:p>
        </w:tc>
        <w:tc>
          <w:tcPr>
            <w:tcW w:w="84"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296.9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C$</w:t>
            </w:r>
          </w:p>
        </w:tc>
        <w:tc>
          <w:tcPr>
            <w:tcW w:w="7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517.1</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Freight included in revenue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(26.6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(51.1</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Non-steel revenue</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(2.8</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Steel revenue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both"/>
              <w:rPr>
                <w:rFonts w:ascii="SYMBOL" w:hAnsi="SYMBOL"/>
                <w:sz w:val="20"/>
              </w:rPr>
            </w:pPr>
            <w:r>
              <w:rPr>
                <w:rFonts w:ascii="SYMBOL" w:hAnsi="SYMBOL"/>
                <w:sz w:val="20"/>
              </w:rPr>
              <w:t>¯</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b/>
              </w:rPr>
            </w:pPr>
            <w:r>
              <w:rPr>
                <w:b/>
              </w:rPr>
              <w:t>42.4</w:t>
            </w:r>
          </w:p>
        </w:tc>
        <w:tc>
          <w:tcPr>
            <w:tcW w:w="328"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C$</w:t>
            </w:r>
          </w:p>
        </w:tc>
        <w:tc>
          <w:tcPr>
            <w:tcW w:w="84"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266.9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C$</w:t>
            </w:r>
          </w:p>
        </w:tc>
        <w:tc>
          <w:tcPr>
            <w:tcW w:w="7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463.2</w:t>
            </w:r>
          </w:p>
        </w:tc>
        <w:tc>
          <w:tcPr>
            <w:tcW w:w="163" w:type="dxa"/>
            <w:tcBorders/>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 of steel revenue (i)</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both"/>
              <w:rPr>
                <w:rFonts w:ascii="SYMBOL" w:hAnsi="SYMBOL"/>
                <w:sz w:val="20"/>
              </w:rPr>
            </w:pPr>
            <w:r>
              <w:rPr>
                <w:rFonts w:ascii="SYMBOL" w:hAnsi="SYMBOL"/>
                <w:sz w:val="20"/>
              </w:rPr>
              <w:t>¯</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b/>
              </w:rPr>
            </w:pPr>
            <w:r>
              <w:rPr>
                <w:b/>
              </w:rPr>
              <w:t>31.2</w:t>
            </w:r>
          </w:p>
        </w:tc>
        <w:tc>
          <w:tcPr>
            <w:tcW w:w="328" w:type="dxa"/>
            <w:tcBorders/>
            <w:shd w:fill="CCEEFF" w:val="clear"/>
            <w:vAlign w:val="bottom"/>
          </w:tcPr>
          <w:p>
            <w:pPr>
              <w:pStyle w:val="TableContents"/>
              <w:bidi w:val="0"/>
              <w:spacing w:before="0" w:after="283"/>
              <w:jc w:val="left"/>
              <w:rPr>
                <w:b/>
              </w:rPr>
            </w:pPr>
            <w:r>
              <w:rPr>
                <w:b/>
              </w:rPr>
              <w:t>% </w:t>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C$</w:t>
            </w:r>
          </w:p>
        </w:tc>
        <w:tc>
          <w:tcPr>
            <w:tcW w:w="84"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393.5</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C$</w:t>
            </w:r>
          </w:p>
        </w:tc>
        <w:tc>
          <w:tcPr>
            <w:tcW w:w="79"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572.2</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included in cost of steel revenue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(34.8</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Carbon tax included in cost of steel revenue</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(3.5</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Capacity utilization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(90.2</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 of steel products sold (ii)</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both"/>
              <w:rPr>
                <w:rFonts w:ascii="SYMBOL" w:hAnsi="SYMBOL"/>
                <w:sz w:val="20"/>
              </w:rPr>
            </w:pPr>
            <w:r>
              <w:rPr>
                <w:rFonts w:ascii="SYMBOL" w:hAnsi="SYMBOL"/>
                <w:sz w:val="20"/>
              </w:rPr>
              <w:t>¯</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b/>
              </w:rPr>
            </w:pPr>
            <w:r>
              <w:rPr>
                <w:b/>
              </w:rPr>
              <w:t>50.6</w:t>
            </w:r>
          </w:p>
        </w:tc>
        <w:tc>
          <w:tcPr>
            <w:tcW w:w="328" w:type="dxa"/>
            <w:tcBorders/>
            <w:shd w:fill="CCEEFF" w:val="clear"/>
            <w:vAlign w:val="bottom"/>
          </w:tcPr>
          <w:p>
            <w:pPr>
              <w:pStyle w:val="TableContents"/>
              <w:bidi w:val="0"/>
              <w:spacing w:before="0" w:after="283"/>
              <w:jc w:val="left"/>
              <w:rPr>
                <w:b/>
              </w:rPr>
            </w:pPr>
            <w:r>
              <w:rPr>
                <w:b/>
              </w:rPr>
              <w:t>% </w:t>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C$</w:t>
            </w:r>
          </w:p>
        </w:tc>
        <w:tc>
          <w:tcPr>
            <w:tcW w:w="84"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264.0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C$</w:t>
            </w:r>
          </w:p>
        </w:tc>
        <w:tc>
          <w:tcPr>
            <w:tcW w:w="79"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533.9</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i/>
                <w:sz w:val="20"/>
              </w:rPr>
            </w:pPr>
            <w:r>
              <w:rPr>
                <w:rFonts w:ascii="Times New Roman" w:hAnsi="Times New Roman"/>
                <w:i/>
                <w:sz w:val="20"/>
              </w:rPr>
              <w:t>dollars per ton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 per ton of steel sold</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both"/>
              <w:rPr>
                <w:rFonts w:ascii="WINGDINGS 3" w:hAnsi="WINGDINGS 3"/>
                <w:sz w:val="20"/>
              </w:rPr>
            </w:pPr>
            <w:r>
              <w:rPr>
                <w:rFonts w:ascii="WINGDINGS 3" w:hAnsi="WINGDINGS 3"/>
                <w:sz w:val="20"/>
              </w:rPr>
              <w:t>h</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b/>
              </w:rPr>
            </w:pPr>
            <w:r>
              <w:rPr>
                <w:b/>
              </w:rPr>
              <w:t>20.5</w:t>
            </w:r>
          </w:p>
        </w:tc>
        <w:tc>
          <w:tcPr>
            <w:tcW w:w="328" w:type="dxa"/>
            <w:tcBorders/>
            <w:shd w:fill="CCEEFF" w:val="clear"/>
            <w:vAlign w:val="bottom"/>
          </w:tcPr>
          <w:p>
            <w:pPr>
              <w:pStyle w:val="TableContents"/>
              <w:bidi w:val="0"/>
              <w:spacing w:before="0" w:after="283"/>
              <w:jc w:val="left"/>
              <w:rPr>
                <w:b/>
              </w:rPr>
            </w:pPr>
            <w:r>
              <w:rPr>
                <w:b/>
              </w:rPr>
              <w:t>% </w:t>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C$</w:t>
            </w:r>
          </w:p>
        </w:tc>
        <w:tc>
          <w:tcPr>
            <w:tcW w:w="84"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b/>
              </w:rPr>
            </w:pPr>
            <w:r>
              <w:rPr>
                <w:b/>
              </w:rPr>
              <w:t>1,327</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C$</w:t>
            </w:r>
          </w:p>
        </w:tc>
        <w:tc>
          <w:tcPr>
            <w:tcW w:w="79"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1,101</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Cost of steel revenue per ton of steel sold</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both"/>
              <w:rPr>
                <w:rFonts w:ascii="WINGDINGS 3" w:hAnsi="WINGDINGS 3"/>
                <w:sz w:val="20"/>
              </w:rPr>
            </w:pPr>
            <w:r>
              <w:rPr>
                <w:rFonts w:ascii="WINGDINGS 3" w:hAnsi="WINGDINGS 3"/>
                <w:sz w:val="20"/>
              </w:rPr>
              <w:t>h</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b/>
              </w:rPr>
            </w:pPr>
            <w:r>
              <w:rPr>
                <w:b/>
              </w:rPr>
              <w:t>44.4</w:t>
            </w:r>
          </w:p>
        </w:tc>
        <w:tc>
          <w:tcPr>
            <w:tcW w:w="328"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C$</w:t>
            </w:r>
          </w:p>
        </w:tc>
        <w:tc>
          <w:tcPr>
            <w:tcW w:w="84"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b/>
              </w:rPr>
            </w:pPr>
            <w:r>
              <w:rPr>
                <w:b/>
              </w:rPr>
              <w:t>1,759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C$</w:t>
            </w:r>
          </w:p>
        </w:tc>
        <w:tc>
          <w:tcPr>
            <w:tcW w:w="7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1,218</w:t>
            </w:r>
          </w:p>
        </w:tc>
        <w:tc>
          <w:tcPr>
            <w:tcW w:w="163" w:type="dxa"/>
            <w:tcBorders/>
            <w:vAlign w:val="bottom"/>
          </w:tcPr>
          <w:p>
            <w:pPr>
              <w:pStyle w:val="TableContents"/>
              <w:bidi w:val="0"/>
              <w:spacing w:before="0" w:after="283"/>
              <w:jc w:val="left"/>
              <w:rPr/>
            </w:pPr>
            <w:r>
              <w:rPr/>
              <w:t> </w:t>
            </w:r>
          </w:p>
        </w:tc>
      </w:tr>
      <w:tr>
        <w:trPr/>
        <w:tc>
          <w:tcPr>
            <w:tcW w:w="3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Average net sales realization on steel sales (ii), (iii)</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both"/>
              <w:rPr>
                <w:rFonts w:ascii="WINGDINGS 3" w:hAnsi="WINGDINGS 3"/>
                <w:sz w:val="20"/>
              </w:rPr>
            </w:pPr>
            <w:r>
              <w:rPr>
                <w:rFonts w:ascii="WINGDINGS 3" w:hAnsi="WINGDINGS 3"/>
                <w:sz w:val="20"/>
              </w:rPr>
              <w:t>h</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C$</w:t>
            </w:r>
          </w:p>
        </w:tc>
        <w:tc>
          <w:tcPr>
            <w:tcW w:w="84"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1,193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C$</w:t>
            </w:r>
          </w:p>
        </w:tc>
        <w:tc>
          <w:tcPr>
            <w:tcW w:w="79"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986</w:t>
            </w:r>
          </w:p>
        </w:tc>
        <w:tc>
          <w:tcPr>
            <w:tcW w:w="163" w:type="dxa"/>
            <w:tcBorders/>
            <w:shd w:fill="CCEEFF" w:val="clear"/>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per ton of steel products sold (ii)</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both"/>
              <w:rPr>
                <w:rFonts w:ascii="WINGDINGS 3" w:hAnsi="WINGDINGS 3"/>
                <w:sz w:val="20"/>
              </w:rPr>
            </w:pPr>
            <w:r>
              <w:rPr>
                <w:rFonts w:ascii="WINGDINGS 3" w:hAnsi="WINGDINGS 3"/>
                <w:sz w:val="20"/>
              </w:rPr>
              <w:t>h</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3.8</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4"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1,180</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C$</w:t>
            </w:r>
          </w:p>
        </w:tc>
        <w:tc>
          <w:tcPr>
            <w:tcW w:w="79"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1,137</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 of steel revenue includes the cost of steel tariffs. See “Tariffs” for further discussion.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“Non-GAAP Measures” for information regarding the limitations of using average net sales realization on steel sales, cost of steel products sold and cost per ton of steel products sold.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steel revenue, being revenue less (a) freight included in revenue and (b) non-steel revenue divided by the number of tons of steel shipments during the applicable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Revenue and steel revenue decreased by 42.6% and 42.4%, respectively, due to lower steel shipments during the three month period ended March 31, 2026 as compared to the three month period ended March 31, 2025. The Company’s average NSR on steel sales per ton shipped was C$1,193 for the three month period ended March 31, 2026 (March 31, 2025 - C$986), an increase of 21.0%. Steel shipment volumes decreased by 52.4% during the three month period ended March 31, 2026 as compared to the three month period ended March 31, 2025. Lower steel shipments were resultant from weakening market conditions, particularly due to the S232 Tariffs which impacted the Company’s export sales and resulted in over-supply of the Canadian market at reduced transactional pricing. This was offset, in part, by improved product mix. </w:t>
      </w:r>
    </w:p>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the Company’s cost of steel revenue decreased by 31.2% to C$393.5 million (March 31, 2025 - C$572.2 million), and the cost of steel products sold decreased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50.6% to C$264.0 million (March 31, 2025 - C$533.9 million). The decrease in cost of steel revenue is primarily due to lower steel shipments, particularly due to the S232 Tariffs. This was offset, in part, by capacity utilization (C$90.2 million), resulting from the accelerated transition to EAF steelmaking and exceptionally low production volumes, and an increase in tariff costs (C$16.9 million). The decrease in cost of steel products sold, which excludes depreciation, capacity utilization, as described below, and carbon tax, was driven mainly by lower steel shipments. Cost per ton of steel products sold was C$1,180 for the three month period ended March 31, 2026 (March 31, 2025 - C$1,137), which was primarily due to tariff costs. </w:t>
      </w:r>
    </w:p>
    <w:p>
      <w:pPr>
        <w:pStyle w:val="TextBody"/>
        <w:bidi w:val="0"/>
        <w:spacing w:before="240" w:after="0"/>
        <w:jc w:val="both"/>
        <w:rPr>
          <w:rFonts w:ascii="Times New Roman" w:hAnsi="Times New Roman"/>
          <w:sz w:val="20"/>
        </w:rPr>
      </w:pPr>
      <w:r>
        <w:rPr>
          <w:rFonts w:ascii="Times New Roman" w:hAnsi="Times New Roman"/>
          <w:sz w:val="20"/>
        </w:rPr>
        <w:t xml:space="preserve">Capacity utilization represents the excess fixed costs carried by the Company during the three month period ended March 31, 2026 beyond what was required to operate the EAF and the downstream operations supplied by the EAF at the volumes produced. These costs are primarily labour, equipment leases and rentals, fixed utilities, and maintenance costs associated with legacy assets and the Company’s previous operating configuration. These costs are expected to decline over the course of the next six months and be fully eliminated by Q-4. </w:t>
      </w:r>
    </w:p>
    <w:p>
      <w:pPr>
        <w:pStyle w:val="TextBody"/>
        <w:bidi w:val="0"/>
        <w:spacing w:before="240" w:after="0"/>
        <w:jc w:val="both"/>
        <w:rPr>
          <w:rFonts w:ascii="Times New Roman" w:hAnsi="Times New Roman"/>
          <w:sz w:val="20"/>
        </w:rPr>
      </w:pPr>
      <w:r>
        <w:rPr>
          <w:rFonts w:ascii="Times New Roman" w:hAnsi="Times New Roman"/>
          <w:sz w:val="20"/>
        </w:rPr>
        <w:t xml:space="preserve">As discussed above in The Company’s Response to Tariffs, the Company was subject to 25% tariffs on outbound steel shipments to the United States, effective March 4, 2025, paused on March 6, 2025, and then reinstated March 12, 2025. Starting June 4, 2025, the tariffs on outbound steel shipments to the United States was increased to 50%. For the three month period ended March 31, 2026, direct tariff costs of C$27.4 million were included in Cost of Sales (March 31, 2025 - C$10.5 million). </w:t>
      </w:r>
    </w:p>
    <w:p>
      <w:pPr>
        <w:pStyle w:val="TextBody"/>
        <w:bidi w:val="0"/>
        <w:spacing w:before="240" w:after="0"/>
        <w:jc w:val="both"/>
        <w:rPr>
          <w:rFonts w:ascii="Times New Roman" w:hAnsi="Times New Roman"/>
          <w:sz w:val="20"/>
        </w:rPr>
      </w:pPr>
      <w:r>
        <w:rPr>
          <w:rFonts w:ascii="Times New Roman" w:hAnsi="Times New Roman"/>
          <w:sz w:val="20"/>
        </w:rPr>
        <w:t xml:space="preserve">The Company’s costs associated to tariffs on inbound purchases from the United States were negligible for the three month periods ended March 31, 2026 and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Non-steel Revenue </w:t>
      </w:r>
    </w:p>
    <w:p>
      <w:pPr>
        <w:pStyle w:val="TextBody"/>
        <w:bidi w:val="0"/>
        <w:spacing w:before="120" w:after="0"/>
        <w:jc w:val="both"/>
        <w:rPr>
          <w:rFonts w:ascii="Times New Roman" w:hAnsi="Times New Roman"/>
          <w:sz w:val="20"/>
        </w:rPr>
      </w:pPr>
      <w:r>
        <w:rPr>
          <w:rFonts w:ascii="Times New Roman" w:hAnsi="Times New Roman"/>
          <w:sz w:val="20"/>
        </w:rPr>
        <w:t xml:space="preserve">The Company’s non-steel revenue for the three month period ended March 31, 2026 was C$3.4 million (March 31, 2025 - C$2.8 million). The increase of C$0.6 million was primarily due to increased revenue on ore fines, which was offset, in part, by decreased revenue on tar.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and Selling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3"/>
        <w:gridCol w:w="526"/>
        <w:gridCol w:w="608"/>
        <w:gridCol w:w="839"/>
        <w:gridCol w:w="155"/>
        <w:gridCol w:w="491"/>
        <w:gridCol w:w="542"/>
        <w:gridCol w:w="787"/>
        <w:gridCol w:w="64"/>
      </w:tblGrid>
      <w:tr>
        <w:trPr/>
        <w:tc>
          <w:tcPr>
            <w:tcW w:w="3743" w:type="dxa"/>
            <w:tcBorders/>
            <w:vAlign w:val="center"/>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millions of dollars</w:t>
            </w:r>
          </w:p>
        </w:tc>
        <w:tc>
          <w:tcPr>
            <w:tcW w:w="526"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r>
              <w:rPr/>
              <w:br/>
            </w: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2025</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526"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b/>
              </w:rPr>
            </w:pPr>
            <w:r>
              <w:rPr>
                <w:b/>
              </w:rPr>
              <w:t>C$</w:t>
            </w:r>
          </w:p>
        </w:tc>
        <w:tc>
          <w:tcPr>
            <w:tcW w:w="839" w:type="dxa"/>
            <w:tcBorders/>
            <w:shd w:fill="CCEEFF" w:val="clear"/>
            <w:vAlign w:val="bottom"/>
          </w:tcPr>
          <w:p>
            <w:pPr>
              <w:pStyle w:val="TableContents"/>
              <w:bidi w:val="0"/>
              <w:spacing w:before="0" w:after="283"/>
              <w:jc w:val="right"/>
              <w:rPr>
                <w:b/>
              </w:rPr>
            </w:pPr>
            <w:r>
              <w:rPr>
                <w:b/>
              </w:rPr>
              <w:t>8.6</w:t>
            </w:r>
          </w:p>
        </w:tc>
        <w:tc>
          <w:tcPr>
            <w:tcW w:w="155"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C$</w:t>
            </w:r>
          </w:p>
        </w:tc>
        <w:tc>
          <w:tcPr>
            <w:tcW w:w="787" w:type="dxa"/>
            <w:tcBorders/>
            <w:shd w:fill="CCEEFF" w:val="clear"/>
            <w:vAlign w:val="bottom"/>
          </w:tcPr>
          <w:p>
            <w:pPr>
              <w:pStyle w:val="TableContents"/>
              <w:bidi w:val="0"/>
              <w:spacing w:before="0" w:after="283"/>
              <w:jc w:val="right"/>
              <w:rPr/>
            </w:pPr>
            <w:r>
              <w:rPr/>
              <w:t>8.9</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legal and other fees</w:t>
            </w:r>
          </w:p>
        </w:tc>
        <w:tc>
          <w:tcPr>
            <w:tcW w:w="526"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3.1</w:t>
            </w:r>
          </w:p>
        </w:tc>
        <w:tc>
          <w:tcPr>
            <w:tcW w:w="155"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8.7</w:t>
            </w:r>
          </w:p>
        </w:tc>
        <w:tc>
          <w:tcPr>
            <w:tcW w:w="155"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 licenses</w:t>
            </w:r>
          </w:p>
        </w:tc>
        <w:tc>
          <w:tcPr>
            <w:tcW w:w="526"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1.7</w:t>
            </w:r>
          </w:p>
        </w:tc>
        <w:tc>
          <w:tcPr>
            <w:tcW w:w="155"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1.9</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(0.9</w:t>
            </w:r>
          </w:p>
        </w:tc>
        <w:tc>
          <w:tcPr>
            <w:tcW w:w="155" w:type="dxa"/>
            <w:tcBorders/>
            <w:vAlign w:val="bottom"/>
          </w:tcPr>
          <w:p>
            <w:pPr>
              <w:pStyle w:val="TableContents"/>
              <w:bidi w:val="0"/>
              <w:spacing w:before="0" w:after="283"/>
              <w:jc w:val="left"/>
              <w:rPr>
                <w:b/>
              </w:rPr>
            </w:pPr>
            <w:r>
              <w:rPr>
                <w:b/>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0.7</w:t>
            </w:r>
          </w:p>
        </w:tc>
        <w:tc>
          <w:tcPr>
            <w:tcW w:w="64" w:type="dxa"/>
            <w:tcBorders/>
            <w:vAlign w:val="bottom"/>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and non-production assets</w:t>
            </w:r>
          </w:p>
        </w:tc>
        <w:tc>
          <w:tcPr>
            <w:tcW w:w="526"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0.2</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tcPr>
          <w:p>
            <w:pPr>
              <w:pStyle w:val="TableContents"/>
              <w:bidi w:val="0"/>
              <w:spacing w:before="0" w:after="0"/>
              <w:jc w:val="left"/>
              <w:rPr>
                <w:rFonts w:ascii="Times New Roman" w:hAnsi="Times New Roman"/>
                <w:sz w:val="20"/>
              </w:rPr>
            </w:pPr>
            <w:r>
              <w:rPr>
                <w:rFonts w:ascii="Times New Roman" w:hAnsi="Times New Roman"/>
                <w:sz w:val="20"/>
              </w:rPr>
              <w:t>Other administrative and selling</w:t>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3743"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43" w:type="dxa"/>
            <w:tcBorders/>
            <w:shd w:fill="CCEEFF" w:val="clear"/>
          </w:tcPr>
          <w:p>
            <w:pPr>
              <w:pStyle w:val="TableContents"/>
              <w:bidi w:val="0"/>
              <w:spacing w:before="0" w:after="283"/>
              <w:jc w:val="left"/>
              <w:rPr>
                <w:sz w:val="4"/>
                <w:szCs w:val="4"/>
              </w:rPr>
            </w:pPr>
            <w:r>
              <w:rPr>
                <w:sz w:val="4"/>
                <w:szCs w:val="4"/>
              </w:rPr>
            </w:r>
          </w:p>
        </w:tc>
        <w:tc>
          <w:tcPr>
            <w:tcW w:w="526"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b/>
              </w:rPr>
            </w:pPr>
            <w:r>
              <w:rPr>
                <w:b/>
              </w:rPr>
              <w:t>C$</w:t>
            </w:r>
          </w:p>
        </w:tc>
        <w:tc>
          <w:tcPr>
            <w:tcW w:w="839" w:type="dxa"/>
            <w:tcBorders/>
            <w:shd w:fill="CCEEFF" w:val="clear"/>
            <w:vAlign w:val="bottom"/>
          </w:tcPr>
          <w:p>
            <w:pPr>
              <w:pStyle w:val="TableContents"/>
              <w:bidi w:val="0"/>
              <w:spacing w:before="0" w:after="283"/>
              <w:jc w:val="right"/>
              <w:rPr>
                <w:b/>
              </w:rPr>
            </w:pPr>
            <w:r>
              <w:rPr>
                <w:b/>
              </w:rPr>
              <w:t>26.9</w:t>
            </w:r>
          </w:p>
        </w:tc>
        <w:tc>
          <w:tcPr>
            <w:tcW w:w="155"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C$</w:t>
            </w:r>
          </w:p>
        </w:tc>
        <w:tc>
          <w:tcPr>
            <w:tcW w:w="787" w:type="dxa"/>
            <w:tcBorders/>
            <w:shd w:fill="CCEEFF" w:val="clear"/>
            <w:vAlign w:val="bottom"/>
          </w:tcPr>
          <w:p>
            <w:pPr>
              <w:pStyle w:val="TableContents"/>
              <w:bidi w:val="0"/>
              <w:spacing w:before="0" w:after="283"/>
              <w:jc w:val="right"/>
              <w:rPr/>
            </w:pPr>
            <w:r>
              <w:rPr/>
              <w:t>30.9</w:t>
            </w:r>
          </w:p>
        </w:tc>
        <w:tc>
          <w:tcPr>
            <w:tcW w:w="64" w:type="dxa"/>
            <w:tcBorders/>
            <w:shd w:fill="CCEEFF" w:val="clear"/>
            <w:vAlign w:val="bottom"/>
          </w:tcPr>
          <w:p>
            <w:pPr>
              <w:pStyle w:val="TableContents"/>
              <w:bidi w:val="0"/>
              <w:spacing w:before="0" w:after="283"/>
              <w:jc w:val="left"/>
              <w:rPr/>
            </w:pPr>
            <w:r>
              <w:rPr/>
              <w:t> </w:t>
            </w:r>
          </w:p>
        </w:tc>
      </w:tr>
      <w:tr>
        <w:trPr/>
        <w:tc>
          <w:tcPr>
            <w:tcW w:w="3743"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illustrated in the table above, the Company’s administrative and selling expenses for the three month period ended March 31, 2026, were C$26.9 million (March 31, 2025 - C$30.9 million). The decrease in administrative and selling expenses of C$4.0 million is primarily due to a decrease in allowance for doubtful accounts (C$1.6 million), share-based compensation expense (C$0.9 million), other administrative and selling (C$0.5 million), personnel expenses (C$0.3 million), professional, consulting, legal and other fees (C$0.3 million), and software licenses (C$0.2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Finance Costs, Finance Income, Interest on Pension and Other Post-employment Benefit Obligations, Foreign Exchange Gains and Losses and Other Income </w:t>
      </w:r>
    </w:p>
    <w:p>
      <w:pPr>
        <w:pStyle w:val="TextBody"/>
        <w:bidi w:val="0"/>
        <w:spacing w:before="120" w:after="0"/>
        <w:jc w:val="both"/>
        <w:rPr>
          <w:rFonts w:ascii="Times New Roman" w:hAnsi="Times New Roman"/>
          <w:sz w:val="20"/>
        </w:rPr>
      </w:pPr>
      <w:r>
        <w:rPr>
          <w:rFonts w:ascii="Times New Roman" w:hAnsi="Times New Roman"/>
          <w:sz w:val="20"/>
        </w:rPr>
        <w:t xml:space="preserve">The Company’s finance costs represent interest cost on the Company’s Revolving Credit Facility, Senior Secured Lien Notes (the “2029 Notes”), LETL Facilities, and interest cost on the financing arrangement described in the section entitled “Capital Resources - Financial Position and Liquidity” included elsewhere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MD&amp;A. Finance costs also include the amortization of transaction costs related to the Company’s debt facilities and the accretion of the benefits in respect of the Company’s governmental loan facilities in respect of the interest free loan issued by, and the grant given by the Canadian federal government as well as the low interest rate loan issued from the Ontario provincial government, all of which are discussed below (Financial Resources and Liquidity - Cash Flow Used in Investing Activities) and the unwinding of discounts and changes in the discount rate on the Company’s environmental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3"/>
        <w:gridCol w:w="537"/>
        <w:gridCol w:w="608"/>
        <w:gridCol w:w="838"/>
        <w:gridCol w:w="155"/>
        <w:gridCol w:w="502"/>
        <w:gridCol w:w="542"/>
        <w:gridCol w:w="787"/>
        <w:gridCol w:w="63"/>
      </w:tblGrid>
      <w:tr>
        <w:trPr/>
        <w:tc>
          <w:tcPr>
            <w:tcW w:w="3723"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23" w:type="dxa"/>
            <w:tcBorders/>
            <w:vAlign w:val="bottom"/>
          </w:tcPr>
          <w:p>
            <w:pPr>
              <w:pStyle w:val="TableContents"/>
              <w:bidi w:val="0"/>
              <w:spacing w:before="0" w:after="283"/>
              <w:jc w:val="left"/>
              <w:rPr>
                <w:i/>
              </w:rPr>
            </w:pPr>
            <w:r>
              <w:rPr>
                <w:i/>
              </w:rPr>
              <w:t>millions of dollars</w:t>
            </w:r>
          </w:p>
        </w:tc>
        <w:tc>
          <w:tcPr>
            <w:tcW w:w="537"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br/>
              <w:t>March 31,</w:t>
              <w:br/>
              <w:t>2026</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2025</w:t>
            </w:r>
          </w:p>
        </w:tc>
        <w:tc>
          <w:tcPr>
            <w:tcW w:w="63"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Interest on the following facilities</w:t>
            </w:r>
          </w:p>
        </w:tc>
        <w:tc>
          <w:tcPr>
            <w:tcW w:w="53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02"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Senior Secured Lien Notes</w:t>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b/>
              </w:rPr>
            </w:pPr>
            <w:r>
              <w:rPr>
                <w:b/>
              </w:rPr>
              <w:t>C$</w:t>
            </w:r>
          </w:p>
        </w:tc>
        <w:tc>
          <w:tcPr>
            <w:tcW w:w="838" w:type="dxa"/>
            <w:tcBorders/>
            <w:vAlign w:val="bottom"/>
          </w:tcPr>
          <w:p>
            <w:pPr>
              <w:pStyle w:val="TableContents"/>
              <w:bidi w:val="0"/>
              <w:spacing w:before="0" w:after="283"/>
              <w:jc w:val="right"/>
              <w:rPr>
                <w:b/>
              </w:rPr>
            </w:pPr>
            <w:r>
              <w:rPr>
                <w:b/>
              </w:rPr>
              <w:t>10.5</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C$</w:t>
            </w:r>
          </w:p>
        </w:tc>
        <w:tc>
          <w:tcPr>
            <w:tcW w:w="787"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financing arrangement</w:t>
            </w:r>
          </w:p>
        </w:tc>
        <w:tc>
          <w:tcPr>
            <w:tcW w:w="53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b/>
              </w:rPr>
            </w:pPr>
            <w:r>
              <w:rPr>
                <w:b/>
              </w:rPr>
              <w:t>0.5</w:t>
            </w:r>
          </w:p>
        </w:tc>
        <w:tc>
          <w:tcPr>
            <w:tcW w:w="155"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0.2</w:t>
            </w:r>
          </w:p>
        </w:tc>
        <w:tc>
          <w:tcPr>
            <w:tcW w:w="63" w:type="dxa"/>
            <w:tcBorders/>
            <w:shd w:fill="CCEEFF" w:val="clear"/>
            <w:vAlign w:val="bottom"/>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 fees</w:t>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b/>
              </w:rPr>
            </w:pPr>
            <w:r>
              <w:rPr>
                <w:b/>
              </w:rPr>
              <w:t>0.6</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0.8</w:t>
            </w:r>
          </w:p>
        </w:tc>
        <w:tc>
          <w:tcPr>
            <w:tcW w:w="63"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the Revolving Credit Facility</w:t>
            </w:r>
          </w:p>
        </w:tc>
        <w:tc>
          <w:tcPr>
            <w:tcW w:w="53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b/>
              </w:rPr>
            </w:pPr>
            <w:r>
              <w:rPr>
                <w:b/>
              </w:rPr>
              <w:t>2.0</w:t>
            </w:r>
          </w:p>
        </w:tc>
        <w:tc>
          <w:tcPr>
            <w:tcW w:w="155"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Large Enterprise Tariff Loan (LETL) Facility</w:t>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b/>
              </w:rPr>
            </w:pPr>
            <w:r>
              <w:rPr>
                <w:b/>
              </w:rPr>
              <w:t>1.4</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Governmental loan amendment fair value benefit</w:t>
            </w:r>
          </w:p>
        </w:tc>
        <w:tc>
          <w:tcPr>
            <w:tcW w:w="53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b/>
              </w:rPr>
            </w:pPr>
            <w:r>
              <w:rPr>
                <w:b/>
              </w:rPr>
              <w:t>(7.0</w:t>
            </w:r>
          </w:p>
        </w:tc>
        <w:tc>
          <w:tcPr>
            <w:tcW w:w="155" w:type="dxa"/>
            <w:tcBorders/>
            <w:shd w:fill="CCEEFF" w:val="clear"/>
            <w:vAlign w:val="bottom"/>
          </w:tcPr>
          <w:p>
            <w:pPr>
              <w:pStyle w:val="TableContents"/>
              <w:bidi w:val="0"/>
              <w:spacing w:before="0" w:after="283"/>
              <w:jc w:val="left"/>
              <w:rPr>
                <w:b/>
              </w:rPr>
            </w:pPr>
            <w:r>
              <w:rPr>
                <w:b/>
              </w:rPr>
              <w:t>) </w:t>
            </w:r>
          </w:p>
        </w:tc>
        <w:tc>
          <w:tcPr>
            <w:tcW w:w="502"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723" w:type="dxa"/>
            <w:tcBorders/>
          </w:tcPr>
          <w:p>
            <w:pPr>
              <w:pStyle w:val="TableContents"/>
              <w:bidi w:val="0"/>
              <w:spacing w:before="0" w:after="0"/>
              <w:jc w:val="left"/>
              <w:rPr>
                <w:rFonts w:ascii="Times New Roman" w:hAnsi="Times New Roman"/>
                <w:sz w:val="20"/>
              </w:rPr>
            </w:pPr>
            <w:r>
              <w:rPr>
                <w:rFonts w:ascii="Times New Roman" w:hAnsi="Times New Roman"/>
                <w:sz w:val="20"/>
              </w:rPr>
              <w:t>Unwinding of issuance costs of debt facilities and accretion of governmental loan benefits and discounts on environmental liabilities</w:t>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b/>
              </w:rPr>
            </w:pPr>
            <w:r>
              <w:rPr>
                <w:b/>
              </w:rPr>
              <w:t>5.4</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37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interest (recovery) expense</w:t>
            </w:r>
          </w:p>
        </w:tc>
        <w:tc>
          <w:tcPr>
            <w:tcW w:w="53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b/>
              </w:rPr>
            </w:pPr>
            <w:r>
              <w:rPr>
                <w:b/>
              </w:rPr>
              <w:t>(1.9</w:t>
            </w:r>
          </w:p>
        </w:tc>
        <w:tc>
          <w:tcPr>
            <w:tcW w:w="155" w:type="dxa"/>
            <w:tcBorders/>
            <w:shd w:fill="CCEEFF" w:val="clear"/>
            <w:vAlign w:val="bottom"/>
          </w:tcPr>
          <w:p>
            <w:pPr>
              <w:pStyle w:val="TableContents"/>
              <w:bidi w:val="0"/>
              <w:spacing w:before="0" w:after="283"/>
              <w:jc w:val="left"/>
              <w:rPr>
                <w:b/>
              </w:rPr>
            </w:pPr>
            <w:r>
              <w:rPr>
                <w:b/>
              </w:rPr>
              <w:t>) </w:t>
            </w:r>
          </w:p>
        </w:tc>
        <w:tc>
          <w:tcPr>
            <w:tcW w:w="502"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1.2</w:t>
            </w:r>
          </w:p>
        </w:tc>
        <w:tc>
          <w:tcPr>
            <w:tcW w:w="63" w:type="dxa"/>
            <w:tcBorders/>
            <w:shd w:fill="CCEEFF" w:val="clear"/>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23" w:type="dxa"/>
            <w:tcBorders/>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b/>
              </w:rPr>
            </w:pPr>
            <w:r>
              <w:rPr>
                <w:b/>
              </w:rPr>
              <w:t>C$</w:t>
            </w:r>
          </w:p>
        </w:tc>
        <w:tc>
          <w:tcPr>
            <w:tcW w:w="838"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C$</w:t>
            </w:r>
          </w:p>
        </w:tc>
        <w:tc>
          <w:tcPr>
            <w:tcW w:w="787"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3723"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542"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illustrated in the table above, the Company’s finance costs for the three month period ended March 31, 2026 were C$11.5 million (March 31, 2025 - C$17.8 million). The decrease of C$6.3 million in finance costs is driven by governmental loan amendment fair value benefit (C$7.0 million), other interest expense (C$3.1 million), which is primarily due to the amendment of the governmental loan with the Ministry of Energy, Northern Development and Mines of the Province of Ontario, and interest on Senior Secured Lien Notes (C$0.5 million). This was offset, in part, by an increase in the interest on the Revolving Credit Facility (C$2.0 million), interest on the LETL Facilities (C$1.4 million), accretion of governmental loan benefits (C$0.8 million), and interest on financing arrangement (C$0.3 million). </w:t>
      </w:r>
    </w:p>
    <w:p>
      <w:pPr>
        <w:pStyle w:val="TextBody"/>
        <w:bidi w:val="0"/>
        <w:spacing w:before="240" w:after="0"/>
        <w:jc w:val="both"/>
        <w:rPr>
          <w:rFonts w:ascii="Times New Roman" w:hAnsi="Times New Roman"/>
          <w:sz w:val="20"/>
        </w:rPr>
      </w:pPr>
      <w:r>
        <w:rPr>
          <w:rFonts w:ascii="Times New Roman" w:hAnsi="Times New Roman"/>
          <w:sz w:val="20"/>
        </w:rPr>
        <w:t xml:space="preserve">The Company’s finance income for the three month period ended March 31, 2026, was C$0.6 million (March 31, 2025 - C$2.8 million). The decrease of C$2.2 million in finance income is primarily due to a decrease in interest income as result of a lower cash balance. </w:t>
      </w:r>
    </w:p>
    <w:p>
      <w:pPr>
        <w:pStyle w:val="TextBody"/>
        <w:bidi w:val="0"/>
        <w:spacing w:before="240" w:after="0"/>
        <w:jc w:val="both"/>
        <w:rPr>
          <w:rFonts w:ascii="Times New Roman" w:hAnsi="Times New Roman"/>
          <w:sz w:val="20"/>
        </w:rPr>
      </w:pPr>
      <w:r>
        <w:rPr>
          <w:rFonts w:ascii="Times New Roman" w:hAnsi="Times New Roman"/>
          <w:sz w:val="20"/>
        </w:rPr>
        <w:t xml:space="preserve">The Company’s interest on pension and other post-employment benefit obligations for the three month period ended March 31, 2026 was C$3.6 million (March 31, 2025 - C$4.0 million). The decrease is primarily due to a smaller net liability at December 31, 2025 being only partially offset by an increase in discount rates as at December 31, 2025 that were used to determine the expense for the period of January 1, 2026 to December 31, 2026. </w:t>
      </w:r>
    </w:p>
    <w:p>
      <w:pPr>
        <w:pStyle w:val="TextBody"/>
        <w:bidi w:val="0"/>
        <w:spacing w:before="240" w:after="0"/>
        <w:jc w:val="both"/>
        <w:rPr>
          <w:rFonts w:ascii="Times New Roman" w:hAnsi="Times New Roman"/>
          <w:sz w:val="20"/>
        </w:rPr>
      </w:pPr>
      <w:r>
        <w:rPr>
          <w:rFonts w:ascii="Times New Roman" w:hAnsi="Times New Roman"/>
          <w:sz w:val="20"/>
        </w:rPr>
        <w:t xml:space="preserve">The Company’s foreign exchange gain for the three month period ended March 31, 2026 was C$14.3 million (March 31, 2025 - loss of C$0.9 million). These foreign exchange movements reflect the effect of U.S. dollar exchange rate fluctuations on the Company’s Canadian dollar denominated monetary assets and liabilities. </w:t>
      </w:r>
    </w:p>
    <w:p>
      <w:pPr>
        <w:pStyle w:val="TextBody"/>
        <w:bidi w:val="0"/>
        <w:spacing w:before="240" w:after="0"/>
        <w:jc w:val="both"/>
        <w:rPr>
          <w:rFonts w:ascii="Times New Roman" w:hAnsi="Times New Roman"/>
          <w:sz w:val="20"/>
        </w:rPr>
      </w:pPr>
      <w:r>
        <w:rPr>
          <w:rFonts w:ascii="Times New Roman" w:hAnsi="Times New Roman"/>
          <w:sz w:val="20"/>
        </w:rPr>
        <w:t xml:space="preserve">The Company’s other income for the three month period ended March 31, 2026 was C$0.1 million (March 31, 2025 - C$50.0 million). The decrease is primarily due to insurance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Pension and Post-Employment Benefits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8"/>
        <w:gridCol w:w="496"/>
        <w:gridCol w:w="646"/>
        <w:gridCol w:w="804"/>
        <w:gridCol w:w="155"/>
        <w:gridCol w:w="464"/>
        <w:gridCol w:w="577"/>
        <w:gridCol w:w="748"/>
        <w:gridCol w:w="157"/>
      </w:tblGrid>
      <w:tr>
        <w:trPr/>
        <w:tc>
          <w:tcPr>
            <w:tcW w:w="3708"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bottom"/>
          </w:tcPr>
          <w:p>
            <w:pPr>
              <w:pStyle w:val="TableContents"/>
              <w:bidi w:val="0"/>
              <w:spacing w:before="0" w:after="283"/>
              <w:jc w:val="center"/>
              <w:rPr>
                <w:b/>
              </w:rPr>
            </w:pPr>
            <w:r>
              <w:rPr>
                <w:b/>
              </w:rPr>
              <w:t>millions of dollars</w:t>
            </w:r>
          </w:p>
        </w:tc>
        <w:tc>
          <w:tcPr>
            <w:tcW w:w="496"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2025</w:t>
            </w:r>
          </w:p>
        </w:tc>
        <w:tc>
          <w:tcPr>
            <w:tcW w:w="157" w:type="dxa"/>
            <w:tcBorders/>
            <w:vAlign w:val="bottom"/>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Recognized in loss before income taxes:</w:t>
            </w:r>
          </w:p>
        </w:tc>
        <w:tc>
          <w:tcPr>
            <w:tcW w:w="4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3708"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benefits expense</w:t>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b/>
              </w:rPr>
            </w:pPr>
            <w:r>
              <w:rPr>
                <w:b/>
              </w:rPr>
              <w:t>C$</w:t>
            </w:r>
          </w:p>
        </w:tc>
        <w:tc>
          <w:tcPr>
            <w:tcW w:w="804"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C$</w:t>
            </w:r>
          </w:p>
        </w:tc>
        <w:tc>
          <w:tcPr>
            <w:tcW w:w="748" w:type="dxa"/>
            <w:tcBorders/>
            <w:vAlign w:val="bottom"/>
          </w:tcPr>
          <w:p>
            <w:pPr>
              <w:pStyle w:val="TableContents"/>
              <w:bidi w:val="0"/>
              <w:spacing w:before="0" w:after="283"/>
              <w:jc w:val="right"/>
              <w:rPr/>
            </w:pPr>
            <w:r>
              <w:rPr/>
              <w:t>5.7</w:t>
            </w:r>
          </w:p>
        </w:tc>
        <w:tc>
          <w:tcPr>
            <w:tcW w:w="157" w:type="dxa"/>
            <w:tcBorders/>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Post-employment benefits expense</w:t>
            </w:r>
          </w:p>
        </w:tc>
        <w:tc>
          <w:tcPr>
            <w:tcW w:w="4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2.6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3.0</w:t>
            </w:r>
          </w:p>
        </w:tc>
        <w:tc>
          <w:tcPr>
            <w:tcW w:w="157" w:type="dxa"/>
            <w:tcBorders/>
            <w:shd w:fill="CCEEFF" w:val="clear"/>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b/>
              </w:rPr>
            </w:pPr>
            <w:r>
              <w:rPr>
                <w:b/>
              </w:rPr>
              <w:t>C$</w:t>
            </w:r>
          </w:p>
        </w:tc>
        <w:tc>
          <w:tcPr>
            <w:tcW w:w="804" w:type="dxa"/>
            <w:tcBorders/>
            <w:vAlign w:val="bottom"/>
          </w:tcPr>
          <w:p>
            <w:pPr>
              <w:pStyle w:val="TableContents"/>
              <w:bidi w:val="0"/>
              <w:spacing w:before="0" w:after="283"/>
              <w:jc w:val="right"/>
              <w:rPr>
                <w:b/>
              </w:rPr>
            </w:pPr>
            <w:r>
              <w:rPr>
                <w:b/>
              </w:rPr>
              <w:t>6.7</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C$</w:t>
            </w:r>
          </w:p>
        </w:tc>
        <w:tc>
          <w:tcPr>
            <w:tcW w:w="748" w:type="dxa"/>
            <w:tcBorders/>
            <w:vAlign w:val="bottom"/>
          </w:tcPr>
          <w:p>
            <w:pPr>
              <w:pStyle w:val="TableContents"/>
              <w:bidi w:val="0"/>
              <w:spacing w:before="0" w:after="283"/>
              <w:jc w:val="right"/>
              <w:rPr/>
            </w:pPr>
            <w:r>
              <w:rPr/>
              <w:t>8.7</w:t>
            </w:r>
          </w:p>
        </w:tc>
        <w:tc>
          <w:tcPr>
            <w:tcW w:w="157" w:type="dxa"/>
            <w:tcBorders/>
            <w:vAlign w:val="bottom"/>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Recognized in other comprehensive loss (pre-tax):</w:t>
            </w:r>
          </w:p>
        </w:tc>
        <w:tc>
          <w:tcPr>
            <w:tcW w:w="4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3708"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benefits gain</w:t>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b/>
              </w:rPr>
            </w:pPr>
            <w:r>
              <w:rPr>
                <w:b/>
              </w:rPr>
              <w:t>C$</w:t>
            </w:r>
          </w:p>
        </w:tc>
        <w:tc>
          <w:tcPr>
            <w:tcW w:w="804" w:type="dxa"/>
            <w:tcBorders/>
            <w:vAlign w:val="bottom"/>
          </w:tcPr>
          <w:p>
            <w:pPr>
              <w:pStyle w:val="TableContents"/>
              <w:bidi w:val="0"/>
              <w:spacing w:before="0" w:after="283"/>
              <w:jc w:val="right"/>
              <w:rPr>
                <w:b/>
              </w:rPr>
            </w:pPr>
            <w:r>
              <w:rPr>
                <w:b/>
              </w:rPr>
              <w:t>(2.9</w:t>
            </w:r>
          </w:p>
        </w:tc>
        <w:tc>
          <w:tcPr>
            <w:tcW w:w="155" w:type="dxa"/>
            <w:tcBorders/>
            <w:vAlign w:val="bottom"/>
          </w:tcPr>
          <w:p>
            <w:pPr>
              <w:pStyle w:val="TableContents"/>
              <w:bidi w:val="0"/>
              <w:spacing w:before="0" w:after="283"/>
              <w:jc w:val="left"/>
              <w:rPr>
                <w:b/>
              </w:rPr>
            </w:pPr>
            <w:r>
              <w:rPr>
                <w:b/>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C$</w:t>
            </w:r>
          </w:p>
        </w:tc>
        <w:tc>
          <w:tcPr>
            <w:tcW w:w="748" w:type="dxa"/>
            <w:tcBorders/>
            <w:vAlign w:val="bottom"/>
          </w:tcPr>
          <w:p>
            <w:pPr>
              <w:pStyle w:val="TableContents"/>
              <w:bidi w:val="0"/>
              <w:spacing w:before="0" w:after="283"/>
              <w:jc w:val="right"/>
              <w:rPr/>
            </w:pPr>
            <w:r>
              <w:rPr/>
              <w:t>(4.1</w:t>
            </w:r>
          </w:p>
        </w:tc>
        <w:tc>
          <w:tcPr>
            <w:tcW w:w="157" w:type="dxa"/>
            <w:tcBorders/>
            <w:vAlign w:val="bottom"/>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Post-employment benefits (gain) loss</w:t>
            </w:r>
          </w:p>
        </w:tc>
        <w:tc>
          <w:tcPr>
            <w:tcW w:w="4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b/>
              </w:rPr>
            </w:pPr>
            <w:r>
              <w:rPr>
                <w:b/>
              </w:rPr>
              <w:t>(2.4</w:t>
            </w:r>
          </w:p>
        </w:tc>
        <w:tc>
          <w:tcPr>
            <w:tcW w:w="155" w:type="dxa"/>
            <w:tcBorders/>
            <w:shd w:fill="CCEEFF" w:val="clear"/>
            <w:vAlign w:val="bottom"/>
          </w:tcPr>
          <w:p>
            <w:pPr>
              <w:pStyle w:val="TableContents"/>
              <w:bidi w:val="0"/>
              <w:spacing w:before="0" w:after="283"/>
              <w:jc w:val="left"/>
              <w:rPr>
                <w:b/>
              </w:rPr>
            </w:pPr>
            <w:r>
              <w:rPr>
                <w:b/>
              </w:rPr>
              <w:t>) </w:t>
            </w:r>
          </w:p>
        </w:tc>
        <w:tc>
          <w:tcPr>
            <w:tcW w:w="464"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0.2</w:t>
            </w:r>
          </w:p>
        </w:tc>
        <w:tc>
          <w:tcPr>
            <w:tcW w:w="157" w:type="dxa"/>
            <w:tcBorders/>
            <w:shd w:fill="CCEEFF" w:val="clear"/>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b/>
              </w:rPr>
            </w:pPr>
            <w:r>
              <w:rPr>
                <w:b/>
              </w:rPr>
              <w:t>C$</w:t>
            </w:r>
          </w:p>
        </w:tc>
        <w:tc>
          <w:tcPr>
            <w:tcW w:w="804" w:type="dxa"/>
            <w:tcBorders/>
            <w:vAlign w:val="bottom"/>
          </w:tcPr>
          <w:p>
            <w:pPr>
              <w:pStyle w:val="TableContents"/>
              <w:bidi w:val="0"/>
              <w:spacing w:before="0" w:after="283"/>
              <w:jc w:val="right"/>
              <w:rPr>
                <w:b/>
              </w:rPr>
            </w:pPr>
            <w:r>
              <w:rPr>
                <w:b/>
              </w:rPr>
              <w:t>(5.3</w:t>
            </w:r>
          </w:p>
        </w:tc>
        <w:tc>
          <w:tcPr>
            <w:tcW w:w="155" w:type="dxa"/>
            <w:tcBorders/>
            <w:vAlign w:val="bottom"/>
          </w:tcPr>
          <w:p>
            <w:pPr>
              <w:pStyle w:val="TableContents"/>
              <w:bidi w:val="0"/>
              <w:spacing w:before="0" w:after="283"/>
              <w:jc w:val="left"/>
              <w:rPr>
                <w:b/>
              </w:rPr>
            </w:pPr>
            <w:r>
              <w:rPr>
                <w:b/>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C$</w:t>
            </w:r>
          </w:p>
        </w:tc>
        <w:tc>
          <w:tcPr>
            <w:tcW w:w="748" w:type="dxa"/>
            <w:tcBorders/>
            <w:vAlign w:val="bottom"/>
          </w:tcPr>
          <w:p>
            <w:pPr>
              <w:pStyle w:val="TableContents"/>
              <w:bidi w:val="0"/>
              <w:spacing w:before="0" w:after="283"/>
              <w:jc w:val="right"/>
              <w:rPr/>
            </w:pPr>
            <w:r>
              <w:rPr/>
              <w:t>(3.9</w:t>
            </w:r>
          </w:p>
        </w:tc>
        <w:tc>
          <w:tcPr>
            <w:tcW w:w="157" w:type="dxa"/>
            <w:tcBorders/>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708"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b/>
              </w:rPr>
            </w:pPr>
            <w:r>
              <w:rPr>
                <w:b/>
              </w:rPr>
              <w:t>C$</w:t>
            </w:r>
          </w:p>
        </w:tc>
        <w:tc>
          <w:tcPr>
            <w:tcW w:w="804" w:type="dxa"/>
            <w:tcBorders/>
            <w:shd w:fill="CCEEFF" w:val="clear"/>
            <w:vAlign w:val="bottom"/>
          </w:tcPr>
          <w:p>
            <w:pPr>
              <w:pStyle w:val="TableContents"/>
              <w:bidi w:val="0"/>
              <w:spacing w:before="0" w:after="283"/>
              <w:jc w:val="right"/>
              <w:rPr>
                <w:b/>
              </w:rPr>
            </w:pPr>
            <w:r>
              <w:rPr>
                <w:b/>
              </w:rPr>
              <w:t>1.4</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C$</w:t>
            </w:r>
          </w:p>
        </w:tc>
        <w:tc>
          <w:tcPr>
            <w:tcW w:w="748" w:type="dxa"/>
            <w:tcBorders/>
            <w:shd w:fill="CCEEFF" w:val="clear"/>
            <w:vAlign w:val="bottom"/>
          </w:tcPr>
          <w:p>
            <w:pPr>
              <w:pStyle w:val="TableContents"/>
              <w:bidi w:val="0"/>
              <w:spacing w:before="0" w:after="283"/>
              <w:jc w:val="right"/>
              <w:rPr/>
            </w:pPr>
            <w:r>
              <w:rPr/>
              <w:t>4.8</w:t>
            </w:r>
          </w:p>
        </w:tc>
        <w:tc>
          <w:tcPr>
            <w:tcW w:w="157" w:type="dxa"/>
            <w:tcBorders/>
            <w:shd w:fill="CCEEFF" w:val="clear"/>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illustrated in the table above, the Company’s pension expense for the three month periods ended March 31, 2026 and March 31, 2025 were C$4.1 million and C$5.7 million, respectively, representing a decrease of C$1.6 million. The Company’s post-employment benefit expense for the three month periods ended March 31, 2026 and March 31, 2025 were C$2.6 million and C$3.0 million, respectively, representing a decrease of C$0.4 million. The decrease in pension expense and decrease in post-employment expense is due to an increase in discount rates used to determine the expense beginning January 1, 2026, coupled with the reduction in pension current service cost as a result of the Layoffs. The expense decrease is also a result of reflecting experience gains from the statutory pension actuarial funding valuation and the non-pension actuarial valuation. </w:t>
      </w:r>
    </w:p>
    <w:p>
      <w:pPr>
        <w:pStyle w:val="TextBody"/>
        <w:bidi w:val="0"/>
        <w:spacing w:before="240" w:after="0"/>
        <w:jc w:val="both"/>
        <w:rPr>
          <w:rFonts w:ascii="Times New Roman" w:hAnsi="Times New Roman"/>
          <w:sz w:val="20"/>
        </w:rPr>
      </w:pPr>
      <w:r>
        <w:rPr>
          <w:rFonts w:ascii="Times New Roman" w:hAnsi="Times New Roman"/>
          <w:sz w:val="20"/>
        </w:rPr>
        <w:t xml:space="preserve">As disclosed in Note 4 to the December 31, 2025 consolidated financial statements, all actuarial gains and losses that arise in calculating the present value of the defined benefit pension obligation net of assets and the defined benefit obligation in respect of other post-employment benefits, including the re-measurement components, are recognized immediately in other comprehensive income (loss). </w:t>
      </w:r>
    </w:p>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the Company recorded an actuarially determined gain to the accrued defined pension liability and accrued other post-employment benefit obligation in other comprehensive loss of C$5.3 million (March 31, 2025 - C$3.9 million), a difference of C$1.4 million. The gain for the three month period ended March 31, 2026 was due to an increase in discount rates, offset, in part by negative asset returns. The gain for the three month period ended March 31, 2025 was primarily due to positive asset returns. </w:t>
      </w:r>
    </w:p>
    <w:p>
      <w:pPr>
        <w:pStyle w:val="TextBody"/>
        <w:bidi w:val="0"/>
        <w:spacing w:before="360" w:after="0"/>
        <w:jc w:val="left"/>
        <w:rPr>
          <w:rFonts w:ascii="Times New Roman" w:hAnsi="Times New Roman"/>
          <w:b/>
          <w:sz w:val="20"/>
        </w:rPr>
      </w:pPr>
      <w:r>
        <w:rPr>
          <w:rFonts w:ascii="Times New Roman" w:hAnsi="Times New Roman"/>
          <w:b/>
          <w:sz w:val="20"/>
        </w:rPr>
        <w:t xml:space="preserve">Carbon Taxes </w:t>
      </w:r>
    </w:p>
    <w:p>
      <w:pPr>
        <w:pStyle w:val="TextBody"/>
        <w:bidi w:val="0"/>
        <w:spacing w:before="120" w:after="0"/>
        <w:jc w:val="both"/>
        <w:rPr>
          <w:rFonts w:ascii="Times New Roman" w:hAnsi="Times New Roman"/>
          <w:sz w:val="20"/>
        </w:rPr>
      </w:pPr>
      <w:r>
        <w:rPr>
          <w:rFonts w:ascii="Times New Roman" w:hAnsi="Times New Roman"/>
          <w:sz w:val="20"/>
        </w:rPr>
        <w:t xml:space="preserve">On June 28, 2019, the Company became subject to the Federal Greenhouse Gas Pollution Pricing Act (the “Carbon Tax Act”). The Carbon Tax Act was enacted with retroactive effect to January 1, 2019. The Company has chosen to remove the costs associated with the Carbon Tax Act from Adjusted EBITDA to facilitate comparison with the results of its competitors in jurisdictions not subject to the Carbon Tax Act. Since the introduction of the Carbon Tax Act, Ontario’s Emissions Performance Standards (EPS) program was developed to regulate GHG emissions from large industrial facilities by setting emissions limits that are the basis for the compliance obligations of those facilities. The program was developed as an alternative to the federal output-based pricing system (OBPS). The EPS program came into full effect on January 1, 2022 and Algoma is now subject to compliance under the EPS. </w:t>
      </w:r>
    </w:p>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total Carbon Tax recognized in cost of sales was C$6.0 million (March 31, 2025 - C$3.5 million). The change is primarily due to a true-up of the estimated cost pertaining to the twelve month period ended December 31, 2025 and an increase in carbon tax per ton. This was offset, in part, by a decrease in carbon dioxide equivalent emissions.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the Company’s deferred income tax recovery and current income tax recovery were nil, compared to deferred income tax recovery and current income tax recovery of C$2.0 million and C$24.4 million, respectively, for the three month period ended March 31, 2025.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decrease in deferred income tax recovery is a result of the Company not recognizing a deferred tax asset on the basis that it is not probable that it will be recovered. The decrease in current income tax recovery is a result of the lack of available taxable income in the preceding three years to carry the current year loss back to recover taxes paid. </w:t>
      </w:r>
    </w:p>
    <w:p>
      <w:pPr>
        <w:pStyle w:val="TextBody"/>
        <w:bidi w:val="0"/>
        <w:spacing w:before="240" w:after="0"/>
        <w:jc w:val="both"/>
        <w:rPr>
          <w:rFonts w:ascii="Times New Roman" w:hAnsi="Times New Roman"/>
          <w:sz w:val="20"/>
        </w:rPr>
      </w:pPr>
      <w:r>
        <w:rPr>
          <w:rFonts w:ascii="Times New Roman" w:hAnsi="Times New Roman"/>
          <w:sz w:val="20"/>
        </w:rPr>
        <w:t xml:space="preserve">As at March 31, 2026, income taxes receivable of C$205.2 million (December 31, 2025 – C$201.8 million) are presented in the condensed interim consolidated statements of financial position. This balance represents taxes to be recovered as a result of carrying the loss back from calendar year 2025 to reduce taxable income in calendar year 2022 to recover taxes paid.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both"/>
        <w:rPr>
          <w:rFonts w:ascii="Times New Roman" w:hAnsi="Times New Roman"/>
          <w:sz w:val="20"/>
        </w:rPr>
      </w:pPr>
      <w:r>
        <w:rPr>
          <w:rFonts w:ascii="Times New Roman" w:hAnsi="Times New Roman"/>
          <w:sz w:val="20"/>
        </w:rPr>
        <w:t xml:space="preserve">The authorized share capital of the Company consists of an unlimited number of common shares without par value and an unlimited number of preferred shares without par value issuable in series. </w:t>
      </w:r>
    </w:p>
    <w:p>
      <w:pPr>
        <w:pStyle w:val="TextBody"/>
        <w:bidi w:val="0"/>
        <w:spacing w:before="240" w:after="0"/>
        <w:jc w:val="both"/>
        <w:rPr>
          <w:rFonts w:ascii="Times New Roman" w:hAnsi="Times New Roman"/>
          <w:sz w:val="20"/>
        </w:rPr>
      </w:pPr>
      <w:r>
        <w:rPr>
          <w:rFonts w:ascii="Times New Roman" w:hAnsi="Times New Roman"/>
          <w:sz w:val="20"/>
        </w:rPr>
        <w:t xml:space="preserve">As at March 31, 2026, there were 105,388,619 common shares issued and outstanding, and no preferred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IPO Warrants </w:t>
      </w:r>
    </w:p>
    <w:p>
      <w:pPr>
        <w:pStyle w:val="TextBody"/>
        <w:bidi w:val="0"/>
        <w:spacing w:before="120" w:after="0"/>
        <w:jc w:val="both"/>
        <w:rPr>
          <w:rFonts w:ascii="Times New Roman" w:hAnsi="Times New Roman"/>
          <w:sz w:val="20"/>
        </w:rPr>
      </w:pPr>
      <w:r>
        <w:rPr>
          <w:rFonts w:ascii="Times New Roman" w:hAnsi="Times New Roman"/>
          <w:sz w:val="20"/>
        </w:rPr>
        <w:t xml:space="preserve">As at March 31, 2026, 24,178,999 IPO Warrants remain outstanding with an estimated fair value of $0.10 per IPO Warrant based on the market price of the IPO Warrants, for which the Company recognized a liability of C$3.4 million ($2.4 million) (December 31, 2025 - C$2.5 million; $1.8 million) in IPO Warrant liability on the condensed interim consolidated statements of financial position. For the three month period ended March 31, 2026, a loss of C$0.8 million on change in the fair value of the IPO Warrant liability is presented in the condensed interim consolidated statements of net loss (March 31, 2025 - gain of C$39.1 million). The IPO Warrants will expire on October 19, 2026. </w:t>
      </w:r>
    </w:p>
    <w:p>
      <w:pPr>
        <w:pStyle w:val="TextBody"/>
        <w:bidi w:val="0"/>
        <w:spacing w:before="240" w:after="0"/>
        <w:jc w:val="both"/>
        <w:rPr>
          <w:rFonts w:ascii="Times New Roman" w:hAnsi="Times New Roman"/>
          <w:sz w:val="20"/>
        </w:rPr>
      </w:pPr>
      <w:r>
        <w:rPr>
          <w:rFonts w:ascii="Times New Roman" w:hAnsi="Times New Roman"/>
          <w:sz w:val="20"/>
        </w:rPr>
        <w:t xml:space="preserve">The IPO Warrants, with a strike price of $11.50, are currently out of the money. Should Algoma’s share price increase, these IPO Warrants contain a call feature enabling the Company to redeem them on a cashless basis before expiration, thus limiting potential dilution. Requirements include that the closing price of the Company’s common shares reaches or exceeds $18.00 for at least 20 out of any 30 consecutive trading days, the Company may exercise the option to redeem the IPO Warrants at a nominal price of $0.01 per IPO Warrant. For more information please see Algoma’s IPO Warrant agreement which is available on SEDAR+ and on EDGAR. </w:t>
      </w:r>
    </w:p>
    <w:p>
      <w:pPr>
        <w:pStyle w:val="TextBody"/>
        <w:bidi w:val="0"/>
        <w:spacing w:before="360" w:after="0"/>
        <w:jc w:val="left"/>
        <w:rPr>
          <w:rFonts w:ascii="Times New Roman" w:hAnsi="Times New Roman"/>
          <w:b/>
          <w:sz w:val="20"/>
        </w:rPr>
      </w:pPr>
      <w:r>
        <w:rPr>
          <w:rFonts w:ascii="Times New Roman" w:hAnsi="Times New Roman"/>
          <w:b/>
          <w:sz w:val="20"/>
        </w:rPr>
        <w:t xml:space="preserve">LETL Warrants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LETL Facilities, the Company issued warrants to purchase Common Shares to CEEFC and the Province of Ontario (collectively, the “LETL Warrants”). </w:t>
      </w:r>
    </w:p>
    <w:p>
      <w:pPr>
        <w:pStyle w:val="TextBody"/>
        <w:bidi w:val="0"/>
        <w:spacing w:before="240" w:after="0"/>
        <w:jc w:val="both"/>
        <w:rPr>
          <w:rFonts w:ascii="Times New Roman" w:hAnsi="Times New Roman"/>
          <w:sz w:val="20"/>
        </w:rPr>
      </w:pPr>
      <w:r>
        <w:rPr>
          <w:rFonts w:ascii="Times New Roman" w:hAnsi="Times New Roman"/>
          <w:sz w:val="20"/>
        </w:rPr>
        <w:t xml:space="preserve">The Company issued 5,415,162 warrants to CEEFC and 1,353,791 warrants to the Province of Ontario. Each LETL Warrant entitles the holder to purchase one Common Share at an exercise price of C$11.08 per share, subject to adjustments as discussed below. The LETL Warrants are governed by warrant agreements dated November 14, 2025 between the Company and CEEFC and between the Company and the Province of Ontario (collectively, the “Government Warrant Agreements”). </w:t>
      </w:r>
    </w:p>
    <w:p>
      <w:pPr>
        <w:pStyle w:val="TextBody"/>
        <w:bidi w:val="0"/>
        <w:spacing w:before="240" w:after="0"/>
        <w:jc w:val="both"/>
        <w:rPr>
          <w:rFonts w:ascii="Times New Roman" w:hAnsi="Times New Roman"/>
          <w:sz w:val="20"/>
        </w:rPr>
      </w:pPr>
      <w:r>
        <w:rPr>
          <w:rFonts w:ascii="Times New Roman" w:hAnsi="Times New Roman"/>
          <w:sz w:val="20"/>
        </w:rPr>
        <w:t xml:space="preserve">The LETL Warrants may be exercised at any time following vesting and prior to November 14, 2035, after which time any unexercised vested warrants will expire and be of no further force or effect. The number of LETL Warrants that are vested at any time is determined based on the aggregate principal amount of advances made under the applicable unsecured loan agreement relative to the total unsecured commitment under the LETL Facilities. Any LETL Warrants that have not vested as of the day following the end of the applicable availability period under the relevant LETL Facilities will expire and terminate. During the first year following the closing of the LETL Facilities, holders may only exercise up to one-half of their vested LETL Warrants at any time. </w:t>
      </w:r>
    </w:p>
    <w:p>
      <w:pPr>
        <w:pStyle w:val="TextBody"/>
        <w:bidi w:val="0"/>
        <w:spacing w:before="240" w:after="0"/>
        <w:jc w:val="both"/>
        <w:rPr>
          <w:rFonts w:ascii="Times New Roman" w:hAnsi="Times New Roman"/>
          <w:sz w:val="20"/>
        </w:rPr>
      </w:pPr>
      <w:r>
        <w:rPr>
          <w:rFonts w:ascii="Times New Roman" w:hAnsi="Times New Roman"/>
          <w:sz w:val="20"/>
        </w:rPr>
        <w:t xml:space="preserve">Provided that the Company repays in full all obligations under the LETL Facilities on or prior to November 14, 2032, the Company will have a one-time right, exercisable within 15 days of such repayment, to repurchase all LETL Warrants then held by the applicable holder. </w:t>
      </w:r>
    </w:p>
    <w:p>
      <w:pPr>
        <w:pStyle w:val="TextBody"/>
        <w:bidi w:val="0"/>
        <w:spacing w:before="240" w:after="0"/>
        <w:jc w:val="both"/>
        <w:rPr>
          <w:rFonts w:ascii="Times New Roman" w:hAnsi="Times New Roman"/>
          <w:sz w:val="20"/>
        </w:rPr>
      </w:pPr>
      <w:r>
        <w:rPr>
          <w:rFonts w:ascii="Times New Roman" w:hAnsi="Times New Roman"/>
          <w:sz w:val="20"/>
        </w:rPr>
        <w:t xml:space="preserve">The exercise price and the number of Common Shares issuable upon exercise of the LETL Warrants are subject to adjustment in certain circumstances, including in the event of stock dividends, extraordinary dividends,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subdivisions or consolidations, rights offerings, special distributions, or certain recapitalizations, reorganizations, mergers or consolidations involving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LETL Warrants are not transferable prior to the expiry of the Company’s repurchase right, except to affiliates of the applicable holder. Following the expiry of such repurchase right, the holders may transfer the LETL Warrants to any person other than a competitor of the Company, subject to compliance with applicable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Earnout </w:t>
      </w:r>
    </w:p>
    <w:p>
      <w:pPr>
        <w:pStyle w:val="TextBody"/>
        <w:bidi w:val="0"/>
        <w:spacing w:before="120" w:after="0"/>
        <w:jc w:val="both"/>
        <w:rPr>
          <w:rFonts w:ascii="Times New Roman" w:hAnsi="Times New Roman"/>
          <w:sz w:val="20"/>
        </w:rPr>
      </w:pPr>
      <w:r>
        <w:rPr>
          <w:rFonts w:ascii="Times New Roman" w:hAnsi="Times New Roman"/>
          <w:sz w:val="20"/>
        </w:rPr>
        <w:t xml:space="preserve">As at March 31, 2026, 655,453 earnout rights remain outstanding with an estimated fair value of $4.13 per unit based on the market price of the Company’s common shares, for which an earnout liability of C$3.8 million ($2.7 million) (December 31, 2025 - C$3.7 million; $2.7 million) was recognized in the condensed interim consolidated statements of financial position. During the year ended December 31, 2025, earnout rights were settled for 75,000 common shares. Change in the fair value of the earnout liability for the three month period ended March 31, 2026 of nil is presented in the condensed interim consolidated statements of net loss (March 31, 2025 - gain of C$4.4 million). </w:t>
      </w:r>
    </w:p>
    <w:p>
      <w:pPr>
        <w:pStyle w:val="TextBody"/>
        <w:bidi w:val="0"/>
        <w:spacing w:before="240" w:after="0"/>
        <w:jc w:val="both"/>
        <w:rPr>
          <w:rFonts w:ascii="Times New Roman" w:hAnsi="Times New Roman"/>
          <w:sz w:val="20"/>
        </w:rPr>
      </w:pPr>
      <w:r>
        <w:rPr>
          <w:rFonts w:ascii="Times New Roman" w:hAnsi="Times New Roman"/>
          <w:sz w:val="20"/>
        </w:rPr>
        <w:t xml:space="preserve">Continuity of earnout rights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2"/>
        <w:gridCol w:w="316"/>
        <w:gridCol w:w="100"/>
        <w:gridCol w:w="1374"/>
        <w:gridCol w:w="60"/>
        <w:gridCol w:w="316"/>
        <w:gridCol w:w="94"/>
        <w:gridCol w:w="1263"/>
        <w:gridCol w:w="160"/>
      </w:tblGrid>
      <w:tr>
        <w:trPr/>
        <w:tc>
          <w:tcPr>
            <w:tcW w:w="407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6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b/>
              </w:rPr>
            </w:pPr>
            <w:r>
              <w:rPr>
                <w:b/>
              </w:rPr>
              <w:t>655,453</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719,547</w:t>
            </w:r>
          </w:p>
        </w:tc>
        <w:tc>
          <w:tcPr>
            <w:tcW w:w="16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10,906</w:t>
            </w:r>
          </w:p>
        </w:tc>
        <w:tc>
          <w:tcPr>
            <w:tcW w:w="16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(75,000</w:t>
            </w:r>
          </w:p>
        </w:tc>
        <w:tc>
          <w:tcPr>
            <w:tcW w:w="160" w:type="dxa"/>
            <w:tcBorders/>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b/>
              </w:rPr>
            </w:pPr>
            <w:r>
              <w:rPr>
                <w:b/>
              </w:rPr>
              <w:t>655,453</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655,453</w:t>
            </w:r>
          </w:p>
        </w:tc>
        <w:tc>
          <w:tcPr>
            <w:tcW w:w="160" w:type="dxa"/>
            <w:tcBorders/>
            <w:shd w:fill="CCEEFF" w:val="clear"/>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Replacement Long Term Incentive Plan (“LTIP”) </w:t>
      </w:r>
    </w:p>
    <w:p>
      <w:pPr>
        <w:pStyle w:val="TextBody"/>
        <w:bidi w:val="0"/>
        <w:spacing w:before="120" w:after="0"/>
        <w:jc w:val="both"/>
        <w:rPr>
          <w:rFonts w:ascii="Times New Roman" w:hAnsi="Times New Roman"/>
          <w:sz w:val="20"/>
        </w:rPr>
      </w:pPr>
      <w:r>
        <w:rPr>
          <w:rFonts w:ascii="Times New Roman" w:hAnsi="Times New Roman"/>
          <w:sz w:val="20"/>
        </w:rPr>
        <w:t xml:space="preserve">As at March 31, 2026, 2,515,266 Replacement LTIP Awards remain outstanding with an estimated fair value of $4.13 per unit based on the market price of the Company’s common shares, for which the Company recognized a liability of C$14.5 million ($10.4 million) (December 31, 2025 - C$14.1 million; $10.3 million) in share-based payment compensation liability in the condensed interim consolidated statements of financial position. Loss on change in the fair value of the share-based payment compensation liability for the three month period ended March 31, 2026 of C$0.1 million is presented in the condensed interim consolidated statements of net loss (March 31, 2025 - gain of C$15.4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Continuity of Replacement LTIP units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7"/>
        <w:gridCol w:w="231"/>
        <w:gridCol w:w="83"/>
        <w:gridCol w:w="1385"/>
        <w:gridCol w:w="60"/>
        <w:gridCol w:w="231"/>
        <w:gridCol w:w="78"/>
        <w:gridCol w:w="1277"/>
        <w:gridCol w:w="63"/>
      </w:tblGrid>
      <w:tr>
        <w:trPr/>
        <w:tc>
          <w:tcPr>
            <w:tcW w:w="434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63" w:type="dxa"/>
            <w:tcBorders/>
            <w:vAlign w:val="bottom"/>
          </w:tcPr>
          <w:p>
            <w:pPr>
              <w:pStyle w:val="TableContents"/>
              <w:bidi w:val="0"/>
              <w:spacing w:before="0" w:after="283"/>
              <w:jc w:val="left"/>
              <w:rPr/>
            </w:pPr>
            <w:r>
              <w:rPr/>
              <w:t> </w:t>
            </w:r>
          </w:p>
        </w:tc>
      </w:tr>
      <w:tr>
        <w:trPr/>
        <w:tc>
          <w:tcPr>
            <w:tcW w:w="434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3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47"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3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b/>
              </w:rPr>
            </w:pPr>
            <w:r>
              <w:rPr>
                <w:b/>
              </w:rPr>
              <w:t>2,515,266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2,474,422</w:t>
            </w:r>
          </w:p>
        </w:tc>
        <w:tc>
          <w:tcPr>
            <w:tcW w:w="63" w:type="dxa"/>
            <w:tcBorders/>
            <w:vAlign w:val="bottom"/>
          </w:tcPr>
          <w:p>
            <w:pPr>
              <w:pStyle w:val="TableContents"/>
              <w:bidi w:val="0"/>
              <w:spacing w:before="0" w:after="283"/>
              <w:jc w:val="left"/>
              <w:rPr/>
            </w:pPr>
            <w:r>
              <w:rPr/>
              <w:t> </w:t>
            </w:r>
          </w:p>
        </w:tc>
      </w:tr>
      <w:tr>
        <w:trPr/>
        <w:tc>
          <w:tcPr>
            <w:tcW w:w="4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23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40,844</w:t>
            </w:r>
          </w:p>
        </w:tc>
        <w:tc>
          <w:tcPr>
            <w:tcW w:w="63" w:type="dxa"/>
            <w:tcBorders/>
            <w:shd w:fill="CCEEFF" w:val="clear"/>
            <w:vAlign w:val="bottom"/>
          </w:tcPr>
          <w:p>
            <w:pPr>
              <w:pStyle w:val="TableContents"/>
              <w:bidi w:val="0"/>
              <w:spacing w:before="0" w:after="283"/>
              <w:jc w:val="left"/>
              <w:rPr/>
            </w:pPr>
            <w:r>
              <w:rPr/>
              <w:t> </w:t>
            </w:r>
          </w:p>
        </w:tc>
      </w:tr>
      <w:tr>
        <w:trPr/>
        <w:tc>
          <w:tcPr>
            <w:tcW w:w="434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47"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3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b/>
              </w:rPr>
            </w:pPr>
            <w:r>
              <w:rPr>
                <w:b/>
              </w:rPr>
              <w:t>2,515,266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2,515,266</w:t>
            </w:r>
          </w:p>
        </w:tc>
        <w:tc>
          <w:tcPr>
            <w:tcW w:w="63" w:type="dxa"/>
            <w:tcBorders/>
            <w:vAlign w:val="bottom"/>
          </w:tcPr>
          <w:p>
            <w:pPr>
              <w:pStyle w:val="TableContents"/>
              <w:bidi w:val="0"/>
              <w:spacing w:before="0" w:after="283"/>
              <w:jc w:val="left"/>
              <w:rPr/>
            </w:pPr>
            <w:r>
              <w:rPr/>
              <w:t> </w:t>
            </w:r>
          </w:p>
        </w:tc>
      </w:tr>
      <w:tr>
        <w:trPr/>
        <w:tc>
          <w:tcPr>
            <w:tcW w:w="434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Omnibus Long Term Incentive Plan (“LTIP”) </w:t>
      </w:r>
    </w:p>
    <w:p>
      <w:pPr>
        <w:pStyle w:val="TextBody"/>
        <w:bidi w:val="0"/>
        <w:spacing w:before="120" w:after="0"/>
        <w:jc w:val="left"/>
        <w:rPr>
          <w:rFonts w:ascii="Times New Roman" w:hAnsi="Times New Roman"/>
          <w:i/>
          <w:sz w:val="20"/>
        </w:rPr>
      </w:pPr>
      <w:r>
        <w:rPr>
          <w:rFonts w:ascii="Times New Roman" w:hAnsi="Times New Roman"/>
          <w:i/>
          <w:sz w:val="20"/>
        </w:rPr>
        <w:t xml:space="preserve">Deferred share units (“DSUs”)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8"/>
        <w:gridCol w:w="361"/>
        <w:gridCol w:w="100"/>
        <w:gridCol w:w="1374"/>
        <w:gridCol w:w="155"/>
        <w:gridCol w:w="316"/>
        <w:gridCol w:w="94"/>
        <w:gridCol w:w="1263"/>
        <w:gridCol w:w="64"/>
      </w:tblGrid>
      <w:tr>
        <w:trPr/>
        <w:tc>
          <w:tcPr>
            <w:tcW w:w="4028"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28"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64" w:type="dxa"/>
            <w:tcBorders/>
            <w:vAlign w:val="bottom"/>
          </w:tcPr>
          <w:p>
            <w:pPr>
              <w:pStyle w:val="TableContents"/>
              <w:bidi w:val="0"/>
              <w:spacing w:before="0" w:after="283"/>
              <w:jc w:val="left"/>
              <w:rPr/>
            </w:pPr>
            <w:r>
              <w:rPr/>
              <w:t> </w:t>
            </w:r>
          </w:p>
        </w:tc>
      </w:tr>
      <w:tr>
        <w:trPr/>
        <w:tc>
          <w:tcPr>
            <w:tcW w:w="402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36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28"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36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b/>
              </w:rPr>
            </w:pPr>
            <w:r>
              <w:rPr>
                <w:b/>
              </w:rPr>
              <w:t>705,674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480,481</w:t>
            </w:r>
          </w:p>
        </w:tc>
        <w:tc>
          <w:tcPr>
            <w:tcW w:w="64" w:type="dxa"/>
            <w:tcBorders/>
            <w:vAlign w:val="bottom"/>
          </w:tcPr>
          <w:p>
            <w:pPr>
              <w:pStyle w:val="TableContents"/>
              <w:bidi w:val="0"/>
              <w:spacing w:before="0" w:after="283"/>
              <w:jc w:val="left"/>
              <w:rPr/>
            </w:pPr>
            <w:r>
              <w:rPr/>
              <w:t> </w:t>
            </w:r>
          </w:p>
        </w:tc>
      </w:tr>
      <w:tr>
        <w:trPr/>
        <w:tc>
          <w:tcPr>
            <w:tcW w:w="4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6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b/>
              </w:rPr>
            </w:pPr>
            <w:r>
              <w:rPr>
                <w:b/>
              </w:rPr>
              <w:t>70,425</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218,069</w:t>
            </w:r>
          </w:p>
        </w:tc>
        <w:tc>
          <w:tcPr>
            <w:tcW w:w="64" w:type="dxa"/>
            <w:tcBorders/>
            <w:shd w:fill="CCEEFF" w:val="clear"/>
            <w:vAlign w:val="bottom"/>
          </w:tcPr>
          <w:p>
            <w:pPr>
              <w:pStyle w:val="TableContents"/>
              <w:bidi w:val="0"/>
              <w:spacing w:before="0" w:after="283"/>
              <w:jc w:val="left"/>
              <w:rPr/>
            </w:pPr>
            <w:r>
              <w:rPr/>
              <w:t> </w:t>
            </w:r>
          </w:p>
        </w:tc>
      </w:tr>
      <w:tr>
        <w:trPr/>
        <w:tc>
          <w:tcPr>
            <w:tcW w:w="4028"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36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b/>
              </w:rPr>
            </w:pPr>
            <w:r>
              <w:rPr>
                <w:b/>
              </w:rPr>
              <w:t>2,764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7,124</w:t>
            </w:r>
          </w:p>
        </w:tc>
        <w:tc>
          <w:tcPr>
            <w:tcW w:w="64" w:type="dxa"/>
            <w:tcBorders/>
            <w:vAlign w:val="bottom"/>
          </w:tcPr>
          <w:p>
            <w:pPr>
              <w:pStyle w:val="TableContents"/>
              <w:bidi w:val="0"/>
              <w:spacing w:before="0" w:after="283"/>
              <w:jc w:val="left"/>
              <w:rPr/>
            </w:pPr>
            <w:r>
              <w:rPr/>
              <w:t> </w:t>
            </w:r>
          </w:p>
        </w:tc>
      </w:tr>
      <w:tr>
        <w:trPr/>
        <w:tc>
          <w:tcPr>
            <w:tcW w:w="4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361"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b/>
              </w:rPr>
            </w:pPr>
            <w:r>
              <w:rPr>
                <w:b/>
              </w:rPr>
              <w:t>(64,642</w:t>
            </w:r>
          </w:p>
        </w:tc>
        <w:tc>
          <w:tcPr>
            <w:tcW w:w="155" w:type="dxa"/>
            <w:tcBorders/>
            <w:shd w:fill="CCEEFF" w:val="clear"/>
            <w:vAlign w:val="bottom"/>
          </w:tcPr>
          <w:p>
            <w:pPr>
              <w:pStyle w:val="TableContents"/>
              <w:bidi w:val="0"/>
              <w:spacing w:before="0" w:after="283"/>
              <w:jc w:val="left"/>
              <w:rPr>
                <w:b/>
              </w:rPr>
            </w:pPr>
            <w:r>
              <w:rPr>
                <w:b/>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28"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6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b/>
              </w:rPr>
            </w:pPr>
            <w:r>
              <w:rPr>
                <w:b/>
              </w:rPr>
              <w:t>714,221</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705,674</w:t>
            </w:r>
          </w:p>
        </w:tc>
        <w:tc>
          <w:tcPr>
            <w:tcW w:w="64" w:type="dxa"/>
            <w:tcBorders/>
            <w:vAlign w:val="bottom"/>
          </w:tcPr>
          <w:p>
            <w:pPr>
              <w:pStyle w:val="TableContents"/>
              <w:bidi w:val="0"/>
              <w:spacing w:before="0" w:after="283"/>
              <w:jc w:val="left"/>
              <w:rPr/>
            </w:pPr>
            <w:r>
              <w:rPr/>
              <w:t> </w:t>
            </w:r>
          </w:p>
        </w:tc>
      </w:tr>
      <w:tr>
        <w:trPr/>
        <w:tc>
          <w:tcPr>
            <w:tcW w:w="40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the Company recorded a share-based payment compensation expense of C$0.7 million in administrative and selling expense on the condensed interim consolidated statements of net loss and contributed deficit on the condensed interim consolidated statements of financial position (March 31, 2025 - C$0.3 million). </w:t>
      </w:r>
    </w:p>
    <w:p>
      <w:pPr>
        <w:pStyle w:val="TextBody"/>
        <w:bidi w:val="0"/>
        <w:spacing w:before="360" w:after="0"/>
        <w:jc w:val="left"/>
        <w:rPr>
          <w:rFonts w:ascii="Times New Roman" w:hAnsi="Times New Roman"/>
          <w:sz w:val="20"/>
        </w:rPr>
      </w:pPr>
      <w:r>
        <w:rPr>
          <w:rFonts w:ascii="Times New Roman" w:hAnsi="Times New Roman"/>
          <w:i/>
          <w:sz w:val="20"/>
        </w:rPr>
        <w:t>Restricted share units (“RSU”) FY2024, FY2025 and CY2025 Plans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3"/>
        <w:gridCol w:w="269"/>
        <w:gridCol w:w="83"/>
        <w:gridCol w:w="1363"/>
        <w:gridCol w:w="155"/>
        <w:gridCol w:w="224"/>
        <w:gridCol w:w="78"/>
        <w:gridCol w:w="1301"/>
        <w:gridCol w:w="159"/>
      </w:tblGrid>
      <w:tr>
        <w:trPr/>
        <w:tc>
          <w:tcPr>
            <w:tcW w:w="412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1,195,401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1,037,229</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565,016</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 net of cancellations</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(15,733</w:t>
            </w:r>
          </w:p>
        </w:tc>
        <w:tc>
          <w:tcPr>
            <w:tcW w:w="155" w:type="dxa"/>
            <w:tcBorders/>
            <w:vAlign w:val="bottom"/>
          </w:tcPr>
          <w:p>
            <w:pPr>
              <w:pStyle w:val="TableContents"/>
              <w:bidi w:val="0"/>
              <w:spacing w:before="0" w:after="283"/>
              <w:jc w:val="left"/>
              <w:rPr>
                <w:b/>
              </w:rPr>
            </w:pPr>
            <w:r>
              <w:rPr>
                <w:b/>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(406,844</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(349,076</w:t>
            </w:r>
          </w:p>
        </w:tc>
        <w:tc>
          <w:tcPr>
            <w:tcW w:w="155" w:type="dxa"/>
            <w:tcBorders/>
            <w:shd w:fill="CCEEFF" w:val="clear"/>
            <w:vAlign w:val="bottom"/>
          </w:tcPr>
          <w:p>
            <w:pPr>
              <w:pStyle w:val="TableContents"/>
              <w:bidi w:val="0"/>
              <w:spacing w:before="0" w:after="283"/>
              <w:jc w:val="left"/>
              <w:rPr>
                <w:b/>
              </w:rPr>
            </w:pPr>
            <w:r>
              <w:rPr>
                <w:b/>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830,592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1,195,401</w:t>
            </w:r>
          </w:p>
        </w:tc>
        <w:tc>
          <w:tcPr>
            <w:tcW w:w="159" w:type="dxa"/>
            <w:tcBorders/>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Performance share units (“PSU”) FY2024, FY2025 and CY2025 Plans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3"/>
        <w:gridCol w:w="269"/>
        <w:gridCol w:w="83"/>
        <w:gridCol w:w="1363"/>
        <w:gridCol w:w="155"/>
        <w:gridCol w:w="224"/>
        <w:gridCol w:w="78"/>
        <w:gridCol w:w="1301"/>
        <w:gridCol w:w="159"/>
      </w:tblGrid>
      <w:tr>
        <w:trPr/>
        <w:tc>
          <w:tcPr>
            <w:tcW w:w="412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1,170,381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1,049,039</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1,042,775</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 net of cancellations</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(921,434</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(41,099</w:t>
            </w:r>
          </w:p>
        </w:tc>
        <w:tc>
          <w:tcPr>
            <w:tcW w:w="155" w:type="dxa"/>
            <w:tcBorders/>
            <w:shd w:fill="CCEEFF" w:val="clear"/>
            <w:vAlign w:val="bottom"/>
          </w:tcPr>
          <w:p>
            <w:pPr>
              <w:pStyle w:val="TableContents"/>
              <w:bidi w:val="0"/>
              <w:spacing w:before="0" w:after="283"/>
              <w:jc w:val="left"/>
              <w:rPr>
                <w:b/>
              </w:rPr>
            </w:pPr>
            <w:r>
              <w:rPr>
                <w:b/>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1,129,282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1,170,381</w:t>
            </w:r>
          </w:p>
        </w:tc>
        <w:tc>
          <w:tcPr>
            <w:tcW w:w="159" w:type="dxa"/>
            <w:tcBorders/>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the Company recorded share-based payment compensation expense of C$2.1 million in administrative and selling expenses on the condensed interim consolidated statements of net loss and contributed deficit on the condensed interim consolidated statements of financial position (March 31, 2025 - C$3.3 million). </w:t>
      </w:r>
    </w:p>
    <w:p>
      <w:pPr>
        <w:pStyle w:val="TextBody"/>
        <w:bidi w:val="0"/>
        <w:spacing w:before="360" w:after="0"/>
        <w:jc w:val="left"/>
        <w:rPr>
          <w:rFonts w:ascii="Times New Roman" w:hAnsi="Times New Roman"/>
          <w:b/>
          <w:sz w:val="20"/>
        </w:rPr>
      </w:pPr>
      <w:r>
        <w:rPr>
          <w:rFonts w:ascii="Times New Roman" w:hAnsi="Times New Roman"/>
          <w:b/>
          <w:sz w:val="20"/>
        </w:rPr>
        <w:t xml:space="preserve">EBITDA and Adjusted EBITDA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shows the reconciliation of EBITDA and Adjusted EBITDA to net loss for the periods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3168"/>
        <w:gridCol w:w="455"/>
        <w:gridCol w:w="519"/>
        <w:gridCol w:w="1230"/>
        <w:gridCol w:w="155"/>
        <w:gridCol w:w="429"/>
        <w:gridCol w:w="557"/>
        <w:gridCol w:w="1082"/>
        <w:gridCol w:w="160"/>
      </w:tblGrid>
      <w:tr>
        <w:trPr/>
        <w:tc>
          <w:tcPr>
            <w:tcW w:w="3168"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millions of dollars</w:t>
            </w:r>
          </w:p>
        </w:tc>
        <w:tc>
          <w:tcPr>
            <w:tcW w:w="455"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2026</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 March 31,</w:t>
              <w:br/>
              <w:t>2025</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b/>
              </w:rPr>
            </w:pPr>
            <w:r>
              <w:rPr>
                <w:b/>
              </w:rPr>
              <w:t>C$</w:t>
            </w:r>
          </w:p>
        </w:tc>
        <w:tc>
          <w:tcPr>
            <w:tcW w:w="1230" w:type="dxa"/>
            <w:tcBorders/>
            <w:shd w:fill="CCEEFF" w:val="clear"/>
            <w:vAlign w:val="bottom"/>
          </w:tcPr>
          <w:p>
            <w:pPr>
              <w:pStyle w:val="TableContents"/>
              <w:bidi w:val="0"/>
              <w:spacing w:before="0" w:after="283"/>
              <w:jc w:val="right"/>
              <w:rPr>
                <w:b/>
              </w:rPr>
            </w:pPr>
            <w:r>
              <w:rPr>
                <w:b/>
              </w:rPr>
              <w:t>(159.4</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C$</w:t>
            </w:r>
          </w:p>
        </w:tc>
        <w:tc>
          <w:tcPr>
            <w:tcW w:w="1082" w:type="dxa"/>
            <w:tcBorders/>
            <w:shd w:fill="CCEEFF" w:val="clear"/>
            <w:vAlign w:val="bottom"/>
          </w:tcPr>
          <w:p>
            <w:pPr>
              <w:pStyle w:val="TableContents"/>
              <w:bidi w:val="0"/>
              <w:spacing w:before="0" w:after="283"/>
              <w:jc w:val="right"/>
              <w:rPr/>
            </w:pPr>
            <w:r>
              <w:rPr/>
              <w:t>(24.5</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 and amortization of intangible assets</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33.4</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35.0</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Inventory adjustments </w:t>
            </w:r>
            <w:r>
              <w:rPr>
                <w:rFonts w:ascii="Times New Roman" w:hAnsi="Times New Roman"/>
                <w:i/>
                <w:sz w:val="20"/>
              </w:rPr>
              <w:t>(depreciation on property, plant and equipment in inventory)</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(7.7</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17.8</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(0.6</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(2.8</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recovery</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(26.4</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b/>
                <w:sz w:val="20"/>
              </w:rPr>
            </w:pPr>
            <w:r>
              <w:rPr>
                <w:rFonts w:ascii="Times New Roman" w:hAnsi="Times New Roman"/>
                <w:b/>
                <w:sz w:val="20"/>
              </w:rPr>
              <w:t>EBITDA (ii)</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b/>
              </w:rPr>
            </w:pPr>
            <w:r>
              <w:rPr>
                <w:b/>
              </w:rPr>
              <w:t>C$</w:t>
            </w:r>
          </w:p>
        </w:tc>
        <w:tc>
          <w:tcPr>
            <w:tcW w:w="1230" w:type="dxa"/>
            <w:tcBorders/>
            <w:vAlign w:val="bottom"/>
          </w:tcPr>
          <w:p>
            <w:pPr>
              <w:pStyle w:val="TableContents"/>
              <w:bidi w:val="0"/>
              <w:spacing w:before="0" w:after="283"/>
              <w:jc w:val="right"/>
              <w:rPr>
                <w:b/>
              </w:rPr>
            </w:pPr>
            <w:r>
              <w:rPr>
                <w:b/>
              </w:rPr>
              <w:t>(119.2</w:t>
            </w:r>
          </w:p>
        </w:tc>
        <w:tc>
          <w:tcPr>
            <w:tcW w:w="155" w:type="dxa"/>
            <w:tcBorders/>
            <w:vAlign w:val="bottom"/>
          </w:tcPr>
          <w:p>
            <w:pPr>
              <w:pStyle w:val="TableContents"/>
              <w:bidi w:val="0"/>
              <w:spacing w:before="0" w:after="283"/>
              <w:jc w:val="left"/>
              <w:rPr>
                <w:b/>
              </w:rPr>
            </w:pPr>
            <w:r>
              <w:rPr>
                <w:b/>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C$</w:t>
            </w:r>
          </w:p>
        </w:tc>
        <w:tc>
          <w:tcPr>
            <w:tcW w:w="1082" w:type="dxa"/>
            <w:tcBorders/>
            <w:vAlign w:val="bottom"/>
          </w:tcPr>
          <w:p>
            <w:pPr>
              <w:pStyle w:val="TableContents"/>
              <w:bidi w:val="0"/>
              <w:spacing w:before="0" w:after="283"/>
              <w:jc w:val="right"/>
              <w:rPr/>
            </w:pPr>
            <w:r>
              <w:rPr/>
              <w:t>4.1</w:t>
            </w:r>
          </w:p>
        </w:tc>
        <w:tc>
          <w:tcPr>
            <w:tcW w:w="160" w:type="dxa"/>
            <w:tcBorders/>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0.9</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sz w:val="20"/>
              </w:rPr>
            </w:pPr>
            <w:r>
              <w:rPr>
                <w:rFonts w:ascii="Times New Roman" w:hAnsi="Times New Roman"/>
                <w:sz w:val="20"/>
              </w:rPr>
              <w:t>Carbon tax</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6.0</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3.5</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financial instruments (i)</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5.8</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(58.9</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3.7</w:t>
            </w:r>
          </w:p>
        </w:tc>
        <w:tc>
          <w:tcPr>
            <w:tcW w:w="160" w:type="dxa"/>
            <w:tcBorders/>
            <w:vAlign w:val="bottom"/>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Capacity utilization</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90.2</w:t>
            </w:r>
          </w:p>
        </w:tc>
        <w:tc>
          <w:tcPr>
            <w:tcW w:w="15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(ii)</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b/>
              </w:rPr>
            </w:pPr>
            <w:r>
              <w:rPr>
                <w:b/>
              </w:rPr>
              <w:t>C$</w:t>
            </w:r>
          </w:p>
        </w:tc>
        <w:tc>
          <w:tcPr>
            <w:tcW w:w="1230" w:type="dxa"/>
            <w:tcBorders/>
            <w:vAlign w:val="bottom"/>
          </w:tcPr>
          <w:p>
            <w:pPr>
              <w:pStyle w:val="TableContents"/>
              <w:bidi w:val="0"/>
              <w:spacing w:before="0" w:after="283"/>
              <w:jc w:val="right"/>
              <w:rPr>
                <w:b/>
              </w:rPr>
            </w:pPr>
            <w:r>
              <w:rPr>
                <w:b/>
              </w:rPr>
              <w:t>(28.7</w:t>
            </w:r>
          </w:p>
        </w:tc>
        <w:tc>
          <w:tcPr>
            <w:tcW w:w="155" w:type="dxa"/>
            <w:tcBorders/>
            <w:vAlign w:val="bottom"/>
          </w:tcPr>
          <w:p>
            <w:pPr>
              <w:pStyle w:val="TableContents"/>
              <w:bidi w:val="0"/>
              <w:spacing w:before="0" w:after="283"/>
              <w:jc w:val="left"/>
              <w:rPr>
                <w:b/>
              </w:rPr>
            </w:pPr>
            <w:r>
              <w:rPr>
                <w:b/>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C$</w:t>
            </w:r>
          </w:p>
        </w:tc>
        <w:tc>
          <w:tcPr>
            <w:tcW w:w="1082" w:type="dxa"/>
            <w:tcBorders/>
            <w:vAlign w:val="bottom"/>
          </w:tcPr>
          <w:p>
            <w:pPr>
              <w:pStyle w:val="TableContents"/>
              <w:bidi w:val="0"/>
              <w:spacing w:before="0" w:after="283"/>
              <w:jc w:val="right"/>
              <w:rPr/>
            </w:pPr>
            <w:r>
              <w:rPr/>
              <w:t>(46.7</w:t>
            </w:r>
          </w:p>
        </w:tc>
        <w:tc>
          <w:tcPr>
            <w:tcW w:w="160" w:type="dxa"/>
            <w:tcBorders/>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Margin</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(53.7%</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(4.7%</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 ton</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b/>
              </w:rPr>
            </w:pPr>
            <w:r>
              <w:rPr>
                <w:b/>
              </w:rPr>
              <w:t>C$</w:t>
            </w:r>
          </w:p>
        </w:tc>
        <w:tc>
          <w:tcPr>
            <w:tcW w:w="1230" w:type="dxa"/>
            <w:tcBorders/>
            <w:vAlign w:val="bottom"/>
          </w:tcPr>
          <w:p>
            <w:pPr>
              <w:pStyle w:val="TableContents"/>
              <w:bidi w:val="0"/>
              <w:spacing w:before="0" w:after="283"/>
              <w:jc w:val="right"/>
              <w:rPr>
                <w:b/>
              </w:rPr>
            </w:pPr>
            <w:r>
              <w:rPr>
                <w:b/>
              </w:rPr>
              <w:t>(712.6</w:t>
            </w:r>
          </w:p>
        </w:tc>
        <w:tc>
          <w:tcPr>
            <w:tcW w:w="155" w:type="dxa"/>
            <w:tcBorders/>
            <w:vAlign w:val="bottom"/>
          </w:tcPr>
          <w:p>
            <w:pPr>
              <w:pStyle w:val="TableContents"/>
              <w:bidi w:val="0"/>
              <w:spacing w:before="0" w:after="283"/>
              <w:jc w:val="left"/>
              <w:rPr>
                <w:b/>
              </w:rPr>
            </w:pPr>
            <w:r>
              <w:rPr>
                <w:b/>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C$</w:t>
            </w:r>
          </w:p>
        </w:tc>
        <w:tc>
          <w:tcPr>
            <w:tcW w:w="1082" w:type="dxa"/>
            <w:tcBorders/>
            <w:vAlign w:val="bottom"/>
          </w:tcPr>
          <w:p>
            <w:pPr>
              <w:pStyle w:val="TableContents"/>
              <w:bidi w:val="0"/>
              <w:spacing w:before="0" w:after="283"/>
              <w:jc w:val="right"/>
              <w:rPr/>
            </w:pPr>
            <w:r>
              <w:rPr/>
              <w:t>(52.2</w:t>
            </w:r>
          </w:p>
        </w:tc>
        <w:tc>
          <w:tcPr>
            <w:tcW w:w="160" w:type="dxa"/>
            <w:tcBorders/>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Margin (iii)</w:t>
            </w:r>
          </w:p>
        </w:tc>
        <w:tc>
          <w:tcPr>
            <w:tcW w:w="45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b/>
              </w:rPr>
            </w:pPr>
            <w:r>
              <w:rPr>
                <w:b/>
              </w:rPr>
              <w:t>(9.7%</w:t>
            </w:r>
          </w:p>
        </w:tc>
        <w:tc>
          <w:tcPr>
            <w:tcW w:w="155" w:type="dxa"/>
            <w:tcBorders/>
            <w:shd w:fill="CCEEFF" w:val="clear"/>
            <w:vAlign w:val="bottom"/>
          </w:tcPr>
          <w:p>
            <w:pPr>
              <w:pStyle w:val="TableContents"/>
              <w:bidi w:val="0"/>
              <w:spacing w:before="0" w:after="283"/>
              <w:jc w:val="left"/>
              <w:rPr>
                <w:b/>
              </w:rPr>
            </w:pPr>
            <w:r>
              <w:rPr>
                <w:b/>
              </w:rPr>
              <w:t>) </w:t>
            </w:r>
          </w:p>
        </w:tc>
        <w:tc>
          <w:tcPr>
            <w:tcW w:w="429"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(9.0%</w:t>
            </w:r>
          </w:p>
        </w:tc>
        <w:tc>
          <w:tcPr>
            <w:tcW w:w="160" w:type="dxa"/>
            <w:tcBorders/>
            <w:shd w:fill="CCEEFF" w:val="clear"/>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6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 ton</w:t>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b/>
              </w:rPr>
            </w:pPr>
            <w:r>
              <w:rPr>
                <w:b/>
              </w:rPr>
              <w:t>C$</w:t>
            </w:r>
          </w:p>
        </w:tc>
        <w:tc>
          <w:tcPr>
            <w:tcW w:w="1230" w:type="dxa"/>
            <w:tcBorders/>
            <w:vAlign w:val="bottom"/>
          </w:tcPr>
          <w:p>
            <w:pPr>
              <w:pStyle w:val="TableContents"/>
              <w:bidi w:val="0"/>
              <w:spacing w:before="0" w:after="283"/>
              <w:jc w:val="right"/>
              <w:rPr>
                <w:b/>
              </w:rPr>
            </w:pPr>
            <w:r>
              <w:rPr>
                <w:b/>
              </w:rPr>
              <w:t>(128.3</w:t>
            </w:r>
          </w:p>
        </w:tc>
        <w:tc>
          <w:tcPr>
            <w:tcW w:w="155" w:type="dxa"/>
            <w:tcBorders/>
            <w:vAlign w:val="bottom"/>
          </w:tcPr>
          <w:p>
            <w:pPr>
              <w:pStyle w:val="TableContents"/>
              <w:bidi w:val="0"/>
              <w:spacing w:before="0" w:after="283"/>
              <w:jc w:val="left"/>
              <w:rPr>
                <w:b/>
              </w:rPr>
            </w:pPr>
            <w:r>
              <w:rPr>
                <w:b/>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C$</w:t>
            </w:r>
          </w:p>
        </w:tc>
        <w:tc>
          <w:tcPr>
            <w:tcW w:w="1082" w:type="dxa"/>
            <w:tcBorders/>
            <w:vAlign w:val="bottom"/>
          </w:tcPr>
          <w:p>
            <w:pPr>
              <w:pStyle w:val="TableContents"/>
              <w:bidi w:val="0"/>
              <w:spacing w:before="0" w:after="283"/>
              <w:jc w:val="right"/>
              <w:rPr/>
            </w:pPr>
            <w:r>
              <w:rPr/>
              <w:t>(99.4</w:t>
            </w:r>
          </w:p>
        </w:tc>
        <w:tc>
          <w:tcPr>
            <w:tcW w:w="160" w:type="dxa"/>
            <w:tcBorders/>
            <w:vAlign w:val="bottom"/>
          </w:tcPr>
          <w:p>
            <w:pPr>
              <w:pStyle w:val="TableContents"/>
              <w:bidi w:val="0"/>
              <w:spacing w:before="0" w:after="283"/>
              <w:jc w:val="left"/>
              <w:rPr/>
            </w:pPr>
            <w:r>
              <w:rPr/>
              <w:t>) </w:t>
            </w:r>
          </w:p>
        </w:tc>
      </w:tr>
      <w:tr>
        <w:trPr/>
        <w:tc>
          <w:tcPr>
            <w:tcW w:w="316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instruments at fair value are comprised of IPO and LETL Warrant liabilities, earnout liability, share-based payment compensation liability and derivatives.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“Non-GAAP Measures” for information regarding the limitations of using EBITDA and Adjusted EBITDA.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Margin is Adjusted EBITDA as a percentage of revenue. </w:t>
            </w:r>
          </w:p>
        </w:tc>
      </w:tr>
    </w:tbl>
    <w:p>
      <w:pPr>
        <w:pStyle w:val="TextBody"/>
        <w:bidi w:val="0"/>
        <w:spacing w:before="240" w:after="0"/>
        <w:jc w:val="both"/>
        <w:rPr>
          <w:rFonts w:ascii="Times New Roman" w:hAnsi="Times New Roman"/>
          <w:sz w:val="20"/>
        </w:rPr>
      </w:pPr>
      <w:r>
        <w:rPr>
          <w:rFonts w:ascii="Times New Roman" w:hAnsi="Times New Roman"/>
          <w:sz w:val="20"/>
        </w:rPr>
        <w:t xml:space="preserve">EBITDA for the three month period ended March 31, 2026 decreased by C$123.3 million primarily due capacity utilization (C$90.2 million) resulting from the accelerated transition to EAF steelmaking and exceptionally low production volumes and an increase in tariff costs (C$16.9 million). There were no insurance proceeds recognized in the three month period ended March 31, 2026 (March 31, 2025 - C$50.0 million). Partly offsetting these variances is improved product mix during the three month period ended March 31, 2026 as compared to the three month period ended March 31, 2025. </w:t>
      </w:r>
    </w:p>
    <w:p>
      <w:pPr>
        <w:pStyle w:val="TextBody"/>
        <w:bidi w:val="0"/>
        <w:spacing w:before="240" w:after="0"/>
        <w:jc w:val="both"/>
        <w:rPr>
          <w:rFonts w:ascii="Times New Roman" w:hAnsi="Times New Roman"/>
          <w:sz w:val="20"/>
        </w:rPr>
      </w:pPr>
      <w:r>
        <w:rPr>
          <w:rFonts w:ascii="Times New Roman" w:hAnsi="Times New Roman"/>
          <w:sz w:val="20"/>
        </w:rPr>
        <w:t xml:space="preserve">Adjusted EBITDA for the three month period ended March 31, 2026 increased by C$18.0 million primarily due to improved product mix, while Adjusted EBITDA per ton decreased by C$28.9 per ton compared to the three month period ended March 31, 2025 which was driven mainly by lower steel shipments.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Resources and 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Summary of Cash Flows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7"/>
        <w:gridCol w:w="459"/>
        <w:gridCol w:w="554"/>
        <w:gridCol w:w="907"/>
        <w:gridCol w:w="155"/>
        <w:gridCol w:w="425"/>
        <w:gridCol w:w="429"/>
        <w:gridCol w:w="911"/>
        <w:gridCol w:w="158"/>
      </w:tblGrid>
      <w:tr>
        <w:trPr/>
        <w:tc>
          <w:tcPr>
            <w:tcW w:w="3757"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millions of dollars</w:t>
            </w:r>
          </w:p>
        </w:tc>
        <w:tc>
          <w:tcPr>
            <w:tcW w:w="459"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2025</w:t>
            </w:r>
          </w:p>
        </w:tc>
        <w:tc>
          <w:tcPr>
            <w:tcW w:w="158"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beginning of period</w:t>
            </w:r>
          </w:p>
        </w:tc>
        <w:tc>
          <w:tcPr>
            <w:tcW w:w="459"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b/>
              </w:rPr>
            </w:pPr>
            <w:r>
              <w:rPr>
                <w:b/>
              </w:rPr>
              <w:t>C$</w:t>
            </w:r>
          </w:p>
        </w:tc>
        <w:tc>
          <w:tcPr>
            <w:tcW w:w="907" w:type="dxa"/>
            <w:tcBorders/>
            <w:shd w:fill="CCEEFF" w:val="clear"/>
            <w:vAlign w:val="bottom"/>
          </w:tcPr>
          <w:p>
            <w:pPr>
              <w:pStyle w:val="TableContents"/>
              <w:bidi w:val="0"/>
              <w:spacing w:before="0" w:after="283"/>
              <w:jc w:val="right"/>
              <w:rPr>
                <w:b/>
              </w:rPr>
            </w:pPr>
            <w:r>
              <w:rPr>
                <w:b/>
              </w:rPr>
              <w:t>77.5</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C$</w:t>
            </w:r>
          </w:p>
        </w:tc>
        <w:tc>
          <w:tcPr>
            <w:tcW w:w="911" w:type="dxa"/>
            <w:tcBorders/>
            <w:shd w:fill="CCEEFF" w:val="clear"/>
            <w:vAlign w:val="bottom"/>
          </w:tcPr>
          <w:p>
            <w:pPr>
              <w:pStyle w:val="TableContents"/>
              <w:bidi w:val="0"/>
              <w:spacing w:before="0" w:after="283"/>
              <w:jc w:val="right"/>
              <w:rPr/>
            </w:pPr>
            <w:r>
              <w:rPr/>
              <w:t>266.9</w:t>
            </w:r>
          </w:p>
        </w:tc>
        <w:tc>
          <w:tcPr>
            <w:tcW w:w="158"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Cash generated by (used in):</w:t>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91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459"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(12.2</w:t>
            </w:r>
          </w:p>
        </w:tc>
        <w:tc>
          <w:tcPr>
            <w:tcW w:w="155" w:type="dxa"/>
            <w:tcBorders/>
            <w:shd w:fill="CCEEFF" w:val="clear"/>
            <w:vAlign w:val="bottom"/>
          </w:tcPr>
          <w:p>
            <w:pPr>
              <w:pStyle w:val="TableContents"/>
              <w:bidi w:val="0"/>
              <w:spacing w:before="0" w:after="283"/>
              <w:jc w:val="left"/>
              <w:rPr>
                <w:b/>
              </w:rPr>
            </w:pPr>
            <w:r>
              <w:rPr>
                <w:b/>
              </w:rPr>
              <w:t>) </w:t>
            </w:r>
          </w:p>
        </w:tc>
        <w:tc>
          <w:tcPr>
            <w:tcW w:w="42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92.1</w:t>
            </w:r>
          </w:p>
        </w:tc>
        <w:tc>
          <w:tcPr>
            <w:tcW w:w="158"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(127.0</w:t>
            </w:r>
          </w:p>
        </w:tc>
        <w:tc>
          <w:tcPr>
            <w:tcW w:w="158" w:type="dxa"/>
            <w:tcBorders/>
            <w:vAlign w:val="bottom"/>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459"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19.3</w:t>
            </w:r>
          </w:p>
        </w:tc>
        <w:tc>
          <w:tcPr>
            <w:tcW w:w="15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(5.3</w:t>
            </w:r>
          </w:p>
        </w:tc>
        <w:tc>
          <w:tcPr>
            <w:tcW w:w="158" w:type="dxa"/>
            <w:tcBorders/>
            <w:shd w:fill="CCEEFF" w:val="clear"/>
            <w:vAlign w:val="bottom"/>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1.1</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(0.2</w:t>
            </w:r>
          </w:p>
        </w:tc>
        <w:tc>
          <w:tcPr>
            <w:tcW w:w="158"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Decrease in cash</w:t>
            </w:r>
          </w:p>
        </w:tc>
        <w:tc>
          <w:tcPr>
            <w:tcW w:w="459"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b/>
              </w:rPr>
            </w:pPr>
            <w:r>
              <w:rPr>
                <w:b/>
              </w:rPr>
              <w:t>C$</w:t>
            </w:r>
          </w:p>
        </w:tc>
        <w:tc>
          <w:tcPr>
            <w:tcW w:w="907" w:type="dxa"/>
            <w:tcBorders/>
            <w:shd w:fill="CCEEFF" w:val="clear"/>
            <w:vAlign w:val="bottom"/>
          </w:tcPr>
          <w:p>
            <w:pPr>
              <w:pStyle w:val="TableContents"/>
              <w:bidi w:val="0"/>
              <w:spacing w:before="0" w:after="283"/>
              <w:jc w:val="right"/>
              <w:rPr>
                <w:b/>
              </w:rPr>
            </w:pPr>
            <w:r>
              <w:rPr>
                <w:b/>
              </w:rPr>
              <w:t>(12.2</w:t>
            </w:r>
          </w:p>
        </w:tc>
        <w:tc>
          <w:tcPr>
            <w:tcW w:w="155" w:type="dxa"/>
            <w:tcBorders/>
            <w:shd w:fill="CCEEFF" w:val="clear"/>
            <w:vAlign w:val="bottom"/>
          </w:tcPr>
          <w:p>
            <w:pPr>
              <w:pStyle w:val="TableContents"/>
              <w:bidi w:val="0"/>
              <w:spacing w:before="0" w:after="283"/>
              <w:jc w:val="left"/>
              <w:rPr>
                <w:b/>
              </w:rPr>
            </w:pPr>
            <w:r>
              <w:rPr>
                <w:b/>
              </w:rPr>
              <w:t>) </w:t>
            </w:r>
          </w:p>
        </w:tc>
        <w:tc>
          <w:tcPr>
            <w:tcW w:w="425"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C$</w:t>
            </w:r>
          </w:p>
        </w:tc>
        <w:tc>
          <w:tcPr>
            <w:tcW w:w="911" w:type="dxa"/>
            <w:tcBorders/>
            <w:shd w:fill="CCEEFF" w:val="clear"/>
            <w:vAlign w:val="bottom"/>
          </w:tcPr>
          <w:p>
            <w:pPr>
              <w:pStyle w:val="TableContents"/>
              <w:bidi w:val="0"/>
              <w:spacing w:before="0" w:after="283"/>
              <w:jc w:val="right"/>
              <w:rPr/>
            </w:pPr>
            <w:r>
              <w:rPr/>
              <w:t>(40.4</w:t>
            </w:r>
          </w:p>
        </w:tc>
        <w:tc>
          <w:tcPr>
            <w:tcW w:w="158" w:type="dxa"/>
            <w:tcBorders/>
            <w:shd w:fill="CCEEFF" w:val="clear"/>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757" w:type="dxa"/>
            <w:tcBorders/>
          </w:tcPr>
          <w:p>
            <w:pPr>
              <w:pStyle w:val="TableContents"/>
              <w:bidi w:val="0"/>
              <w:spacing w:before="0" w:after="0"/>
              <w:jc w:val="left"/>
              <w:rPr>
                <w:rFonts w:ascii="Times New Roman" w:hAnsi="Times New Roman"/>
                <w:b/>
                <w:sz w:val="20"/>
              </w:rPr>
            </w:pPr>
            <w:r>
              <w:rPr>
                <w:rFonts w:ascii="Times New Roman" w:hAnsi="Times New Roman"/>
                <w:b/>
                <w:sz w:val="20"/>
              </w:rPr>
              <w:t>Cash, end of period</w:t>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b/>
              </w:rPr>
            </w:pPr>
            <w:r>
              <w:rPr>
                <w:b/>
              </w:rPr>
              <w:t>C$</w:t>
            </w:r>
          </w:p>
        </w:tc>
        <w:tc>
          <w:tcPr>
            <w:tcW w:w="907" w:type="dxa"/>
            <w:tcBorders/>
            <w:vAlign w:val="bottom"/>
          </w:tcPr>
          <w:p>
            <w:pPr>
              <w:pStyle w:val="TableContents"/>
              <w:bidi w:val="0"/>
              <w:spacing w:before="0" w:after="283"/>
              <w:jc w:val="right"/>
              <w:rPr>
                <w:b/>
              </w:rPr>
            </w:pPr>
            <w:r>
              <w:rPr>
                <w:b/>
              </w:rPr>
              <w:t>65.3</w:t>
            </w:r>
          </w:p>
        </w:tc>
        <w:tc>
          <w:tcPr>
            <w:tcW w:w="15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C$</w:t>
            </w:r>
          </w:p>
        </w:tc>
        <w:tc>
          <w:tcPr>
            <w:tcW w:w="911" w:type="dxa"/>
            <w:tcBorders/>
            <w:vAlign w:val="bottom"/>
          </w:tcPr>
          <w:p>
            <w:pPr>
              <w:pStyle w:val="TableContents"/>
              <w:bidi w:val="0"/>
              <w:spacing w:before="0" w:after="283"/>
              <w:jc w:val="right"/>
              <w:rPr/>
            </w:pPr>
            <w:r>
              <w:rPr/>
              <w:t>226.5</w:t>
            </w:r>
          </w:p>
        </w:tc>
        <w:tc>
          <w:tcPr>
            <w:tcW w:w="158" w:type="dxa"/>
            <w:tcBorders/>
            <w:vAlign w:val="bottom"/>
          </w:tcPr>
          <w:p>
            <w:pPr>
              <w:pStyle w:val="TableContents"/>
              <w:bidi w:val="0"/>
              <w:spacing w:before="0" w:after="283"/>
              <w:jc w:val="left"/>
              <w:rPr/>
            </w:pPr>
            <w:r>
              <w:rPr/>
              <w:t> </w:t>
            </w:r>
          </w:p>
        </w:tc>
      </w:tr>
      <w:tr>
        <w:trPr/>
        <w:tc>
          <w:tcPr>
            <w:tcW w:w="375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 Generated by 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cash used in operating activities was C$12.2 million (March 31, 2025 – generation of C$92.1 million). The increase in cash used in operating activities for the three month period ended March 31, 2026 was due primarily to the net effect from changes in non-cash working capital and for the same reasons mentioned above in Loss from Operations. </w:t>
      </w:r>
    </w:p>
    <w:p>
      <w:pPr>
        <w:pStyle w:val="TextBody"/>
        <w:bidi w:val="0"/>
        <w:spacing w:before="240" w:after="0"/>
        <w:jc w:val="both"/>
        <w:rPr>
          <w:rFonts w:ascii="Times New Roman" w:hAnsi="Times New Roman"/>
          <w:sz w:val="20"/>
        </w:rPr>
      </w:pPr>
      <w:r>
        <w:rPr>
          <w:rFonts w:ascii="Times New Roman" w:hAnsi="Times New Roman"/>
          <w:sz w:val="20"/>
        </w:rPr>
        <w:t xml:space="preserve">Further impacting cash generated by operating activities is the net effect from changes in non-cash working capital as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2"/>
        <w:gridCol w:w="462"/>
        <w:gridCol w:w="527"/>
        <w:gridCol w:w="933"/>
        <w:gridCol w:w="155"/>
        <w:gridCol w:w="427"/>
        <w:gridCol w:w="473"/>
        <w:gridCol w:w="875"/>
        <w:gridCol w:w="161"/>
      </w:tblGrid>
      <w:tr>
        <w:trPr/>
        <w:tc>
          <w:tcPr>
            <w:tcW w:w="3742"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millions of dollars</w:t>
            </w:r>
          </w:p>
        </w:tc>
        <w:tc>
          <w:tcPr>
            <w:tcW w:w="46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pPr>
            <w:r>
              <w:rPr/>
              <w:t>Three months</w:t>
              <w:br/>
              <w:t>ended</w:t>
              <w:br/>
              <w:t>March 31,</w:t>
              <w:br/>
              <w:t>2025</w:t>
            </w:r>
          </w:p>
        </w:tc>
        <w:tc>
          <w:tcPr>
            <w:tcW w:w="161"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6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b/>
              </w:rPr>
            </w:pPr>
            <w:r>
              <w:rPr>
                <w:b/>
              </w:rPr>
              <w:t>C$</w:t>
            </w:r>
          </w:p>
        </w:tc>
        <w:tc>
          <w:tcPr>
            <w:tcW w:w="933" w:type="dxa"/>
            <w:tcBorders/>
            <w:shd w:fill="CCEEFF" w:val="clear"/>
            <w:vAlign w:val="bottom"/>
          </w:tcPr>
          <w:p>
            <w:pPr>
              <w:pStyle w:val="TableContents"/>
              <w:bidi w:val="0"/>
              <w:spacing w:before="0" w:after="283"/>
              <w:jc w:val="right"/>
              <w:rPr>
                <w:b/>
              </w:rPr>
            </w:pPr>
            <w:r>
              <w:rPr>
                <w:b/>
              </w:rPr>
              <w:t>30.7</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C$</w:t>
            </w:r>
          </w:p>
        </w:tc>
        <w:tc>
          <w:tcPr>
            <w:tcW w:w="875" w:type="dxa"/>
            <w:tcBorders/>
            <w:shd w:fill="CCEEFF" w:val="clear"/>
            <w:vAlign w:val="bottom"/>
          </w:tcPr>
          <w:p>
            <w:pPr>
              <w:pStyle w:val="TableContents"/>
              <w:bidi w:val="0"/>
              <w:spacing w:before="0" w:after="283"/>
              <w:jc w:val="right"/>
              <w:rPr/>
            </w:pPr>
            <w:r>
              <w:rPr/>
              <w:t>11.2</w:t>
            </w:r>
          </w:p>
        </w:tc>
        <w:tc>
          <w:tcPr>
            <w:tcW w:w="161" w:type="dxa"/>
            <w:tcBorders/>
            <w:shd w:fill="CCEEFF" w:val="clear"/>
            <w:vAlign w:val="bottom"/>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b/>
              </w:rPr>
            </w:pPr>
            <w:r>
              <w:rPr>
                <w:b/>
              </w:rPr>
              <w:t>85.6</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185.1</w:t>
            </w:r>
          </w:p>
        </w:tc>
        <w:tc>
          <w:tcPr>
            <w:tcW w:w="161"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deposits and other assets</w:t>
            </w:r>
          </w:p>
        </w:tc>
        <w:tc>
          <w:tcPr>
            <w:tcW w:w="46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b/>
              </w:rPr>
            </w:pPr>
            <w:r>
              <w:rPr>
                <w:b/>
              </w:rPr>
              <w:t>0.2</w:t>
            </w:r>
          </w:p>
        </w:tc>
        <w:tc>
          <w:tcPr>
            <w:tcW w:w="15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13.0</w:t>
            </w:r>
          </w:p>
        </w:tc>
        <w:tc>
          <w:tcPr>
            <w:tcW w:w="161" w:type="dxa"/>
            <w:tcBorders/>
            <w:shd w:fill="CCEEFF" w:val="clear"/>
            <w:vAlign w:val="bottom"/>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b/>
              </w:rPr>
            </w:pPr>
            <w:r>
              <w:rPr>
                <w:b/>
              </w:rPr>
              <w:t>(10.0</w:t>
            </w:r>
          </w:p>
        </w:tc>
        <w:tc>
          <w:tcPr>
            <w:tcW w:w="155" w:type="dxa"/>
            <w:tcBorders/>
            <w:vAlign w:val="bottom"/>
          </w:tcPr>
          <w:p>
            <w:pPr>
              <w:pStyle w:val="TableContents"/>
              <w:bidi w:val="0"/>
              <w:spacing w:before="0" w:after="283"/>
              <w:jc w:val="left"/>
              <w:rPr>
                <w:b/>
              </w:rPr>
            </w:pPr>
            <w:r>
              <w:rPr>
                <w:b/>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(30.0</w:t>
            </w:r>
          </w:p>
        </w:tc>
        <w:tc>
          <w:tcPr>
            <w:tcW w:w="161"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46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b/>
              </w:rPr>
            </w:pPr>
            <w:r>
              <w:rPr>
                <w:b/>
              </w:rPr>
              <w:t>(2.5</w:t>
            </w:r>
          </w:p>
        </w:tc>
        <w:tc>
          <w:tcPr>
            <w:tcW w:w="155" w:type="dxa"/>
            <w:tcBorders/>
            <w:shd w:fill="CCEEFF" w:val="clear"/>
            <w:vAlign w:val="bottom"/>
          </w:tcPr>
          <w:p>
            <w:pPr>
              <w:pStyle w:val="TableContents"/>
              <w:bidi w:val="0"/>
              <w:spacing w:before="0" w:after="283"/>
              <w:jc w:val="left"/>
              <w:rPr>
                <w:b/>
              </w:rPr>
            </w:pPr>
            <w:r>
              <w:rPr>
                <w:b/>
              </w:rPr>
              <w:t>) </w:t>
            </w:r>
          </w:p>
        </w:tc>
        <w:tc>
          <w:tcPr>
            <w:tcW w:w="427"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(15.1</w:t>
            </w:r>
          </w:p>
        </w:tc>
        <w:tc>
          <w:tcPr>
            <w:tcW w:w="161" w:type="dxa"/>
            <w:tcBorders/>
            <w:shd w:fill="CCEEFF" w:val="clear"/>
            <w:vAlign w:val="bottom"/>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b/>
              </w:rPr>
            </w:pPr>
            <w:r>
              <w:rPr>
                <w:b/>
              </w:rPr>
              <w:t>5.8</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w:t>
            </w:r>
          </w:p>
        </w:tc>
        <w:tc>
          <w:tcPr>
            <w:tcW w:w="161"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462"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b/>
              </w:rPr>
            </w:pPr>
            <w:r>
              <w:rPr>
                <w:b/>
              </w:rPr>
              <w:t>) </w:t>
            </w:r>
          </w:p>
        </w:tc>
        <w:tc>
          <w:tcPr>
            <w:tcW w:w="427"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b/>
              </w:rPr>
            </w:pPr>
            <w:r>
              <w:rPr>
                <w:b/>
              </w:rPr>
              <w:t>C$</w:t>
            </w:r>
          </w:p>
        </w:tc>
        <w:tc>
          <w:tcPr>
            <w:tcW w:w="933" w:type="dxa"/>
            <w:tcBorders/>
            <w:vAlign w:val="bottom"/>
          </w:tcPr>
          <w:p>
            <w:pPr>
              <w:pStyle w:val="TableContents"/>
              <w:bidi w:val="0"/>
              <w:spacing w:before="0" w:after="283"/>
              <w:jc w:val="right"/>
              <w:rPr>
                <w:b/>
              </w:rPr>
            </w:pPr>
            <w:r>
              <w:rPr>
                <w:b/>
              </w:rPr>
              <w:t>107.0</w:t>
            </w:r>
          </w:p>
        </w:tc>
        <w:tc>
          <w:tcPr>
            <w:tcW w:w="15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C$</w:t>
            </w:r>
          </w:p>
        </w:tc>
        <w:tc>
          <w:tcPr>
            <w:tcW w:w="875" w:type="dxa"/>
            <w:tcBorders/>
            <w:vAlign w:val="bottom"/>
          </w:tcPr>
          <w:p>
            <w:pPr>
              <w:pStyle w:val="TableContents"/>
              <w:bidi w:val="0"/>
              <w:spacing w:before="0" w:after="283"/>
              <w:jc w:val="right"/>
              <w:rPr/>
            </w:pPr>
            <w:r>
              <w:rPr/>
              <w:t>165.4</w:t>
            </w:r>
          </w:p>
        </w:tc>
        <w:tc>
          <w:tcPr>
            <w:tcW w:w="161" w:type="dxa"/>
            <w:tcBorders/>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 Used In 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cash used in investing activities was C$20.4 million (March 31, 2025 - C$127.0 million), due to acquiring property, plant and equipment for C$20.4 million (March 31, 2025 - C$127.0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 Used In 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generation of cash in financing activities was C$19.3 million (March 31, 2025 – cash used C$5.3 million). The increase in generation of cash in financing activities of C$24.6 million is primarily due to a receipt of government loans (C$127.5 million), and a decrease of repayment of government loans (C$6.2 million). This was offset, in part, by a net bank indebtedness repaid (C$103.7 million) and an increase in interest paid (C$2.6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Capital Resources - Financial Position and Liquidity </w:t>
      </w:r>
    </w:p>
    <w:p>
      <w:pPr>
        <w:pStyle w:val="TextBody"/>
        <w:bidi w:val="0"/>
        <w:spacing w:before="120" w:after="0"/>
        <w:jc w:val="both"/>
        <w:rPr>
          <w:rFonts w:ascii="Times New Roman" w:hAnsi="Times New Roman"/>
          <w:sz w:val="20"/>
        </w:rPr>
      </w:pPr>
      <w:r>
        <w:rPr>
          <w:rFonts w:ascii="Times New Roman" w:hAnsi="Times New Roman"/>
          <w:sz w:val="20"/>
        </w:rPr>
        <w:t xml:space="preserve">The Company historically has made approximately C$120 million of capital expenditures annually in order to sustain existing production facilities which is anticipated to decrease as the Company fully transitions to EAF steel making. Furthermore, the Company has made significant capital investment relating to its modernization and expansion program including substantial investment in EAF steelmaking.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As at March 31, 2026, the Company had cash of C$65.3 million (December 31, 2025 - C$77.5 million), had unused availability under its Revolving Credit Facility of C$195.1 million ($139.9 million) after taking into account C$73.3 million ($52.6 million) of outstanding letters of credit, and had unused availability under the Facilities of C$292.5 million (December 31, 2025 - C$417.0 million). At December 31, 2025, the Company had drawn C$170.2 million ($124.2 million) under its Revolving Credit Facility, and there was C$194.5 million ($141.9 million) of unused availability after taking into account C$66.1 million ($48.2 million) of outstanding letters of credit. </w:t>
      </w:r>
    </w:p>
    <w:p>
      <w:pPr>
        <w:pStyle w:val="TextBody"/>
        <w:bidi w:val="0"/>
        <w:spacing w:before="240" w:after="0"/>
        <w:jc w:val="both"/>
        <w:rPr>
          <w:rFonts w:ascii="Times New Roman" w:hAnsi="Times New Roman"/>
          <w:sz w:val="20"/>
        </w:rPr>
      </w:pPr>
      <w:r>
        <w:rPr>
          <w:rFonts w:ascii="Times New Roman" w:hAnsi="Times New Roman"/>
          <w:sz w:val="20"/>
        </w:rPr>
        <w:t xml:space="preserve">The Revolving Credit Facility is governed by a conventional borrowing base calculation comprised of eligible accounts receivable plus eligible inventory plus cash. At March 31, 2026, there was C$67.6 million ($48.5 million) drawn on this facility. The Company is required to maintain a calculated borrowing base. Any shortfall in the borrowing base will trigger a mandatory loan repayment in the amount of the shortfall, subject to certain cure rights including the deposit of cash into an account controlled by the agent. As at March 31, 2026 and March 31, 2025, the Company has complied with these requirements. </w:t>
      </w:r>
    </w:p>
    <w:p>
      <w:pPr>
        <w:pStyle w:val="TextBody"/>
        <w:bidi w:val="0"/>
        <w:spacing w:before="240" w:after="0"/>
        <w:jc w:val="both"/>
        <w:rPr>
          <w:rFonts w:ascii="Times New Roman" w:hAnsi="Times New Roman"/>
          <w:sz w:val="20"/>
        </w:rPr>
      </w:pPr>
      <w:r>
        <w:rPr>
          <w:rFonts w:ascii="Times New Roman" w:hAnsi="Times New Roman"/>
          <w:sz w:val="20"/>
        </w:rPr>
        <w:t xml:space="preserve">On November 30, 2018, the Company secured the following debt financing: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$250.0 million in the form of a traditional asset-based revolving credit facility, with a maturity date of November 30, 2023 subsequently increased to $300.0 million in May 2023 and to $375.0 million in September 2025, with maturity date of May 2028 (the “Revolving Credit Facility”). The interest rate is based on Secured Overnight Financing Rate (“SOFR”) plus a credit spread adjustment of 10 basis points plus an applicable margin, which will vary depending on usage;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C$60.0 million interest free loan from the Federal Economic Development Agency of the Government of Canada, through the Advanced Manufacturing Fund (the “Federal AMF Loan”). On July 17, 2025, the Company amended the agreement and will repay the loan in monthly installments beginning on April 1, 2022 with the final installment payable on March 1, 2031;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C$60.0 million low interest loan from the Ministry of Energy, Northern Development and Mines of the Province of Ontario (the “Provincial MENDM Loan”). On August 21, 2025 and November 14, 2025, the Company amended the agreement and will repay the loan on November 14, 2032. The Company may elect to capitalize interest (PIK) up to November 14, 2027.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 March 29, 2019, the Company secured an agreement with the Minister of Industry of the Government of Canada, whereby the Company will receive C$15.0 million in the form of a grant and C$15.0 million in the form of an interest free loan through the Federal SIF. On March 25, 2024, the Company amended the agreement and will repay the interest free loan portion of this funding in equal annual payments beginning on April 30, 2027 and ending on April 30, 2034. </w:t>
      </w:r>
    </w:p>
    <w:p>
      <w:pPr>
        <w:pStyle w:val="TextBody"/>
        <w:bidi w:val="0"/>
        <w:spacing w:before="240" w:after="0"/>
        <w:jc w:val="both"/>
        <w:rPr>
          <w:rFonts w:ascii="Times New Roman" w:hAnsi="Times New Roman"/>
          <w:sz w:val="20"/>
        </w:rPr>
      </w:pPr>
      <w:r>
        <w:rPr>
          <w:rFonts w:ascii="Times New Roman" w:hAnsi="Times New Roman"/>
          <w:sz w:val="20"/>
        </w:rPr>
        <w:t xml:space="preserve">On November 26, 2021, the Company, together with the Government of Canada, entered into an agreement in the form of a loan up to C$200.0 million from the SIF. Under the terms of the Federal SIF EAF Loan, the Company will be reimbursed for certain defined capital expenditures incurred to transition from blast furnace steel production to EAF steel production between March 3, 2021 and December 31, 2025. Annual repayments of the Federal SIF EAF Loan will be scalable based on the Company’s GHG emission performance. </w:t>
      </w:r>
    </w:p>
    <w:p>
      <w:pPr>
        <w:pStyle w:val="TextBody"/>
        <w:bidi w:val="0"/>
        <w:spacing w:before="240" w:after="0"/>
        <w:jc w:val="both"/>
        <w:rPr>
          <w:rFonts w:ascii="Times New Roman" w:hAnsi="Times New Roman"/>
          <w:sz w:val="20"/>
        </w:rPr>
      </w:pPr>
      <w:r>
        <w:rPr>
          <w:rFonts w:ascii="Times New Roman" w:hAnsi="Times New Roman"/>
          <w:sz w:val="20"/>
        </w:rPr>
        <w:t xml:space="preserve">On December 7, 2023, the Company completed a financing arrangement with the Bank of Montreal for total cash consideration of C$11.7 million. The financing arrangement bears interest at 7.5% with monthly payments of C$0.1 million. During the three month period ended March 31, 2026, the Company made principal payments totalling C$0.3 million (March 31, 2025 - C$0.2 million). At March 31, 2026, current portion totalling C$1.1 million is presented in current portion of other long-term liabilities on the condensed interim consolidated statements of financial position (December 31, 2025 - C$1.0 million). </w:t>
      </w:r>
    </w:p>
    <w:p>
      <w:pPr>
        <w:pStyle w:val="TextBody"/>
        <w:bidi w:val="0"/>
        <w:spacing w:before="240" w:after="0"/>
        <w:jc w:val="both"/>
        <w:rPr>
          <w:rFonts w:ascii="Times New Roman" w:hAnsi="Times New Roman"/>
          <w:sz w:val="20"/>
        </w:rPr>
      </w:pPr>
      <w:r>
        <w:rPr>
          <w:rFonts w:ascii="Times New Roman" w:hAnsi="Times New Roman"/>
          <w:sz w:val="20"/>
        </w:rPr>
        <w:t xml:space="preserve">On July 24, 2025, the Company completed a financing arrangement with the Bank of Montreal for total cash consideration of C$10.4 million. The financing arrangement bears interest at 7.7% with monthly payments of C$0.1 million, maturing July 2030. During the three month period ended March 31, 2026, the Company made principal payments totalling C$0.3 million (March 31, 2025 - nil). At March 31, 2026, current portion totalling C$1.2 million is presented in current portion of other long-term liabilities on the condensed interim consolidated statements of financial position (December 31, 2025 - nil). </w:t>
      </w:r>
    </w:p>
    <w:p>
      <w:pPr>
        <w:pStyle w:val="TextBody"/>
        <w:bidi w:val="0"/>
        <w:spacing w:before="240" w:after="0"/>
        <w:jc w:val="both"/>
        <w:rPr>
          <w:rFonts w:ascii="Times New Roman" w:hAnsi="Times New Roman"/>
          <w:sz w:val="20"/>
        </w:rPr>
      </w:pPr>
      <w:r>
        <w:rPr>
          <w:rFonts w:ascii="Times New Roman" w:hAnsi="Times New Roman"/>
          <w:sz w:val="20"/>
        </w:rPr>
        <w:t xml:space="preserve">On August 8, 2024, the Company entered into an Installment Payment Contract (the “IPC”) with the Bank of Montreal to provide financing to purchase equipment. On September 3, 2025, the Company finalized its IPC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with the Bank of Montreal as all financing was provided to purchase the equipment. The total amount financed was C$5.1 million at 7.4% interest with monthly payments of C$0.1 million, maturing September 2030. During the three month period ended March 31, 2026, the Company made principal payments totalling C$0.2 million (March 31, 2025 - nil). </w:t>
      </w:r>
    </w:p>
    <w:p>
      <w:pPr>
        <w:pStyle w:val="TextBody"/>
        <w:bidi w:val="0"/>
        <w:spacing w:before="240" w:after="0"/>
        <w:jc w:val="both"/>
        <w:rPr>
          <w:rFonts w:ascii="Times New Roman" w:hAnsi="Times New Roman"/>
          <w:sz w:val="20"/>
        </w:rPr>
      </w:pPr>
      <w:r>
        <w:rPr>
          <w:rFonts w:ascii="Times New Roman" w:hAnsi="Times New Roman"/>
          <w:sz w:val="20"/>
        </w:rPr>
        <w:t xml:space="preserve">On April 5, 2024, the Company’s indirect wholly-owned subsidiary, ASI, issued an aggregate of $350.0 million of 9.125% 2029 Notes due April 15, 2029. The 2029 Notes are guaranteed on a senior secured basis by ASI’s immediate parent company and all of ASI’s subsidiaries. Interest payments are due April 15 and October 15, having commenced on October 15, 2024. The principal balance of the 2029 Notes is due for repayment on April 15, 2029. Prior to the maturity date, the Company can exercise various rights to redeem the 2029 Notes in whole or in part at a specific redemption price. In some cases, the redemption of the 2029 Notes is only permitted upon the occurrence of a specific event. The intended use of net proceeds from the offering of the 2029 Notes is general corporate purposes, adding strength and flexibility to ASI’s balance sheet. </w:t>
      </w:r>
    </w:p>
    <w:p>
      <w:pPr>
        <w:pStyle w:val="TextBody"/>
        <w:bidi w:val="0"/>
        <w:spacing w:before="240" w:after="0"/>
        <w:jc w:val="both"/>
        <w:rPr>
          <w:rFonts w:ascii="Times New Roman" w:hAnsi="Times New Roman"/>
          <w:sz w:val="20"/>
        </w:rPr>
      </w:pPr>
      <w:r>
        <w:rPr>
          <w:rFonts w:ascii="Times New Roman" w:hAnsi="Times New Roman"/>
          <w:sz w:val="20"/>
        </w:rPr>
        <w:t xml:space="preserve">As discussed above in LETL Facilities, on November 14, 2025, the Company entered into agreements with CEEFC under Federal LETL program and the Ministry of Northern Economic Development and Growth, the Provincial LETL, to secure a C$500 million governmental loan comprised of a C$400 million loan facility from the Government of Canada and a C$100 million loan facility from the Province of Ontario. The LETL Facilities will be provided proportionately for which 20% shall be secured, ranking junior to the Company’s existing first lien Revolving Credit Facility and the Notes, with the remaining 80% of the Facilities being unsecured. For the three month period ended March 31, 2026, the Company received C$100.8 million and C$25.2 million gross loan proceeds, net of interest paid in kind of C$1.2 million and C$0.3 million, for the Federal LETL and Provincial LETL,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Revolving Credit Facility, the Federal AMF Loan, the Provincial MENDM Loan, the Federal SIF EAF Loan and the Facilities are expected to service the Company’s principal liquidity needs (to finance working capital, fund capital expenditures and for other general corporate purposes) until the maturity of these facilities. </w:t>
      </w:r>
    </w:p>
    <w:p>
      <w:pPr>
        <w:pStyle w:val="TextBody"/>
        <w:bidi w:val="0"/>
        <w:spacing w:before="240" w:after="0"/>
        <w:jc w:val="both"/>
        <w:rPr>
          <w:rFonts w:ascii="Times New Roman" w:hAnsi="Times New Roman"/>
          <w:sz w:val="20"/>
        </w:rPr>
      </w:pPr>
      <w:r>
        <w:rPr>
          <w:rFonts w:ascii="Times New Roman" w:hAnsi="Times New Roman"/>
          <w:sz w:val="20"/>
        </w:rPr>
        <w:t xml:space="preserve">During the three month period ended March 31, 2026, the Company did not declare ordinary dividends to shareholders (March 31, 2025 - C$7.5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Off Balance Sheet Arrangements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at March 31, 2026, the Company’s undiscounted obligations and commitments to make future payments under contracts and contingent commitments. The following figures assume that the March 31, 2026, Canadian/U.S. dollar exchange rate of $1.00 = C$0.7174 remains constant throughout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5"/>
        <w:gridCol w:w="250"/>
        <w:gridCol w:w="305"/>
        <w:gridCol w:w="766"/>
        <w:gridCol w:w="60"/>
        <w:gridCol w:w="250"/>
        <w:gridCol w:w="424"/>
        <w:gridCol w:w="786"/>
        <w:gridCol w:w="60"/>
        <w:gridCol w:w="250"/>
        <w:gridCol w:w="305"/>
        <w:gridCol w:w="449"/>
        <w:gridCol w:w="60"/>
        <w:gridCol w:w="250"/>
        <w:gridCol w:w="307"/>
        <w:gridCol w:w="569"/>
        <w:gridCol w:w="60"/>
        <w:gridCol w:w="250"/>
        <w:gridCol w:w="459"/>
        <w:gridCol w:w="850"/>
        <w:gridCol w:w="70"/>
      </w:tblGrid>
      <w:tr>
        <w:trPr/>
        <w:tc>
          <w:tcPr>
            <w:tcW w:w="342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bottom"/>
          </w:tcPr>
          <w:p>
            <w:pPr>
              <w:pStyle w:val="TableContents"/>
              <w:pBdr>
                <w:bottom w:val="single" w:sz="8" w:space="1" w:color="000000"/>
              </w:pBdr>
              <w:bidi w:val="0"/>
              <w:spacing w:before="0" w:after="0"/>
              <w:jc w:val="center"/>
              <w:rPr>
                <w:rFonts w:ascii="Times New Roman" w:hAnsi="Times New Roman"/>
                <w:i/>
                <w:sz w:val="16"/>
              </w:rPr>
            </w:pPr>
            <w:r>
              <w:rPr>
                <w:rFonts w:ascii="Times New Roman" w:hAnsi="Times New Roman"/>
                <w:i/>
                <w:sz w:val="16"/>
              </w:rPr>
              <w:t>millions of dollars</w:t>
            </w:r>
          </w:p>
        </w:tc>
        <w:tc>
          <w:tcPr>
            <w:tcW w:w="250"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b/>
              </w:rPr>
              <w:t>Less than 1</w:t>
            </w:r>
            <w:r>
              <w:rPr/>
              <w:br/>
            </w:r>
            <w:r>
              <w:rPr>
                <w:b/>
              </w:rPr>
              <w:t>year</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Years 3-5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b/>
              </w:rPr>
              <w:t>More than 5</w:t>
            </w:r>
            <w:r>
              <w:rPr/>
              <w:br/>
            </w:r>
            <w:r>
              <w:rPr>
                <w:b/>
              </w:rPr>
              <w:t>years</w:t>
            </w:r>
          </w:p>
        </w:tc>
        <w:tc>
          <w:tcPr>
            <w:tcW w:w="70" w:type="dxa"/>
            <w:tcBorders/>
            <w:vAlign w:val="bottom"/>
          </w:tcPr>
          <w:p>
            <w:pPr>
              <w:pStyle w:val="TableContents"/>
              <w:bidi w:val="0"/>
              <w:spacing w:before="0" w:after="283"/>
              <w:jc w:val="left"/>
              <w:rPr/>
            </w:pPr>
            <w:r>
              <w:rPr/>
              <w:t> </w:t>
            </w:r>
          </w:p>
        </w:tc>
      </w:tr>
      <w:tr>
        <w:trPr/>
        <w:tc>
          <w:tcPr>
            <w:tcW w:w="3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indebtedness</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66" w:type="dxa"/>
            <w:tcBorders/>
            <w:shd w:fill="CCEEFF" w:val="clear"/>
            <w:vAlign w:val="bottom"/>
          </w:tcPr>
          <w:p>
            <w:pPr>
              <w:pStyle w:val="TableContents"/>
              <w:bidi w:val="0"/>
              <w:spacing w:before="0" w:after="283"/>
              <w:jc w:val="right"/>
              <w:rPr/>
            </w:pPr>
            <w:r>
              <w:rPr/>
              <w:t>67.6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C$</w:t>
            </w:r>
          </w:p>
        </w:tc>
        <w:tc>
          <w:tcPr>
            <w:tcW w:w="786" w:type="dxa"/>
            <w:tcBorders/>
            <w:shd w:fill="CCEEFF" w:val="clear"/>
            <w:vAlign w:val="bottom"/>
          </w:tcPr>
          <w:p>
            <w:pPr>
              <w:pStyle w:val="TableContents"/>
              <w:bidi w:val="0"/>
              <w:spacing w:before="0" w:after="283"/>
              <w:jc w:val="right"/>
              <w:rPr/>
            </w:pPr>
            <w:r>
              <w:rPr/>
              <w:t>67.6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4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C$</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C$</w:t>
            </w:r>
          </w:p>
        </w:tc>
        <w:tc>
          <w:tcPr>
            <w:tcW w:w="85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2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loans</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501.4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29.5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467.5</w:t>
            </w:r>
          </w:p>
        </w:tc>
        <w:tc>
          <w:tcPr>
            <w:tcW w:w="70" w:type="dxa"/>
            <w:tcBorders/>
            <w:vAlign w:val="bottom"/>
          </w:tcPr>
          <w:p>
            <w:pPr>
              <w:pStyle w:val="TableContents"/>
              <w:bidi w:val="0"/>
              <w:spacing w:before="0" w:after="283"/>
              <w:jc w:val="left"/>
              <w:rPr/>
            </w:pPr>
            <w:r>
              <w:rPr/>
              <w:t> </w:t>
            </w:r>
          </w:p>
        </w:tc>
      </w:tr>
      <w:tr>
        <w:trPr/>
        <w:tc>
          <w:tcPr>
            <w:tcW w:w="3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governmental loans</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13.7</w:t>
            </w:r>
          </w:p>
        </w:tc>
        <w:tc>
          <w:tcPr>
            <w:tcW w:w="70" w:type="dxa"/>
            <w:tcBorders/>
            <w:shd w:fill="CCEEFF" w:val="clear"/>
            <w:vAlign w:val="bottom"/>
          </w:tcPr>
          <w:p>
            <w:pPr>
              <w:pStyle w:val="TableContents"/>
              <w:bidi w:val="0"/>
              <w:spacing w:before="0" w:after="283"/>
              <w:jc w:val="left"/>
              <w:rPr/>
            </w:pPr>
            <w:r>
              <w:rPr/>
              <w:t> </w:t>
            </w:r>
          </w:p>
        </w:tc>
      </w:tr>
      <w:tr>
        <w:trPr/>
        <w:tc>
          <w:tcPr>
            <w:tcW w:w="342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arrangement</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23.9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Secured Lien Notes</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487.9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487.9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25"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Senior Secured Lien Notes</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153.3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65.7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obligations—capital</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35.8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35.8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liabilities</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60.9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37.7</w:t>
            </w:r>
          </w:p>
        </w:tc>
        <w:tc>
          <w:tcPr>
            <w:tcW w:w="70" w:type="dxa"/>
            <w:tcBorders/>
            <w:vAlign w:val="bottom"/>
          </w:tcPr>
          <w:p>
            <w:pPr>
              <w:pStyle w:val="TableContents"/>
              <w:bidi w:val="0"/>
              <w:spacing w:before="0" w:after="283"/>
              <w:jc w:val="left"/>
              <w:rPr/>
            </w:pPr>
            <w:r>
              <w:rPr/>
              <w:t> </w:t>
            </w:r>
          </w:p>
        </w:tc>
      </w:tr>
      <w:tr>
        <w:trPr/>
        <w:tc>
          <w:tcPr>
            <w:tcW w:w="3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obligations</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4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42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66" w:type="dxa"/>
            <w:tcBorders/>
            <w:vAlign w:val="bottom"/>
          </w:tcPr>
          <w:p>
            <w:pPr>
              <w:pStyle w:val="TableContents"/>
              <w:bidi w:val="0"/>
              <w:spacing w:before="0" w:after="283"/>
              <w:jc w:val="right"/>
              <w:rPr/>
            </w:pPr>
            <w:r>
              <w:rPr/>
              <w:t>1,359.3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C$</w:t>
            </w:r>
          </w:p>
        </w:tc>
        <w:tc>
          <w:tcPr>
            <w:tcW w:w="786" w:type="dxa"/>
            <w:tcBorders/>
            <w:vAlign w:val="bottom"/>
          </w:tcPr>
          <w:p>
            <w:pPr>
              <w:pStyle w:val="TableContents"/>
              <w:bidi w:val="0"/>
              <w:spacing w:before="0" w:after="283"/>
              <w:jc w:val="right"/>
              <w:rPr/>
            </w:pPr>
            <w:r>
              <w:rPr/>
              <w:t>157.4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449" w:type="dxa"/>
            <w:tcBorders/>
            <w:vAlign w:val="bottom"/>
          </w:tcPr>
          <w:p>
            <w:pPr>
              <w:pStyle w:val="TableContents"/>
              <w:bidi w:val="0"/>
              <w:spacing w:before="0" w:after="283"/>
              <w:jc w:val="right"/>
              <w:rPr/>
            </w:pPr>
            <w:r>
              <w:rPr/>
              <w:t>59.3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C$</w:t>
            </w:r>
          </w:p>
        </w:tc>
        <w:tc>
          <w:tcPr>
            <w:tcW w:w="569" w:type="dxa"/>
            <w:tcBorders/>
            <w:vAlign w:val="bottom"/>
          </w:tcPr>
          <w:p>
            <w:pPr>
              <w:pStyle w:val="TableContents"/>
              <w:bidi w:val="0"/>
              <w:spacing w:before="0" w:after="283"/>
              <w:jc w:val="right"/>
              <w:rPr/>
            </w:pPr>
            <w:r>
              <w:rPr/>
              <w:t>623.7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C$</w:t>
            </w:r>
          </w:p>
        </w:tc>
        <w:tc>
          <w:tcPr>
            <w:tcW w:w="850" w:type="dxa"/>
            <w:tcBorders/>
            <w:vAlign w:val="bottom"/>
          </w:tcPr>
          <w:p>
            <w:pPr>
              <w:pStyle w:val="TableContents"/>
              <w:bidi w:val="0"/>
              <w:spacing w:before="0" w:after="283"/>
              <w:jc w:val="right"/>
              <w:rPr/>
            </w:pPr>
            <w:r>
              <w:rPr/>
              <w:t>518.9</w:t>
            </w:r>
          </w:p>
        </w:tc>
        <w:tc>
          <w:tcPr>
            <w:tcW w:w="70"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24"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4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 September 28, 2025, in response to the projected tariff situation affecting Canadian steel exports to the United States, the Company’s Board of Directors approved an operational plan to commence the exit from blast furnace and coke oven operations and to accelerate the transition to EAF steelmaking. In connection with this plan, which was executed early 2026, the Company issued notices asserting frustration of certain supply agreements for such raw materials due to the effects of extraordinary U.S. trade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Purchase obligations - capital represent the Company’s contractual obligations across the periods indicated above for the EAF capital project. </w:t>
      </w:r>
    </w:p>
    <w:p>
      <w:pPr>
        <w:pStyle w:val="TextBody"/>
        <w:bidi w:val="0"/>
        <w:spacing w:before="240" w:after="0"/>
        <w:jc w:val="both"/>
        <w:rPr>
          <w:rFonts w:ascii="Times New Roman" w:hAnsi="Times New Roman"/>
          <w:sz w:val="20"/>
        </w:rPr>
      </w:pPr>
      <w:r>
        <w:rPr>
          <w:rFonts w:ascii="Times New Roman" w:hAnsi="Times New Roman"/>
          <w:sz w:val="20"/>
        </w:rPr>
        <w:t xml:space="preserve">Off balance sheet arrangements include letters of credit, and operating lease obligations. At March 31, 2026, the Company had C$73.3 million ($52.6 million) (December 31, 2025 - C$66.1 million; $48.2 million) of outstanding letters of credit. </w:t>
      </w:r>
    </w:p>
    <w:p>
      <w:pPr>
        <w:pStyle w:val="TextBody"/>
        <w:bidi w:val="0"/>
        <w:spacing w:before="240" w:after="0"/>
        <w:jc w:val="both"/>
        <w:rPr>
          <w:rFonts w:ascii="Times New Roman" w:hAnsi="Times New Roman"/>
          <w:sz w:val="20"/>
        </w:rPr>
      </w:pPr>
      <w:r>
        <w:rPr>
          <w:rFonts w:ascii="Times New Roman" w:hAnsi="Times New Roman"/>
          <w:sz w:val="20"/>
        </w:rPr>
        <w:t xml:space="preserve">As discussed above, the Company maintains defined benefit pension plans and other post-employment benefit plans. At March 31, 2026, the Company’s net obligation in respect of its defined benefit pension plans was C$148.1 million (December 31, 2025 - C$153.0 million) and the Company’s obligation in respect of its other post-employment benefits plans was C$190.6 million (December 31, 2025 - C$193.0 million). </w:t>
      </w:r>
    </w:p>
    <w:p>
      <w:pPr>
        <w:pStyle w:val="TextBody"/>
        <w:bidi w:val="0"/>
        <w:spacing w:before="240" w:after="0"/>
        <w:jc w:val="both"/>
        <w:rPr>
          <w:rFonts w:ascii="Times New Roman" w:hAnsi="Times New Roman"/>
          <w:sz w:val="20"/>
        </w:rPr>
      </w:pPr>
      <w:r>
        <w:rPr>
          <w:rFonts w:ascii="Times New Roman" w:hAnsi="Times New Roman"/>
          <w:sz w:val="20"/>
        </w:rPr>
        <w:t xml:space="preserve">The Company’s short-term and long-term obligations, commitments and future payments under contract are expected to be financed through cash flow from operations, funds from the Company’s Revolving Credit Facility and funds from the Facilities. Any default in the Company’s ability to meet such commitments and future payments could have a material and adverse effect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As at March 31, 2026, there were no transactions, ongoing contractual or other commitments with related parties, except for remuneration of the Company’s key management personnel.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Company’s financial assets and liabilities (financial instruments) include cash, restricted cash, accounts receivable, bank indebtedness, accounts payable and accrued liabilities, other current liabilities, severance cost liability, IPO and LETL Warrant liabilities, earnout liability, long-term governmental loans, senior secured lien note and other financing arrangements. </w:t>
      </w:r>
    </w:p>
    <w:p>
      <w:pPr>
        <w:pStyle w:val="TextBody"/>
        <w:bidi w:val="0"/>
        <w:spacing w:before="240" w:after="0"/>
        <w:jc w:val="both"/>
        <w:rPr>
          <w:rFonts w:ascii="Times New Roman" w:hAnsi="Times New Roman"/>
          <w:sz w:val="20"/>
        </w:rPr>
      </w:pPr>
      <w:r>
        <w:rPr>
          <w:rFonts w:ascii="Times New Roman" w:hAnsi="Times New Roman"/>
          <w:sz w:val="20"/>
        </w:rPr>
        <w:t xml:space="preserve">Financial assets and financial liabilities are recognized when the Company becomes a party to the contractual provisions of the financial instrument or non-financial derivative contract. Financial instruments are disclosed in Note 25 to the March 31, 2026 condensed interim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Risk Management </w:t>
      </w:r>
    </w:p>
    <w:p>
      <w:pPr>
        <w:pStyle w:val="TextBody"/>
        <w:bidi w:val="0"/>
        <w:spacing w:before="120" w:after="0"/>
        <w:jc w:val="both"/>
        <w:rPr>
          <w:rFonts w:ascii="Times New Roman" w:hAnsi="Times New Roman"/>
          <w:sz w:val="20"/>
        </w:rPr>
      </w:pPr>
      <w:r>
        <w:rPr>
          <w:rFonts w:ascii="Times New Roman" w:hAnsi="Times New Roman"/>
          <w:sz w:val="20"/>
        </w:rPr>
        <w:t xml:space="preserve">The Company’s activities expose it to a variety of financial risks including credit risk, liquidity risk, interest rate risk and market risk. The Company may use derivative financial instruments to hedge certain of these risk exposures. The use of derivatives is based on established practices and parameters, which are subject to the oversight of the Board of Directors. The Company does not utilize derivative financial instruments for trading or speculative purposes.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Credit risk </w:t>
      </w:r>
    </w:p>
    <w:p>
      <w:pPr>
        <w:pStyle w:val="TextBody"/>
        <w:bidi w:val="0"/>
        <w:spacing w:before="120" w:after="0"/>
        <w:jc w:val="both"/>
        <w:rPr>
          <w:rFonts w:ascii="Times New Roman" w:hAnsi="Times New Roman"/>
          <w:sz w:val="20"/>
        </w:rPr>
      </w:pPr>
      <w:r>
        <w:rPr>
          <w:rFonts w:ascii="Times New Roman" w:hAnsi="Times New Roman"/>
          <w:sz w:val="20"/>
        </w:rPr>
        <w:t xml:space="preserve">Credit risk is the risk of financial loss to the Company if a customer or counterparty to a financial instrument fails to meet its contractual obligations, and arises primarily from the Company’s receivables from customers. The Company has an established credit policy under which each new customer is analyzed individually for creditworthiness before the Company’s standard payment and delivery terms and conditions are offered. The Company’s review includes a review of the potential customer’s financial information, external credit ratings and bank and supplier references. Credit limits are established for each new customer and customers that fail to meet the Company’s credit requirements may transact with the Company only on a prepayment basis. </w:t>
      </w:r>
    </w:p>
    <w:p>
      <w:pPr>
        <w:pStyle w:val="TextBody"/>
        <w:bidi w:val="0"/>
        <w:spacing w:before="240" w:after="0"/>
        <w:jc w:val="both"/>
        <w:rPr>
          <w:rFonts w:ascii="Times New Roman" w:hAnsi="Times New Roman"/>
          <w:sz w:val="20"/>
        </w:rPr>
      </w:pPr>
      <w:r>
        <w:rPr>
          <w:rFonts w:ascii="Times New Roman" w:hAnsi="Times New Roman"/>
          <w:sz w:val="20"/>
        </w:rPr>
        <w:t xml:space="preserve">The maximum credit exposure at March 31, 2026 is the carrying amount of accounts receivable of C$158.4 million (December 31, 2025 - C$192.7 million). At March 31, 2026, there was one customer account greater than 10% of the carrying amount of accounts receivable. At December 31, 2025, there was one customer account greater than 10% of the carrying amount of accounts receivable. As at March 31, 2026, C$9.5 million, or 6.0% (December 31, 2025 - C$9.3 million, or 5.4%), of accounts receivable were more than 90 days 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Company establishes an allowance for doubtful accounts that represents its estimate of losses in respect of accounts receivable. The main components of this allowance are a specific provision that relates to individual exposures and a provision for expected losses that have been incurred but not yet identified. The allowance for doubtful accounts at March 31, 2026 was C$8.2 million (December 31, 2025 - C$9.0 million), as disclosed in Note 9 to the March 31, 2026 condensed interim consolidated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be exposed to certain losses in the event of non-performance by counterparties to derivative financial instruments such as commodity price contracts and foreign exchange contracts. The Company mitigates this risk by entering into transactions with highly rated major financial institutions.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Liquidity risk </w:t>
      </w:r>
    </w:p>
    <w:p>
      <w:pPr>
        <w:pStyle w:val="TextBody"/>
        <w:bidi w:val="0"/>
        <w:spacing w:before="120" w:after="0"/>
        <w:jc w:val="both"/>
        <w:rPr>
          <w:rFonts w:ascii="Times New Roman" w:hAnsi="Times New Roman"/>
          <w:sz w:val="20"/>
        </w:rPr>
      </w:pPr>
      <w:r>
        <w:rPr>
          <w:rFonts w:ascii="Times New Roman" w:hAnsi="Times New Roman"/>
          <w:sz w:val="20"/>
        </w:rPr>
        <w:t xml:space="preserve">Liquidity risk is the risk that the Company will not be able to meet its financial obligations as they come due. The Company manages liquidity risk by maintaining borrowing capacity under its Revolving Credit Facility and governmental loans. The Company continuously monitors and reviews actual and forecasted cash flows to ensure adequate liquidity and anticipate liquidity requirements. The Company’s objectives and processes for capital management, including the management of long-term debt, are described in Note 6 to the December 31, 2025 consolidated financial statements.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Market risk </w:t>
      </w:r>
    </w:p>
    <w:p>
      <w:pPr>
        <w:pStyle w:val="TextBody"/>
        <w:bidi w:val="0"/>
        <w:spacing w:before="120" w:after="0"/>
        <w:jc w:val="both"/>
        <w:rPr>
          <w:rFonts w:ascii="Times New Roman" w:hAnsi="Times New Roman"/>
          <w:sz w:val="20"/>
        </w:rPr>
      </w:pPr>
      <w:r>
        <w:rPr>
          <w:rFonts w:ascii="Times New Roman" w:hAnsi="Times New Roman"/>
          <w:sz w:val="20"/>
        </w:rPr>
        <w:t xml:space="preserve">Market risk is the risk that changes in market prices, such as foreign exchange rates, interest rates and commodity prices, will affect the Company’s income or the value of its holdings of financial instruments. The objective of market risk management is to manage and control market risk exposures within acceptable parameters, while optimizing the return on risk. During the three month periods ended March 31, 2026 and March 31, 2025, the Company was not a party to agreements to hedge the commodity price risk associated with the revenue on the sale of steel. When the Company is party to hedging agreements, these activities are carried out under the oversight of the Company’s Board of Directors.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Currency risk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exposed to currency risk on purchases, labour costs and pension and other post retirement employment benefits liabilities that are denominated in Canadian dollars. The prices for steel products sold in Canada are derived mainly from price levels in the U.S. market in U.S. dollars converted into Canadian dollars at the prevailing exchange rates. As a result, a stronger U.S. dollar relative to the Canadian dollar increases the Company’s Canadian dollar selling prices for sales within Canada.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Interest rate risk is the risk that the value of the Company’s assets and liabilities will be affected by a change in interest rates. The Company’s interest rate risk mainly arises from the interest rate impact on its banking facilities and debt. The Company may manage interest rate risk through the periodic use of interest rate swaps. </w:t>
      </w:r>
    </w:p>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periods ended March 31, 2026 and March 31, 2025, a one percent increase (or decrease) in interest rates would have decreased (or increased) net income (loss) by C$0.4 million and nil, respectively.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Commodity price risk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subject to price risk from fluctuations in the market prices of commodities, including scrap, electricity, and natural gas. The Company enters into supply agreements for certain of these commodities as disclosed in Note 21 to the March 31, 2026 condensed interim consolidated financial statements. To manage risks associated with future variability in cash flows attributable to certain commodity purchases, the Company may use derivative instruments with maturities of 12 months or less to hedge the commodity price risk associated with the cost of natural gas and the revenue on the sale of steel. At March 31, 2026 and March 31, 2025, the Company had no commodity-based swap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both"/>
        <w:rPr>
          <w:rFonts w:ascii="Times New Roman" w:hAnsi="Times New Roman"/>
          <w:sz w:val="20"/>
        </w:rPr>
      </w:pPr>
      <w:r>
        <w:rPr>
          <w:rFonts w:ascii="Times New Roman" w:hAnsi="Times New Roman"/>
          <w:sz w:val="20"/>
        </w:rPr>
        <w:t xml:space="preserve">As disclosed in Note 5 to the December 31, 2025 consolidated financial statements, the preparation of financial statements in conformity with IFRS Accounting Standards requires management to make estimates and assumptions that affect the reported amounts of assets and liabilities and disclosure of contingent assets and liabilities at the dates of the financial statements and the reported amounts of revenue and expenses during the years or periods. </w:t>
      </w:r>
    </w:p>
    <w:p>
      <w:pPr>
        <w:pStyle w:val="TextBody"/>
        <w:bidi w:val="0"/>
        <w:spacing w:before="240" w:after="0"/>
        <w:jc w:val="both"/>
        <w:rPr>
          <w:rFonts w:ascii="Times New Roman" w:hAnsi="Times New Roman"/>
          <w:sz w:val="20"/>
        </w:rPr>
      </w:pPr>
      <w:r>
        <w:rPr>
          <w:rFonts w:ascii="Times New Roman" w:hAnsi="Times New Roman"/>
          <w:sz w:val="20"/>
        </w:rPr>
        <w:t xml:space="preserve">Significant items subject to such estimates and assumptions include the going concern assessment, allowance for doubtful accounts, carrying amount and useful life of property, plant and equipment and intangible assets, defined benefit retirement plans and income tax expense and scientific research and development investment tax credits. Further, Note 4 to the December 31, 2025 consolidated financial statements discloses the basis for determining the fair value of the IPO and LETL Warrants, earnout and share-based compensation liabilities. Actual results could differ from those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Allowance for doubtful accounts </w:t>
      </w:r>
    </w:p>
    <w:p>
      <w:pPr>
        <w:pStyle w:val="TextBody"/>
        <w:bidi w:val="0"/>
        <w:spacing w:before="120" w:after="0"/>
        <w:jc w:val="both"/>
        <w:rPr>
          <w:rFonts w:ascii="Times New Roman" w:hAnsi="Times New Roman"/>
          <w:sz w:val="20"/>
        </w:rPr>
      </w:pPr>
      <w:r>
        <w:rPr>
          <w:rFonts w:ascii="Times New Roman" w:hAnsi="Times New Roman"/>
          <w:sz w:val="20"/>
        </w:rPr>
        <w:t xml:space="preserve">Management analyzes accounts receivable to determine the allowance for doubtful accounts by assessing the collectability of receivables owing from each individual customer. This assessment takes into consideration certain factors including the age of outstanding receivable, customer-operating performance, historical payment patterns and current collection efforts, relevant forward-looking information and the Company’s security interests, if any. </w:t>
      </w:r>
    </w:p>
    <w:p>
      <w:pPr>
        <w:pStyle w:val="TextBody"/>
        <w:bidi w:val="0"/>
        <w:spacing w:before="360" w:after="0"/>
        <w:jc w:val="left"/>
        <w:rPr>
          <w:rFonts w:ascii="Times New Roman" w:hAnsi="Times New Roman"/>
          <w:i/>
          <w:sz w:val="20"/>
        </w:rPr>
      </w:pPr>
      <w:r>
        <w:rPr>
          <w:rFonts w:ascii="Times New Roman" w:hAnsi="Times New Roman"/>
          <w:i/>
          <w:sz w:val="20"/>
        </w:rPr>
        <w:t xml:space="preserve">Useful lives of property, plant and equipment and Intangible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reviews the estimated useful lives of property, plant and equipment at the end of each annual reporting period, and whenever events or circumstances indicate a change in useful life. Effective September 28, 2025, the Company reduced the useful lives of assets pertaining to blast furnace and basic oxygen steelmaking operations assets as a result of the Company’s Board of Directors approving an operational plan to commence the exit from blast furnace and coke production and to accelerate the transition to EAF steelmaking. The useful lives of blast furnace and basic oxygen steelmaking assets have been reduced and are fully depreciated as at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property, plant and equipment and Intangible assets </w:t>
      </w:r>
    </w:p>
    <w:p>
      <w:pPr>
        <w:pStyle w:val="TextBody"/>
        <w:bidi w:val="0"/>
        <w:spacing w:before="120" w:after="0"/>
        <w:jc w:val="both"/>
        <w:rPr>
          <w:rFonts w:ascii="Times New Roman" w:hAnsi="Times New Roman"/>
          <w:sz w:val="20"/>
        </w:rPr>
      </w:pPr>
      <w:r>
        <w:rPr>
          <w:rFonts w:ascii="Times New Roman" w:hAnsi="Times New Roman"/>
          <w:sz w:val="20"/>
        </w:rPr>
        <w:t xml:space="preserve">Determining whether property, plant and equipment and intangible assets are impaired requires the Company to determine the recoverable amount of the Cash Generating Unit (“CGU”) to which the asset is allocated. To determine the recoverable amount of the CGU, management is required to estimate its fair value. To calculate the value of the CGU in use, management determines expected future cash flows, which involves, among other items, forecasted steel selling prices, forecasted tons shipped, costs and volume of production, growth rate, and the estimated selling costs, using an appropriate discount rate.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2025, as a result of current economic conditions there were two indicators of impairment in regards to the Company’s single Cash Generating Unit (“CGU”). The two indicators identified were the Section 232 tariffs imposed by the United States (“U.S.”) pertaining to the steel manufacturing industry and the Company’s carrying value of the net assets exceeded its market capitalization. The Company performed an impairment test and determined that the carrying amount exceeded the Company’s recoverable amount and an impairment loss of C$503.4 million was recorded in the consolidated statements of net loss for the year ended December 31, 2025. At March 31, 2026, there were no indicators of impairment in regards to the Company’s CGU. </w:t>
      </w:r>
    </w:p>
    <w:p>
      <w:pPr>
        <w:pStyle w:val="TextBody"/>
        <w:bidi w:val="0"/>
        <w:spacing w:before="360" w:after="0"/>
        <w:jc w:val="left"/>
        <w:rPr>
          <w:rFonts w:ascii="Times New Roman" w:hAnsi="Times New Roman"/>
          <w:sz w:val="20"/>
        </w:rPr>
      </w:pPr>
      <w:r>
        <w:rPr>
          <w:rFonts w:ascii="Times New Roman" w:hAnsi="Times New Roman"/>
          <w:i/>
          <w:sz w:val="20"/>
        </w:rPr>
        <w:t>Defined Benefit Retirement Plans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Company’s determination of employee benefit expense and obligations requires the use of assumptions such as the discount rate applied to determine the present value of all future cash flows expected in the plan. Since the determination of the cost and obligations associated with employee future benefits requires the use of various assumptions, there is measurement uncertainty inherent in the actuarial valuation process. Actual results could differ from estimated results which are based on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Taxation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computes and recognizes an income tax provision in each of the jurisdictions in which it operates. Actual amounts of income tax expense and scientific research and experimental development investment tax credits only become final upon filing and acceptance of the returns by the relevant authorities, which occur subsequent to the issuance of the condensed interim consolidated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Additionally, the estimation of income taxes includes evaluating the recoverability of deferred income tax assets based on an assessment of the ability to use the underlying future tax deductions before they expire against future taxable income. The assessment is based upon existing tax laws and estimates of future taxable income. To the extent estimates differ from the final tax return, net (loss) income will be affected in a subsequent period. The Company will file tax returns that may contain interpretations of tax law and estimates. Positions taken and estimates utilized by the Company may be challenged by the relevant tax authorities. Rulings that result in adjustments to tax returns filed will be recorded in the period where the ruling is made known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Accounting Policies </w:t>
      </w:r>
    </w:p>
    <w:p>
      <w:pPr>
        <w:pStyle w:val="TextBody"/>
        <w:bidi w:val="0"/>
        <w:spacing w:before="120" w:after="0"/>
        <w:jc w:val="both"/>
        <w:rPr>
          <w:rFonts w:ascii="Times New Roman" w:hAnsi="Times New Roman"/>
          <w:sz w:val="20"/>
        </w:rPr>
      </w:pPr>
      <w:r>
        <w:rPr>
          <w:rFonts w:ascii="Times New Roman" w:hAnsi="Times New Roman"/>
          <w:sz w:val="20"/>
        </w:rPr>
        <w:t xml:space="preserve">The Company’s condensed interim consolidated financial statements have been prepared using consistent accounting policies described in Note 4 to the Company’s annual consolidated financial statements for the year ended December 31, 2025 and the nine month period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Standards and Interpretations issued and not yet adopted </w:t>
      </w:r>
    </w:p>
    <w:p>
      <w:pPr>
        <w:pStyle w:val="TextBody"/>
        <w:bidi w:val="0"/>
        <w:spacing w:before="120" w:after="0"/>
        <w:jc w:val="left"/>
        <w:rPr>
          <w:rFonts w:ascii="Times New Roman" w:hAnsi="Times New Roman"/>
          <w:i/>
          <w:sz w:val="20"/>
        </w:rPr>
      </w:pPr>
      <w:r>
        <w:rPr>
          <w:rFonts w:ascii="Times New Roman" w:hAnsi="Times New Roman"/>
          <w:i/>
          <w:sz w:val="20"/>
        </w:rPr>
        <w:t xml:space="preserve">Presentation and Disclosure in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In April 2024, the IASB issued IFRS 18, </w:t>
      </w:r>
      <w:r>
        <w:rPr>
          <w:rFonts w:ascii="Times New Roman" w:hAnsi="Times New Roman"/>
          <w:i/>
          <w:sz w:val="20"/>
        </w:rPr>
        <w:t>Presentation and Disclosure in Financial Statements</w:t>
      </w:r>
      <w:r>
        <w:rPr>
          <w:rFonts w:ascii="Times New Roman" w:hAnsi="Times New Roman"/>
          <w:sz w:val="20"/>
        </w:rPr>
        <w:t xml:space="preserve">. IFRS 18 replaces IAS 1, </w:t>
      </w:r>
      <w:r>
        <w:rPr>
          <w:rFonts w:ascii="Times New Roman" w:hAnsi="Times New Roman"/>
          <w:i/>
          <w:sz w:val="20"/>
        </w:rPr>
        <w:t>Presentation of Financial Statements</w:t>
      </w:r>
      <w:r>
        <w:rPr>
          <w:rFonts w:ascii="Times New Roman" w:hAnsi="Times New Roman"/>
          <w:sz w:val="20"/>
        </w:rPr>
        <w:t xml:space="preserve"> and sets out requirements for the presentation and disclosure of information in general purpose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new Standard introduces the following significant changes to the structure of a company’s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Income and expenses in the statements of net income or loss will be grouped into new categories resulting in new subtotals and/or line items being presented (including operating profit), along with changes in how certain existing subtotals are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New disclosure will be required for management defined performance measures (“MPMs”), commonly referred to as non-GAAP measures;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New principles will apply to the aggregation and disaggregation of certain financial information in the financial statements.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is currently reviewing the impacts of new categories and subtotals on its statements of net loss and reviewing its current non-GAAP measures to identify MPMs requiring disclosure, as well as, reviewing relevant aggregation and disaggregation of financial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The standard applies to annual reporting periods beginning on or after January 1, 2027 and is to be applied retrospectively, with early adoption permitted.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Controls and Procedures and Internal Controls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In compliance with the provisions of National Instrument 52-109 – </w:t>
      </w:r>
      <w:r>
        <w:rPr>
          <w:rFonts w:ascii="Times New Roman" w:hAnsi="Times New Roman"/>
          <w:i/>
          <w:sz w:val="20"/>
        </w:rPr>
        <w:t>Certification of Disclosure in Issuers’ Annual and Interim Filings</w:t>
      </w:r>
      <w:r>
        <w:rPr>
          <w:rFonts w:ascii="Times New Roman" w:hAnsi="Times New Roman"/>
          <w:sz w:val="20"/>
        </w:rPr>
        <w:t xml:space="preserve">, we have filed certificates signed by our Chief Executive Officer (“CEO”) and by our Chief Financial Officer (“CFO”) that, among other things, report on (i) their responsibility for establishing and maintaining disclosure controls and procedures (“DC&amp;P”) and internal control over financial reporting (“ICFR”) for the Company; and (ii) the design of DC&amp;P and the design of ICFR. </w:t>
      </w:r>
    </w:p>
    <w:p>
      <w:pPr>
        <w:pStyle w:val="TextBody"/>
        <w:bidi w:val="0"/>
        <w:spacing w:before="240" w:after="0"/>
        <w:jc w:val="both"/>
        <w:rPr>
          <w:rFonts w:ascii="Times New Roman" w:hAnsi="Times New Roman"/>
          <w:sz w:val="20"/>
        </w:rPr>
      </w:pPr>
      <w:r>
        <w:rPr>
          <w:rFonts w:ascii="Times New Roman" w:hAnsi="Times New Roman"/>
          <w:sz w:val="20"/>
        </w:rPr>
        <w:t xml:space="preserve">Management, including our CEO and CFO, does not expect that the disclosure controls or internal controls over financial reporting of the Company will prevent or detect all errors and all fraud or will be effective under all potential future conditions. A control system is subject to inherent limitations and, no matter how well designed and operated, can provide only reasonable, not absolute, assurance that the control systems objectives will be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Further, the design of a control system must reflect that there are resource constraints, and the benefits of controls must be considered relative to their costs. Inherent limitations include the realities that judgments in decision making can be faulty, and that breakdowns can occur because of simple errors or mistakes. Controls can also be circumvented by individual acts of some persons, by collusion of two or more people or by management override of the controls. Due to the inherent limitations in a cost-effective control system, misstatements due to error or fraud may occur and not be detected. The design of any control system is also based in part upon certain assumptions about the likelihood of future events, and there can be no assurance that any design will succeed in achieving its stated goals under all potential conditions. Projections of any evaluations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0"/>
        <w:jc w:val="left"/>
        <w:rPr>
          <w:rFonts w:ascii="Times New Roman" w:hAnsi="Times New Roman"/>
          <w:i/>
          <w:sz w:val="20"/>
        </w:rPr>
      </w:pPr>
      <w:r>
        <w:rPr>
          <w:rFonts w:ascii="Times New Roman" w:hAnsi="Times New Roman"/>
          <w:i/>
          <w:sz w:val="20"/>
        </w:rPr>
        <w:t xml:space="preserve">Disclosure Controls and Procedures </w:t>
      </w:r>
    </w:p>
    <w:p>
      <w:pPr>
        <w:pStyle w:val="TextBody"/>
        <w:bidi w:val="0"/>
        <w:spacing w:before="120" w:after="0"/>
        <w:jc w:val="both"/>
        <w:rPr>
          <w:rFonts w:ascii="Times New Roman" w:hAnsi="Times New Roman"/>
          <w:sz w:val="20"/>
        </w:rPr>
      </w:pPr>
      <w:r>
        <w:rPr>
          <w:rFonts w:ascii="Times New Roman" w:hAnsi="Times New Roman"/>
          <w:sz w:val="20"/>
        </w:rPr>
        <w:t xml:space="preserve">The CEO and the CFO have designed DC&amp;P, or have caused them to be designed under their supervision, in order to provide reasonable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material information relating to Algoma is made known to the CEO and CFO by others, particularly during the period in which the interim and annual filings are being prepared;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information required to be disclosed by Algoma in its annual filings, interim filings or other reports filed or submitted by it under securities legislation is recorded, processed, summarized and reported within the time periods specified in securities legislation.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Internal Controls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The CEO and CFO have also designed ICFR, or have caused them to be designed under their supervision, in order to provide reasonable assurance regarding the reliability of financial reporting and the preparation of financial statements for external purposes in accordance with IFRS. The control framework used to design our ICFR is based on the criteria set forth by the Committee of Sponsoring Organizations of the Treadway Commission (COSO) on Internal Control – Integrated Framework (2013 framework). </w:t>
      </w:r>
    </w:p>
    <w:p>
      <w:pPr>
        <w:pStyle w:val="TextBody"/>
        <w:bidi w:val="0"/>
        <w:spacing w:before="360" w:after="0"/>
        <w:jc w:val="left"/>
        <w:rPr>
          <w:rFonts w:ascii="Times New Roman" w:hAnsi="Times New Roman"/>
          <w:i/>
          <w:sz w:val="20"/>
        </w:rPr>
      </w:pPr>
      <w:r>
        <w:rPr>
          <w:rFonts w:ascii="Times New Roman" w:hAnsi="Times New Roman"/>
          <w:i/>
          <w:sz w:val="20"/>
        </w:rPr>
        <w:t xml:space="preserve">Changes in Internal Controls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No changes were made to our ICFR during three month period ended March 31, 2026 that have materially affected, or are reasonably likely to materially affect, our ICFR.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Selected Quarterly Information</w:t>
      </w:r>
    </w:p>
    <w:p>
      <w:pPr>
        <w:pStyle w:val="TextBody"/>
        <w:bidi w:val="0"/>
        <w:spacing w:before="0" w:after="0"/>
        <w:jc w:val="left"/>
        <w:rPr/>
      </w:pPr>
      <w:r>
        <w:rPr/>
        <w:t> </w:t>
      </w:r>
    </w:p>
    <w:tbl>
      <w:tblPr>
        <w:tblW w:w="11925" w:type="dxa"/>
        <w:jc w:val="center"/>
        <w:tblInd w:w="0" w:type="dxa"/>
        <w:tblLayout w:type="fixed"/>
        <w:tblCellMar>
          <w:top w:w="0" w:type="dxa"/>
          <w:left w:w="0" w:type="dxa"/>
          <w:bottom w:w="0" w:type="dxa"/>
          <w:right w:w="0" w:type="dxa"/>
        </w:tblCellMar>
      </w:tblPr>
      <w:tblGrid>
        <w:gridCol w:w="1040"/>
        <w:gridCol w:w="120"/>
        <w:gridCol w:w="540"/>
        <w:gridCol w:w="1250"/>
        <w:gridCol w:w="155"/>
        <w:gridCol w:w="60"/>
        <w:gridCol w:w="305"/>
        <w:gridCol w:w="740"/>
        <w:gridCol w:w="155"/>
        <w:gridCol w:w="60"/>
        <w:gridCol w:w="305"/>
        <w:gridCol w:w="740"/>
        <w:gridCol w:w="155"/>
        <w:gridCol w:w="60"/>
        <w:gridCol w:w="305"/>
        <w:gridCol w:w="740"/>
        <w:gridCol w:w="155"/>
        <w:gridCol w:w="60"/>
        <w:gridCol w:w="305"/>
        <w:gridCol w:w="740"/>
        <w:gridCol w:w="155"/>
        <w:gridCol w:w="60"/>
        <w:gridCol w:w="305"/>
        <w:gridCol w:w="740"/>
        <w:gridCol w:w="155"/>
        <w:gridCol w:w="60"/>
        <w:gridCol w:w="305"/>
        <w:gridCol w:w="740"/>
        <w:gridCol w:w="155"/>
        <w:gridCol w:w="60"/>
        <w:gridCol w:w="305"/>
        <w:gridCol w:w="740"/>
        <w:gridCol w:w="15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i/>
              </w:rPr>
            </w:pPr>
            <w:r>
              <w:rPr>
                <w:i/>
              </w:rPr>
              <w:t>(millions of dollars, except where otherwise noted)</w:t>
            </w:r>
          </w:p>
        </w:tc>
        <w:tc>
          <w:tcPr>
            <w:tcW w:w="120"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year ended</w:t>
              <w:br/>
              <w:t>December 31,</w:t>
              <w:br/>
              <w:t>2026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5" w:type="dxa"/>
            <w:gridSpan w:val="14"/>
            <w:tcBorders>
              <w:bottom w:val="single" w:sz="8" w:space="0" w:color="000000"/>
            </w:tcBorders>
            <w:tcMar>
              <w:bottom w:w="28" w:type="dxa"/>
            </w:tcMar>
            <w:vAlign w:val="bottom"/>
          </w:tcPr>
          <w:p>
            <w:pPr>
              <w:pStyle w:val="TableContents"/>
              <w:bidi w:val="0"/>
              <w:spacing w:before="0" w:after="283"/>
              <w:jc w:val="center"/>
              <w:rPr/>
            </w:pPr>
            <w:r>
              <w:rPr/>
              <w:t>Fiscal year ended</w:t>
              <w:br/>
              <w:t>December 31, 2025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5" w:type="dxa"/>
            <w:gridSpan w:val="10"/>
            <w:tcBorders>
              <w:bottom w:val="single" w:sz="8" w:space="0" w:color="000000"/>
            </w:tcBorders>
            <w:tcMar>
              <w:bottom w:w="28" w:type="dxa"/>
            </w:tcMar>
            <w:vAlign w:val="bottom"/>
          </w:tcPr>
          <w:p>
            <w:pPr>
              <w:pStyle w:val="TableContents"/>
              <w:bidi w:val="0"/>
              <w:spacing w:before="0" w:after="283"/>
              <w:jc w:val="center"/>
              <w:rPr/>
            </w:pPr>
            <w:r>
              <w:rPr/>
              <w:t>Nine months ended</w:t>
              <w:br/>
              <w:t>December 31, 2024</w:t>
            </w:r>
          </w:p>
        </w:tc>
        <w:tc>
          <w:tcPr>
            <w:tcW w:w="15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As at and for the three months ended1</w:t>
            </w:r>
          </w:p>
        </w:tc>
        <w:tc>
          <w:tcPr>
            <w:tcW w:w="120"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pPr>
            <w:r>
              <w:rPr/>
              <w:t>Q1</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Financial results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Total revenue</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b/>
              </w:rPr>
            </w:pPr>
            <w:r>
              <w:rPr>
                <w:b/>
              </w:rPr>
              <w:t>C$</w:t>
            </w:r>
          </w:p>
        </w:tc>
        <w:tc>
          <w:tcPr>
            <w:tcW w:w="1250" w:type="dxa"/>
            <w:tcBorders/>
            <w:vAlign w:val="bottom"/>
          </w:tcPr>
          <w:p>
            <w:pPr>
              <w:pStyle w:val="TableContents"/>
              <w:bidi w:val="0"/>
              <w:spacing w:before="0" w:after="283"/>
              <w:jc w:val="right"/>
              <w:rPr>
                <w:b/>
              </w:rPr>
            </w:pPr>
            <w:r>
              <w:rPr>
                <w:b/>
              </w:rPr>
              <w:t>296.9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455.0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523.9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589.7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517.1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590.3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600.3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650.5</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Steel products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266.9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534.4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597.4</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Non-steel products</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b/>
              </w:rPr>
            </w:pPr>
            <w:r>
              <w:rPr>
                <w:b/>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Freight</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45.9</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Cost of sales</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b/>
              </w:rPr>
            </w:pPr>
            <w:r>
              <w:rPr>
                <w:b/>
              </w:rPr>
              <w:t>423.5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633.8</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Administrative and selling expenses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26.9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29.2</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Income (loss) from operations</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b/>
              </w:rPr>
            </w:pPr>
            <w:r>
              <w:rPr>
                <w:b/>
              </w:rPr>
              <w:t>(153.5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(449.7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(651.5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(159.4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EBITDA</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b/>
              </w:rPr>
            </w:pPr>
            <w:r>
              <w:rPr>
                <w:b/>
              </w:rPr>
              <w:t>C$</w:t>
            </w:r>
          </w:p>
        </w:tc>
        <w:tc>
          <w:tcPr>
            <w:tcW w:w="1250" w:type="dxa"/>
            <w:tcBorders/>
            <w:vAlign w:val="bottom"/>
          </w:tcPr>
          <w:p>
            <w:pPr>
              <w:pStyle w:val="TableContents"/>
              <w:bidi w:val="0"/>
              <w:spacing w:before="0" w:after="283"/>
              <w:jc w:val="right"/>
              <w:rPr>
                <w:b/>
              </w:rPr>
            </w:pPr>
            <w:r>
              <w:rPr>
                <w:b/>
              </w:rPr>
              <w:t>(119.2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(71.7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57.8</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Adjusted EBITDA</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(28.7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Per common share (diluted)3</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income (loss)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b/>
              </w:rPr>
            </w:pPr>
            <w:r>
              <w:rPr>
                <w:b/>
              </w:rPr>
              <w:t>C$</w:t>
            </w:r>
          </w:p>
        </w:tc>
        <w:tc>
          <w:tcPr>
            <w:tcW w:w="1250" w:type="dxa"/>
            <w:tcBorders/>
            <w:shd w:fill="CCEEFF" w:val="clear"/>
            <w:vAlign w:val="bottom"/>
          </w:tcPr>
          <w:p>
            <w:pPr>
              <w:pStyle w:val="TableContents"/>
              <w:bidi w:val="0"/>
              <w:spacing w:before="0" w:after="283"/>
              <w:jc w:val="right"/>
              <w:rPr>
                <w:b/>
              </w:rPr>
            </w:pPr>
            <w:r>
              <w:rPr>
                <w:b/>
              </w:rPr>
              <w:t>(1.46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(9.06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(0.48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(0.61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(0.98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16"/>
              </w:rPr>
            </w:pPr>
            <w:r>
              <w:rPr>
                <w:rFonts w:ascii="Times New Roman" w:hAnsi="Times New Roman"/>
                <w:b/>
                <w:sz w:val="16"/>
              </w:rPr>
              <w:t>Financial position</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b/>
              </w:rPr>
            </w:pPr>
            <w:r>
              <w:rPr>
                <w:b/>
              </w:rPr>
              <w:t>C$</w:t>
            </w:r>
          </w:p>
        </w:tc>
        <w:tc>
          <w:tcPr>
            <w:tcW w:w="1250" w:type="dxa"/>
            <w:tcBorders/>
            <w:shd w:fill="CCEEFF" w:val="clear"/>
            <w:vAlign w:val="bottom"/>
          </w:tcPr>
          <w:p>
            <w:pPr>
              <w:pStyle w:val="TableContents"/>
              <w:bidi w:val="0"/>
              <w:spacing w:before="0" w:after="283"/>
              <w:jc w:val="right"/>
              <w:rPr>
                <w:b/>
              </w:rPr>
            </w:pPr>
            <w:r>
              <w:rPr>
                <w:b/>
              </w:rPr>
              <w:t>2,002.2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2,115.9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2,435.6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2,945.6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3,090.1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3,186.2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3,095.9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C$</w:t>
            </w:r>
          </w:p>
        </w:tc>
        <w:tc>
          <w:tcPr>
            <w:tcW w:w="740" w:type="dxa"/>
            <w:tcBorders/>
            <w:shd w:fill="CCEEFF" w:val="clear"/>
            <w:vAlign w:val="bottom"/>
          </w:tcPr>
          <w:p>
            <w:pPr>
              <w:pStyle w:val="TableContents"/>
              <w:bidi w:val="0"/>
              <w:spacing w:before="0" w:after="283"/>
              <w:jc w:val="right"/>
              <w:rPr/>
            </w:pPr>
            <w:r>
              <w:rPr/>
              <w:t>3,123.2</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Total non-current liabilities</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b/>
              </w:rPr>
            </w:pPr>
            <w:r>
              <w:rPr>
                <w:b/>
              </w:rPr>
              <w:t>1,268.6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1,127.4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1,045.6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1,154.6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1,187.4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1,201.3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1,187.2</w:t>
            </w:r>
          </w:p>
        </w:tc>
        <w:tc>
          <w:tcPr>
            <w:tcW w:w="155"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results</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Average NSR</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b/>
              </w:rPr>
            </w:pPr>
            <w:r>
              <w:rPr>
                <w:b/>
              </w:rPr>
              <w:t>C$</w:t>
            </w:r>
          </w:p>
        </w:tc>
        <w:tc>
          <w:tcPr>
            <w:tcW w:w="1250" w:type="dxa"/>
            <w:tcBorders/>
            <w:vAlign w:val="bottom"/>
          </w:tcPr>
          <w:p>
            <w:pPr>
              <w:pStyle w:val="TableContents"/>
              <w:bidi w:val="0"/>
              <w:spacing w:before="0" w:after="283"/>
              <w:jc w:val="right"/>
              <w:rPr>
                <w:b/>
              </w:rPr>
            </w:pPr>
            <w:r>
              <w:rPr>
                <w:b/>
              </w:rPr>
              <w:t>1,193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1,129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1,132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986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1,036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C$</w:t>
            </w:r>
          </w:p>
        </w:tc>
        <w:tc>
          <w:tcPr>
            <w:tcW w:w="740" w:type="dxa"/>
            <w:tcBorders/>
            <w:vAlign w:val="bottom"/>
          </w:tcPr>
          <w:p>
            <w:pPr>
              <w:pStyle w:val="TableContents"/>
              <w:bidi w:val="0"/>
              <w:spacing w:before="0" w:after="283"/>
              <w:jc w:val="right"/>
              <w:rPr/>
            </w:pPr>
            <w:r>
              <w:rPr/>
              <w:t>1,187</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Adjusted EBITDA per nt2</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(128.3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74.9</w:t>
            </w:r>
          </w:p>
        </w:tc>
        <w:tc>
          <w:tcPr>
            <w:tcW w:w="155" w:type="dxa"/>
            <w:tcBorders/>
            <w:shd w:fill="CCEEFF" w:val="clear"/>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2065"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Shipping volume (in thousands of nt)</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Sheet</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b/>
              </w:rPr>
            </w:pPr>
            <w:r>
              <w:rPr>
                <w:b/>
              </w:rPr>
              <w:t>108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6"/>
              </w:rPr>
            </w:pPr>
            <w:r>
              <w:rPr>
                <w:rFonts w:ascii="Times New Roman" w:hAnsi="Times New Roman"/>
                <w:sz w:val="16"/>
              </w:rPr>
              <w:t>Plate</w:t>
            </w:r>
          </w:p>
        </w:tc>
        <w:tc>
          <w:tcPr>
            <w:tcW w:w="12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b/>
              </w:rPr>
            </w:pPr>
            <w:r>
              <w:rPr>
                <w:b/>
              </w:rPr>
              <w:t>116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Slab</w:t>
            </w:r>
          </w:p>
        </w:tc>
        <w:tc>
          <w:tcPr>
            <w:tcW w:w="12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fiscal year ended December 31, 2025 and onwards, period end date refers to the following: “Q1” - March 31, “Q2” - June 30, “Q3” - September 30, and “Q4” - December 31. Effective for fiscal year ended December 31, 2024, the Company changed its year end from March 31 to December 31. Therefore, for fiscal years prior to December 31, 2025, period end date refers to the following: “Q1” - June 30, “Q2” - September 30”, “Q3” - December 31, and “Q4” - March 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definition and reconciliation of these non-IFRS measures are included in the “Non-IFRS Financial Measures” section of this MD&amp;A.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3 -</w:t>
            </w:r>
          </w:p>
        </w:tc>
        <w:tc>
          <w:tcPr>
            <w:tcW w:w="1000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Pursuant to the Merger with Legato, on October 19, 2021, the Company effected a reverse stock split retroactively, such that each outstanding common share became such number of common shares, each valued at $10.00 per share, as determined by the conversion factor of 71.76775% (as defined in the Merger Agreement), with such common shares subsequently distributed to the equity holders of the Company’s former ultimate parent company. </w:t>
            </w:r>
          </w:p>
        </w:tc>
      </w:tr>
    </w:tbl>
    <w:p>
      <w:pPr>
        <w:pStyle w:val="TextBody"/>
        <w:bidi w:val="0"/>
        <w:spacing w:before="20" w:after="0"/>
        <w:jc w:val="both"/>
        <w:rPr>
          <w:rFonts w:ascii="Times New Roman" w:hAnsi="Times New Roman"/>
          <w:sz w:val="20"/>
        </w:rPr>
      </w:pPr>
      <w:r>
        <w:rPr>
          <w:rFonts w:ascii="Times New Roman" w:hAnsi="Times New Roman"/>
          <w:sz w:val="20"/>
        </w:rPr>
        <w:t xml:space="preserve">Further, on February 9, 2022, the Company issued 35,883,692 common shares in connection with the earnout rights granted to non-management shareholders that existed prior to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4 -</w:t>
            </w:r>
          </w:p>
        </w:tc>
        <w:tc>
          <w:tcPr>
            <w:tcW w:w="1000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March 3, 2022, the Company commenced a normal course issuer bid for which the Company purchased and cancelled 3,364,262 common shares as at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5 -</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June 21, 2022, the Company commenced a substantial issuer bid in Canada and a Tender Offer (the “Offer”) in the United States. On July 27, 2022, the Offer was completed and 41,025,641 common shares were purchased for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6 -</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the year ended March 31, 2024, the Company converted 70,920 deferred share units to common shares and issued 464,268 common shares upon exercise of earnout rights, Replacement LTIP units and Omnibus Plan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7 -</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the nine month period ended December 31, 2024, the Company issued 755,730 common shares upon exercise of earnout rights, Replacement LTIP units and Omnibus Plan LTIP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8 -</w:t>
            </w:r>
          </w:p>
        </w:tc>
        <w:tc>
          <w:tcPr>
            <w:tcW w:w="1000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the three month period ended March 31, 2025, the Company issued 75,000 common shares upon exercise of earnout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9 -</w:t>
            </w:r>
          </w:p>
        </w:tc>
        <w:tc>
          <w:tcPr>
            <w:tcW w:w="1000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the three month period ended March 31, 2026, the Company issued 454,817 common shares upon exercise of deferred share units and vesting of Omnibus Plan LTIP units.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at March 31, 2026, 105,388,619 common shares were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Trend Analysis </w:t>
      </w:r>
    </w:p>
    <w:p>
      <w:pPr>
        <w:pStyle w:val="TextBody"/>
        <w:bidi w:val="0"/>
        <w:spacing w:before="120" w:after="0"/>
        <w:jc w:val="both"/>
        <w:rPr>
          <w:rFonts w:ascii="Times New Roman" w:hAnsi="Times New Roman"/>
          <w:sz w:val="20"/>
        </w:rPr>
      </w:pPr>
      <w:r>
        <w:rPr>
          <w:rFonts w:ascii="Times New Roman" w:hAnsi="Times New Roman"/>
          <w:sz w:val="20"/>
        </w:rPr>
        <w:t xml:space="preserve">The Company’s financial performance for Q1 2026 increased from Q4 2025, primarily due to an increase in Adjusted EBITDA per net ton (“nt”). The following discussion reflects the Company’s trend analysis in chronological order: </w:t>
      </w:r>
    </w:p>
    <w:p>
      <w:pPr>
        <w:pStyle w:val="TextBody"/>
        <w:bidi w:val="0"/>
        <w:spacing w:before="240" w:after="0"/>
        <w:jc w:val="both"/>
        <w:rPr>
          <w:rFonts w:ascii="Times New Roman" w:hAnsi="Times New Roman"/>
          <w:sz w:val="20"/>
        </w:rPr>
      </w:pPr>
      <w:r>
        <w:rPr>
          <w:rFonts w:ascii="Times New Roman" w:hAnsi="Times New Roman"/>
          <w:sz w:val="20"/>
        </w:rPr>
        <w:t xml:space="preserve">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C$50.2 million or 8% from C$650.5 million in Q1 (nine months ended December 31, 2024) to C$600.3 million in Q2 (nine months ended December 31, 2024), a result of lower selling prices of steel. This was offset, in part, by higher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C$10.0 million or 2% from C$600.3 million in Q2 (nine months ended December 31, 2024) to C$590.3 million in Q3 (nine months ended December 31, 2024), a result of lower selling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prices of steel. This was offset, in part, by higher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C$73.2 million or 12% from C$590.3 million in Q3 (nine months ended December 31, 2024) to C$517.1 million in Q1 2025, a result of lower selling prices of steel and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C$72.6 million or 14% from C$517.1 million in Q1 2025 to C$589.7 million in Q2 2025, a result of higher selling prices of steel.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C$65.8 million or 11% from C$589.7 million in Q2 2025 to C$523.9 million in Q3 2025, a result of lower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C$68.9 million or 13% from C$523.9 million in Q3 2025 to C$455.0 million in Q4 2025, a result of lower shipment volumes and lower selling prices of steel.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C$158.1 million or 35% from C$455.0 million in Q4 2025 to C$296.9 million in Q1 2026, a result of lower shipment volumes, offset, in part by higher selling prices of steel. </w:t>
            </w:r>
          </w:p>
        </w:tc>
      </w:tr>
    </w:tbl>
    <w:p>
      <w:pPr>
        <w:pStyle w:val="TextBody"/>
        <w:bidi w:val="0"/>
        <w:spacing w:before="240" w:after="0"/>
        <w:jc w:val="both"/>
        <w:rPr>
          <w:rFonts w:ascii="Times New Roman" w:hAnsi="Times New Roman"/>
          <w:sz w:val="20"/>
        </w:rPr>
      </w:pPr>
      <w:r>
        <w:rPr>
          <w:rFonts w:ascii="Times New Roman" w:hAnsi="Times New Roman"/>
          <w:sz w:val="20"/>
        </w:rPr>
        <w:t xml:space="preserve">Net (loss) income: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(C$106.6) million in Q2 (nine months ended December 31, 2024) decreased compared to C$6.1 million in Q1 (nine months ended December 31, 2024) mostly due to decreased revenue (C$50.2 million), the change in fair value of IPO Warrant liability (C$42.9 million), the change in fair value of share-based compensation liability (C$18.3 million), foreign exchange loss (C$16.4 million), and increased cost of sales (C$13.4 million). This was offset, in part, by an increase in other income (C$32.1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(C$66.5) million in Q3 (nine months ended December 31, 2024) decreased compared to (C$106.6) million in Q2 (nine months ended December 31, 2024) mostly due to foreign exchange gain (C$53.0 million), the change in fair value of IPO Warrant liability (C$35.0 million), the change in fair value of share-based compensation liability (C$13.9 million), and the change in fair value of earnout liability (C$5.9 million). This was offset, in part, by a decrease in other income (C$31.5 million), increased cost of sales (C$30.2 million), and decreased revenue (C$10.0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(C$24.5) million in Q1 2025 decreased compared to (C$66.5) million in Q3 (nine months ended December 31, 2024) mostly due to other income (C$49.4 million), the change in fair value of IPO Warrant liability (C$31.4 million), the change in fair value of share-based compensation liability (C$14.0 million), and the change in fair value of earnout liability (C$3.9 million). This was offset, in part, by an increase in foreign exchange loss (C$44.2 million) and loss from operations (C$15.1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(C$110.6) million in Q2 2025 increased compared to (C$24.5) million in Q1 2025 mostly due to a decrease in other income (C$50.0 million), the change in fair value of IPO Warrant liability (C$43.7 million), foreign exchange loss (C$30.6 million), the change in fair value of share-based compensation liability (C$20.4 million), and the change in fair value of earnout liability (C$5.7 million). This was offset, in part, by a decrease in loss from operations (C$54.8 million) and an increase in income tax recovery (C$10.5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(C$485.1) million in Q3 2025 increased compared to (C$110.6) million in Q2 2025 mostly due to a non-cash impairment loss (C$503.4 million) and an increase in loss from operations (C$63.0 million). This was offset, in part, by an increase in income tax recovery (C$108.8 million), foreign exchange gain (C$45.8 million), the change in fair value of IPO Warrant liability (C$16.5 million), the change in fair value of share-based compensation liability (C$16.5 million), and the change in fair value of earnout liability (C$4.3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(C$364.7) million in Q4 2025 decreased compared to (C$485.1) million in Q3 2025 primarily due to a decrease in loss from operations (C$201.8 million) and an increase in other income (C$26.2 million). This was offset, in part, by a decrease in income tax recovery (C$38.9 million), increase in foreign exchange loss (C$26.8 million), the change in fair value of IPO and LETL Warrant liabilities (C$16.8 million), the change in fair value of share-based compensation liability (C$13.3 million), and the change in fair value of earnout liability (C$3.5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(C$159.4) million in Q1 2026 decreased compared to (C$364.7) million in Q4 2025 primarily due to a decrease in loss from operations (C$296.2 million), an increase in foreign exchange gain (C$26.8 million), a decrease in finance cost (C$7.3 million), and the change in fair value of derivative (C$5.7 million). This was offset, in part, by a decrease in income tax recovery (C$106.8 million) and other income (C$26.1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right"/>
        <w:rPr>
          <w:rFonts w:ascii="Times New Roman" w:hAnsi="Times New Roman"/>
          <w:b/>
          <w:sz w:val="20"/>
        </w:rPr>
      </w:pPr>
      <w:bookmarkStart w:id="6" w:name="d144507dex993.htm"/>
      <w:bookmarkStart w:id="7" w:name="ksd144507dex993"/>
      <w:bookmarkEnd w:id="6"/>
      <w:bookmarkEnd w:id="7"/>
      <w:r>
        <w:rPr>
          <w:rFonts w:ascii="Times New Roman" w:hAnsi="Times New Roman"/>
          <w:b/>
          <w:sz w:val="20"/>
        </w:rPr>
        <w:t xml:space="preserve">Exhibit 99.3 </w:t>
      </w:r>
      <w:r>
        <w:br w:type="page"/>
      </w:r>
    </w:p>
    <w:p>
      <w:pPr>
        <w:pStyle w:val="TextBody"/>
        <w:bidi w:val="0"/>
        <w:spacing w:before="4000" w:after="0"/>
        <w:jc w:val="center"/>
        <w:rPr>
          <w:rFonts w:ascii="Times New Roman" w:hAnsi="Times New Roman"/>
          <w:b/>
          <w:sz w:val="28"/>
        </w:rPr>
      </w:pPr>
      <w:r>
        <w:rPr>
          <w:rFonts w:ascii="Times New Roman" w:hAnsi="Times New Roman"/>
          <w:b/>
          <w:sz w:val="28"/>
        </w:rPr>
        <w:t xml:space="preserve">Condensed Interim Consolidated Financial Statements </w:t>
      </w:r>
    </w:p>
    <w:p>
      <w:pPr>
        <w:pStyle w:val="TextBody"/>
        <w:bidi w:val="0"/>
        <w:spacing w:before="480" w:after="0"/>
        <w:jc w:val="center"/>
        <w:rPr>
          <w:rFonts w:ascii="Times New Roman" w:hAnsi="Times New Roman"/>
          <w:b/>
          <w:sz w:val="52"/>
        </w:rPr>
      </w:pPr>
      <w:r>
        <w:rPr>
          <w:rFonts w:ascii="Times New Roman" w:hAnsi="Times New Roman"/>
          <w:b/>
          <w:sz w:val="52"/>
        </w:rPr>
        <w:t xml:space="preserve">ALGOMA STEEL GROUP INC. </w:t>
      </w:r>
    </w:p>
    <w:p>
      <w:pPr>
        <w:pStyle w:val="TextBody"/>
        <w:bidi w:val="0"/>
        <w:spacing w:before="480" w:after="0"/>
        <w:jc w:val="center"/>
        <w:rPr>
          <w:rFonts w:ascii="Times New Roman" w:hAnsi="Times New Roman"/>
          <w:sz w:val="28"/>
        </w:rPr>
      </w:pPr>
      <w:r>
        <w:rPr>
          <w:rFonts w:ascii="Times New Roman" w:hAnsi="Times New Roman"/>
          <w:sz w:val="28"/>
        </w:rPr>
        <w:t xml:space="preserve">(Unaudited) </w:t>
      </w:r>
    </w:p>
    <w:p>
      <w:pPr>
        <w:pStyle w:val="TextBody"/>
        <w:bidi w:val="0"/>
        <w:spacing w:before="480" w:after="0"/>
        <w:jc w:val="center"/>
        <w:rPr>
          <w:rFonts w:ascii="Times New Roman" w:hAnsi="Times New Roman"/>
          <w:b/>
          <w:sz w:val="36"/>
        </w:rPr>
      </w:pPr>
      <w:r>
        <w:rPr>
          <w:rFonts w:ascii="Times New Roman" w:hAnsi="Times New Roman"/>
          <w:b/>
          <w:sz w:val="36"/>
        </w:rPr>
        <w:t xml:space="preserve">As at March 31, 2026 and December 31, 2025 </w:t>
      </w:r>
    </w:p>
    <w:p>
      <w:pPr>
        <w:pStyle w:val="TextBody"/>
        <w:bidi w:val="0"/>
        <w:spacing w:before="0" w:after="0"/>
        <w:jc w:val="center"/>
        <w:rPr>
          <w:rFonts w:ascii="Times New Roman" w:hAnsi="Times New Roman"/>
          <w:b/>
          <w:sz w:val="28"/>
        </w:rPr>
      </w:pPr>
      <w:r>
        <w:rPr>
          <w:rFonts w:ascii="Times New Roman" w:hAnsi="Times New Roman"/>
          <w:b/>
          <w:sz w:val="28"/>
        </w:rPr>
        <w:t xml:space="preserve">and for the three month periods ended </w:t>
      </w:r>
    </w:p>
    <w:p>
      <w:pPr>
        <w:pStyle w:val="TextBody"/>
        <w:bidi w:val="0"/>
        <w:spacing w:before="0" w:after="0"/>
        <w:jc w:val="center"/>
        <w:rPr>
          <w:rFonts w:ascii="Times New Roman" w:hAnsi="Times New Roman"/>
          <w:b/>
          <w:sz w:val="36"/>
        </w:rPr>
      </w:pPr>
      <w:r>
        <w:rPr>
          <w:rFonts w:ascii="Times New Roman" w:hAnsi="Times New Roman"/>
          <w:b/>
          <w:sz w:val="36"/>
        </w:rPr>
        <w:t xml:space="preserve">March 31, 2026 and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Net Loss </w:t>
      </w:r>
    </w:p>
    <w:p>
      <w:pPr>
        <w:pStyle w:val="TextBody"/>
        <w:bidi w:val="0"/>
        <w:spacing w:before="0" w:after="0"/>
        <w:jc w:val="left"/>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4"/>
        <w:gridCol w:w="237"/>
        <w:gridCol w:w="193"/>
        <w:gridCol w:w="887"/>
        <w:gridCol w:w="155"/>
        <w:gridCol w:w="191"/>
        <w:gridCol w:w="179"/>
        <w:gridCol w:w="841"/>
        <w:gridCol w:w="158"/>
      </w:tblGrid>
      <w:tr>
        <w:trPr/>
        <w:tc>
          <w:tcPr>
            <w:tcW w:w="7364"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4" w:type="dxa"/>
            <w:tcBorders/>
            <w:vAlign w:val="bottom"/>
          </w:tcPr>
          <w:p>
            <w:pPr>
              <w:pStyle w:val="TableContents"/>
              <w:bidi w:val="0"/>
              <w:spacing w:before="0" w:after="20"/>
              <w:jc w:val="left"/>
              <w:rPr>
                <w:rFonts w:ascii="Times New Roman" w:hAnsi="Times New Roman"/>
                <w:sz w:val="16"/>
              </w:rPr>
            </w:pPr>
            <w:r>
              <w:rPr>
                <w:rFonts w:ascii="Times New Roman" w:hAnsi="Times New Roman"/>
                <w:sz w:val="16"/>
              </w:rPr>
              <w:t>Three month period ended</w:t>
            </w:r>
          </w:p>
        </w:tc>
        <w:tc>
          <w:tcPr>
            <w:tcW w:w="237"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rHeight w:val="120" w:hRule="atLeast"/>
        </w:trPr>
        <w:tc>
          <w:tcPr>
            <w:tcW w:w="7364" w:type="dxa"/>
            <w:tcBorders/>
            <w:vAlign w:val="center"/>
          </w:tcPr>
          <w:p>
            <w:pPr>
              <w:pStyle w:val="TableContents"/>
              <w:bidi w:val="0"/>
              <w:spacing w:before="0" w:after="283"/>
              <w:jc w:val="left"/>
              <w:rPr>
                <w:sz w:val="4"/>
                <w:szCs w:val="4"/>
              </w:rPr>
            </w:pPr>
            <w:r>
              <w:rPr>
                <w:sz w:val="4"/>
                <w:szCs w:val="4"/>
              </w:rPr>
            </w:r>
          </w:p>
        </w:tc>
        <w:tc>
          <w:tcPr>
            <w:tcW w:w="1472" w:type="dxa"/>
            <w:gridSpan w:val="4"/>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36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expressed in millions of Canadian dollars, except per share amounts</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4" w:type="dxa"/>
            <w:tcBorders/>
          </w:tcPr>
          <w:p>
            <w:pPr>
              <w:pStyle w:val="TableContents"/>
              <w:bidi w:val="0"/>
              <w:spacing w:before="0" w:after="0"/>
              <w:jc w:val="left"/>
              <w:rPr>
                <w:rFonts w:ascii="Times New Roman" w:hAnsi="Times New Roman"/>
                <w:b/>
                <w:sz w:val="20"/>
              </w:rPr>
            </w:pPr>
            <w:r>
              <w:rPr>
                <w:rFonts w:ascii="Times New Roman" w:hAnsi="Times New Roman"/>
                <w:b/>
                <w:sz w:val="20"/>
              </w:rPr>
              <w:t>Revenue (Note 3)</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296.9</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517.1</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(Note 4)</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423.5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626.1</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Administrative and selling expenses (Note 5)</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b/>
              </w:rPr>
            </w:pPr>
            <w:r>
              <w:rPr>
                <w:b/>
              </w:rPr>
              <w:t>26.9</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30.9</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(153.5</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(139.9</w:t>
            </w:r>
          </w:p>
        </w:tc>
        <w:tc>
          <w:tcPr>
            <w:tcW w:w="158" w:type="dxa"/>
            <w:tcBorders/>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and expenses</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(0.6</w:t>
            </w:r>
          </w:p>
        </w:tc>
        <w:tc>
          <w:tcPr>
            <w:tcW w:w="155" w:type="dxa"/>
            <w:tcBorders/>
            <w:vAlign w:val="bottom"/>
          </w:tcPr>
          <w:p>
            <w:pPr>
              <w:pStyle w:val="TableContents"/>
              <w:bidi w:val="0"/>
              <w:spacing w:before="0" w:after="283"/>
              <w:jc w:val="left"/>
              <w:rPr/>
            </w:pPr>
            <w:r>
              <w:rPr>
                <w:b/>
              </w:rPr>
              <w:t>)</w:t>
            </w: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 (Note 6)</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17.8</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b/>
              </w:rPr>
              <w:t>)</w:t>
            </w: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0.9</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(Note 26)</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b/>
              </w:rPr>
              <w:t>)</w:t>
            </w: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(50.0</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Initial Public Offering (“IPO”) and Large Enterprise</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Tariff Loan (“LETL”) Warrant liabilities (Note 16) (Note 27)</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(39.1</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liability (Note 28)</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share-based compensation liability (Note 29)</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(15.4</w:t>
            </w:r>
          </w:p>
        </w:tc>
        <w:tc>
          <w:tcPr>
            <w:tcW w:w="158" w:type="dxa"/>
            <w:tcBorders/>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87" w:type="dxa"/>
            <w:tcBorders/>
            <w:shd w:fill="CCEEFF" w:val="clear"/>
            <w:vAlign w:val="bottom"/>
          </w:tcPr>
          <w:p>
            <w:pPr>
              <w:pStyle w:val="TableContents"/>
              <w:bidi w:val="0"/>
              <w:spacing w:before="0" w:after="283"/>
              <w:jc w:val="right"/>
              <w:rPr>
                <w:b/>
              </w:rPr>
            </w:pPr>
            <w:r>
              <w:rPr>
                <w:b/>
              </w:rPr>
              <w:t>5.9</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(89.0</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(50.9</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 recovery (Note 20)</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(26.4</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(24.5</w:t>
            </w:r>
          </w:p>
        </w:tc>
        <w:tc>
          <w:tcPr>
            <w:tcW w:w="158" w:type="dxa"/>
            <w:tcBorders/>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per common share</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64" w:type="dxa"/>
            <w:tcBorders/>
          </w:tcPr>
          <w:p>
            <w:pPr>
              <w:pStyle w:val="TableContents"/>
              <w:bidi w:val="0"/>
              <w:spacing w:before="0" w:after="0"/>
              <w:jc w:val="left"/>
              <w:rPr>
                <w:rFonts w:ascii="Times New Roman" w:hAnsi="Times New Roman"/>
                <w:sz w:val="20"/>
              </w:rPr>
            </w:pPr>
            <w:r>
              <w:rPr>
                <w:rFonts w:ascii="Times New Roman" w:hAnsi="Times New Roman"/>
                <w:sz w:val="20"/>
              </w:rPr>
              <w:t>Basic (Note 23)</w:t>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87" w:type="dxa"/>
            <w:tcBorders/>
            <w:vAlign w:val="bottom"/>
          </w:tcPr>
          <w:p>
            <w:pPr>
              <w:pStyle w:val="TableContents"/>
              <w:bidi w:val="0"/>
              <w:spacing w:before="0" w:after="283"/>
              <w:jc w:val="right"/>
              <w:rPr>
                <w:b/>
              </w:rPr>
            </w:pPr>
            <w:r>
              <w:rPr>
                <w:b/>
              </w:rPr>
              <w:t>(1.46</w:t>
            </w:r>
          </w:p>
        </w:tc>
        <w:tc>
          <w:tcPr>
            <w:tcW w:w="155" w:type="dxa"/>
            <w:tcBorders/>
            <w:vAlign w:val="bottom"/>
          </w:tcPr>
          <w:p>
            <w:pPr>
              <w:pStyle w:val="TableContents"/>
              <w:bidi w:val="0"/>
              <w:spacing w:before="0" w:after="283"/>
              <w:jc w:val="left"/>
              <w:rPr/>
            </w:pPr>
            <w:r>
              <w:rPr>
                <w:b/>
              </w:rPr>
              <w:t>)</w:t>
            </w: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(0.23</w:t>
            </w:r>
          </w:p>
        </w:tc>
        <w:tc>
          <w:tcPr>
            <w:tcW w:w="158" w:type="dxa"/>
            <w:tcBorders/>
            <w:vAlign w:val="bottom"/>
          </w:tcPr>
          <w:p>
            <w:pPr>
              <w:pStyle w:val="TableContents"/>
              <w:bidi w:val="0"/>
              <w:spacing w:before="0" w:after="283"/>
              <w:jc w:val="left"/>
              <w:rPr/>
            </w:pPr>
            <w:r>
              <w:rPr/>
              <w:t>) </w:t>
            </w:r>
          </w:p>
        </w:tc>
      </w:tr>
      <w:tr>
        <w:trPr/>
        <w:tc>
          <w:tcPr>
            <w:tcW w:w="73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(Note 23)</w:t>
            </w:r>
          </w:p>
        </w:tc>
        <w:tc>
          <w:tcPr>
            <w:tcW w:w="23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87" w:type="dxa"/>
            <w:tcBorders/>
            <w:shd w:fill="CCEEFF" w:val="clear"/>
            <w:vAlign w:val="bottom"/>
          </w:tcPr>
          <w:p>
            <w:pPr>
              <w:pStyle w:val="TableContents"/>
              <w:bidi w:val="0"/>
              <w:spacing w:before="0" w:after="283"/>
              <w:jc w:val="right"/>
              <w:rPr>
                <w:b/>
              </w:rPr>
            </w:pPr>
            <w:r>
              <w:rPr>
                <w:b/>
              </w:rPr>
              <w:t>(1.46</w:t>
            </w:r>
          </w:p>
        </w:tc>
        <w:tc>
          <w:tcPr>
            <w:tcW w:w="155" w:type="dxa"/>
            <w:tcBorders/>
            <w:shd w:fill="CCEEFF" w:val="clear"/>
            <w:vAlign w:val="bottom"/>
          </w:tcPr>
          <w:p>
            <w:pPr>
              <w:pStyle w:val="TableContents"/>
              <w:bidi w:val="0"/>
              <w:spacing w:before="0" w:after="283"/>
              <w:jc w:val="left"/>
              <w:rPr/>
            </w:pPr>
            <w:r>
              <w:rPr>
                <w:b/>
              </w:rPr>
              <w:t>)</w:t>
            </w:r>
            <w:r>
              <w:rPr/>
              <w:t> </w:t>
            </w:r>
          </w:p>
        </w:tc>
        <w:tc>
          <w:tcPr>
            <w:tcW w:w="19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(0.48</w:t>
            </w:r>
          </w:p>
        </w:tc>
        <w:tc>
          <w:tcPr>
            <w:tcW w:w="158" w:type="dxa"/>
            <w:tcBorders/>
            <w:shd w:fill="CCEEFF" w:val="clear"/>
            <w:vAlign w:val="bottom"/>
          </w:tcPr>
          <w:p>
            <w:pPr>
              <w:pStyle w:val="TableContents"/>
              <w:bidi w:val="0"/>
              <w:spacing w:before="0" w:after="283"/>
              <w:jc w:val="left"/>
              <w:rPr/>
            </w:pPr>
            <w:r>
              <w:rPr/>
              <w:t>) </w:t>
            </w:r>
          </w:p>
        </w:tc>
      </w:tr>
      <w:tr>
        <w:trPr/>
        <w:tc>
          <w:tcPr>
            <w:tcW w:w="7364"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accompanying notes to the condensed interim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Comprehensive Loss </w:t>
      </w:r>
    </w:p>
    <w:p>
      <w:pPr>
        <w:pStyle w:val="TextBody"/>
        <w:bidi w:val="0"/>
        <w:spacing w:before="0" w:after="0"/>
        <w:jc w:val="left"/>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37"/>
        <w:gridCol w:w="240"/>
        <w:gridCol w:w="193"/>
        <w:gridCol w:w="934"/>
        <w:gridCol w:w="155"/>
        <w:gridCol w:w="190"/>
        <w:gridCol w:w="212"/>
        <w:gridCol w:w="786"/>
        <w:gridCol w:w="158"/>
      </w:tblGrid>
      <w:tr>
        <w:trPr/>
        <w:tc>
          <w:tcPr>
            <w:tcW w:w="7337"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37" w:type="dxa"/>
            <w:tcBorders/>
            <w:vAlign w:val="bottom"/>
          </w:tcPr>
          <w:p>
            <w:pPr>
              <w:pStyle w:val="TableContents"/>
              <w:bidi w:val="0"/>
              <w:spacing w:before="0" w:after="20"/>
              <w:jc w:val="left"/>
              <w:rPr>
                <w:rFonts w:ascii="Times New Roman" w:hAnsi="Times New Roman"/>
                <w:sz w:val="16"/>
              </w:rPr>
            </w:pPr>
            <w:r>
              <w:rPr>
                <w:rFonts w:ascii="Times New Roman" w:hAnsi="Times New Roman"/>
                <w:sz w:val="16"/>
              </w:rPr>
              <w:t>Three month period ended</w:t>
            </w:r>
          </w:p>
        </w:tc>
        <w:tc>
          <w:tcPr>
            <w:tcW w:w="24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rHeight w:val="120" w:hRule="atLeast"/>
        </w:trPr>
        <w:tc>
          <w:tcPr>
            <w:tcW w:w="7337" w:type="dxa"/>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c>
          <w:tcPr>
            <w:tcW w:w="1346" w:type="dxa"/>
            <w:gridSpan w:val="4"/>
            <w:tcBorders/>
            <w:vAlign w:val="center"/>
          </w:tcPr>
          <w:p>
            <w:pPr>
              <w:pStyle w:val="TableContents"/>
              <w:bidi w:val="0"/>
              <w:spacing w:before="0" w:after="283"/>
              <w:jc w:val="left"/>
              <w:rPr>
                <w:sz w:val="4"/>
                <w:szCs w:val="4"/>
              </w:rPr>
            </w:pPr>
            <w:r>
              <w:rPr>
                <w:sz w:val="4"/>
                <w:szCs w:val="4"/>
              </w:rPr>
            </w:r>
          </w:p>
        </w:tc>
      </w:tr>
      <w:tr>
        <w:trPr/>
        <w:tc>
          <w:tcPr>
            <w:tcW w:w="733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expressed in millions of Canadian dollars</w:t>
            </w:r>
          </w:p>
        </w:tc>
        <w:tc>
          <w:tcPr>
            <w:tcW w:w="24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3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34"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(24.5</w:t>
            </w:r>
          </w:p>
        </w:tc>
        <w:tc>
          <w:tcPr>
            <w:tcW w:w="158" w:type="dxa"/>
            <w:tcBorders/>
            <w:vAlign w:val="bottom"/>
          </w:tcPr>
          <w:p>
            <w:pPr>
              <w:pStyle w:val="TableContents"/>
              <w:bidi w:val="0"/>
              <w:spacing w:before="0" w:after="283"/>
              <w:jc w:val="left"/>
              <w:rPr/>
            </w:pPr>
            <w:r>
              <w:rPr/>
              <w:t>) </w:t>
            </w:r>
          </w:p>
        </w:tc>
      </w:tr>
      <w:tr>
        <w:trPr/>
        <w:tc>
          <w:tcPr>
            <w:tcW w:w="73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 net of income tax, that will not be reclassified subsequently to profit or loss</w:t>
            </w:r>
          </w:p>
        </w:tc>
        <w:tc>
          <w:tcPr>
            <w:tcW w:w="24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37"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 gain on translation to presentation currency</w:t>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34" w:type="dxa"/>
            <w:tcBorders/>
            <w:vAlign w:val="bottom"/>
          </w:tcPr>
          <w:p>
            <w:pPr>
              <w:pStyle w:val="TableContents"/>
              <w:bidi w:val="0"/>
              <w:spacing w:before="0" w:after="283"/>
              <w:jc w:val="right"/>
              <w:rPr>
                <w:b/>
              </w:rPr>
            </w:pPr>
            <w:r>
              <w:rPr>
                <w:b/>
              </w:rPr>
              <w:t>6.1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r>
      <w:tr>
        <w:trPr/>
        <w:tc>
          <w:tcPr>
            <w:tcW w:w="7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of pension and other post-employment</w:t>
              <w:br/>
              <w:t>benefit obligations, net of tax nil (Note 17, 18)</w:t>
            </w:r>
          </w:p>
        </w:tc>
        <w:tc>
          <w:tcPr>
            <w:tcW w:w="24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934" w:type="dxa"/>
            <w:tcBorders/>
            <w:shd w:fill="CCEEFF" w:val="clear"/>
            <w:vAlign w:val="bottom"/>
          </w:tcPr>
          <w:p>
            <w:pPr>
              <w:pStyle w:val="TableContents"/>
              <w:bidi w:val="0"/>
              <w:spacing w:before="0" w:after="283"/>
              <w:jc w:val="right"/>
              <w:rPr>
                <w:b/>
              </w:rPr>
            </w:pPr>
            <w:r>
              <w:rPr>
                <w:b/>
              </w:rPr>
              <w:t>5.3</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3.9</w:t>
            </w:r>
          </w:p>
        </w:tc>
        <w:tc>
          <w:tcPr>
            <w:tcW w:w="158" w:type="dxa"/>
            <w:tcBorders/>
            <w:shd w:fill="CCEEFF" w:val="clear"/>
            <w:vAlign w:val="bottom"/>
          </w:tcPr>
          <w:p>
            <w:pPr>
              <w:pStyle w:val="TableContents"/>
              <w:bidi w:val="0"/>
              <w:spacing w:before="0" w:after="283"/>
              <w:jc w:val="left"/>
              <w:rPr/>
            </w:pPr>
            <w:r>
              <w:rPr/>
              <w:t> </w:t>
            </w:r>
          </w:p>
        </w:tc>
      </w:tr>
      <w:tr>
        <w:trPr/>
        <w:tc>
          <w:tcPr>
            <w:tcW w:w="733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3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34" w:type="dxa"/>
            <w:tcBorders/>
            <w:vAlign w:val="bottom"/>
          </w:tcPr>
          <w:p>
            <w:pPr>
              <w:pStyle w:val="TableContents"/>
              <w:bidi w:val="0"/>
              <w:spacing w:before="0" w:after="283"/>
              <w:jc w:val="right"/>
              <w:rPr>
                <w:b/>
              </w:rPr>
            </w:pPr>
            <w:r>
              <w:rPr>
                <w:b/>
              </w:rPr>
              <w:t>11.4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733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24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934" w:type="dxa"/>
            <w:tcBorders/>
            <w:shd w:fill="CCEEFF" w:val="clear"/>
            <w:vAlign w:val="bottom"/>
          </w:tcPr>
          <w:p>
            <w:pPr>
              <w:pStyle w:val="TableContents"/>
              <w:bidi w:val="0"/>
              <w:spacing w:before="0" w:after="283"/>
              <w:jc w:val="right"/>
              <w:rPr>
                <w:b/>
              </w:rPr>
            </w:pPr>
            <w:r>
              <w:rPr>
                <w:b/>
              </w:rPr>
              <w:t>(148.0</w:t>
            </w:r>
          </w:p>
        </w:tc>
        <w:tc>
          <w:tcPr>
            <w:tcW w:w="155" w:type="dxa"/>
            <w:tcBorders/>
            <w:shd w:fill="CCEEFF" w:val="clear"/>
            <w:vAlign w:val="bottom"/>
          </w:tcPr>
          <w:p>
            <w:pPr>
              <w:pStyle w:val="TableContents"/>
              <w:bidi w:val="0"/>
              <w:spacing w:before="0" w:after="283"/>
              <w:jc w:val="left"/>
              <w:rPr>
                <w:b/>
              </w:rPr>
            </w:pPr>
            <w:r>
              <w:rPr>
                <w:b/>
              </w:rPr>
              <w:t>) </w:t>
            </w:r>
          </w:p>
        </w:tc>
        <w:tc>
          <w:tcPr>
            <w:tcW w:w="1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(22.1</w:t>
            </w:r>
          </w:p>
        </w:tc>
        <w:tc>
          <w:tcPr>
            <w:tcW w:w="158" w:type="dxa"/>
            <w:tcBorders/>
            <w:shd w:fill="CCEEFF" w:val="clear"/>
            <w:vAlign w:val="bottom"/>
          </w:tcPr>
          <w:p>
            <w:pPr>
              <w:pStyle w:val="TableContents"/>
              <w:bidi w:val="0"/>
              <w:spacing w:before="0" w:after="283"/>
              <w:jc w:val="left"/>
              <w:rPr/>
            </w:pPr>
            <w:r>
              <w:rPr/>
              <w:t>) </w:t>
            </w:r>
          </w:p>
        </w:tc>
      </w:tr>
      <w:tr>
        <w:trPr/>
        <w:tc>
          <w:tcPr>
            <w:tcW w:w="733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accompanying notes to the condensed interim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Financial Position </w:t>
      </w:r>
    </w:p>
    <w:p>
      <w:pPr>
        <w:pStyle w:val="TextBody"/>
        <w:bidi w:val="0"/>
        <w:spacing w:before="0" w:after="0"/>
        <w:jc w:val="left"/>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4"/>
        <w:gridCol w:w="226"/>
        <w:gridCol w:w="156"/>
        <w:gridCol w:w="914"/>
        <w:gridCol w:w="155"/>
        <w:gridCol w:w="185"/>
        <w:gridCol w:w="215"/>
        <w:gridCol w:w="1142"/>
        <w:gridCol w:w="158"/>
      </w:tblGrid>
      <w:tr>
        <w:trPr/>
        <w:tc>
          <w:tcPr>
            <w:tcW w:w="705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4" w:type="dxa"/>
            <w:tcBorders/>
            <w:vAlign w:val="bottom"/>
          </w:tcPr>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As at,</w:t>
            </w:r>
          </w:p>
        </w:tc>
        <w:tc>
          <w:tcPr>
            <w:tcW w:w="226"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i/>
              </w:rPr>
            </w:pPr>
            <w:r>
              <w:rPr>
                <w:i/>
              </w:rPr>
              <w:t>expressed in millions of Canadian dollars</w:t>
            </w:r>
          </w:p>
        </w:tc>
        <w:tc>
          <w:tcPr>
            <w:tcW w:w="226"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(Note 7)</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65.3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77.5</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 (Note 7)</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receivable (Note 8)</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212.9</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206.9</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 (Note 9)</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158.4</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192.7</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Inventories (Note 10)</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475.6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569.3</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deposits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30.1</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30.4</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6.3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5.5</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14" w:type="dxa"/>
            <w:tcBorders/>
            <w:vAlign w:val="bottom"/>
          </w:tcPr>
          <w:p>
            <w:pPr>
              <w:pStyle w:val="TableContents"/>
              <w:bidi w:val="0"/>
              <w:spacing w:before="0" w:after="283"/>
              <w:jc w:val="right"/>
              <w:rPr>
                <w:b/>
              </w:rPr>
            </w:pPr>
            <w:r>
              <w:rPr>
                <w:b/>
              </w:rPr>
              <w:t>948.6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1,082.4</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 (Note 11)</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14" w:type="dxa"/>
            <w:tcBorders/>
            <w:vAlign w:val="bottom"/>
          </w:tcPr>
          <w:p>
            <w:pPr>
              <w:pStyle w:val="TableContents"/>
              <w:bidi w:val="0"/>
              <w:spacing w:before="0" w:after="283"/>
              <w:jc w:val="right"/>
              <w:rPr>
                <w:b/>
              </w:rPr>
            </w:pPr>
            <w:r>
              <w:rPr>
                <w:b/>
              </w:rPr>
              <w:t>1,050.7</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1,029.9</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0.3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0.3</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2.6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3.3</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1,053.6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1,033.5</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14" w:type="dxa"/>
            <w:tcBorders/>
            <w:vAlign w:val="bottom"/>
          </w:tcPr>
          <w:p>
            <w:pPr>
              <w:pStyle w:val="TableContents"/>
              <w:bidi w:val="0"/>
              <w:spacing w:before="0" w:after="283"/>
              <w:jc w:val="right"/>
              <w:rPr>
                <w:b/>
              </w:rPr>
            </w:pPr>
            <w:r>
              <w:rPr>
                <w:b/>
              </w:rPr>
              <w:t>2,002.2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2,115.9</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Bank indebtedness (Note 12)</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67.6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170.2</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 (Note 13)</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207.0</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203.9</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payable and accrued taxes (Note 14)</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39.2</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other long-term liabilities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3.5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5.8</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governmental loans (Note 16)</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0.3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14.0</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environmental liabilities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4.6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4.7</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Severance cost liability</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43.8</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45.8</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IPO Warrant liability (Note 27)</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3.4</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Earnout liability (Note 28)</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3.8</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3.7</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Share-based payment compensation liability (Note 29)</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14.5</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14.1</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387.7</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497.4</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Senior secured lien notes (Note 15)</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485.1</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476.6</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governmental loans (Note 16)</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271.2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192.3</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pension liability (Note 17)</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148.1</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153.0</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other post-employment benefit obligation (Note 18)</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190.6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193.0</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long-term liabilities (Note 19)</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126.1</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70.7</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liabilities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34.9</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34.3</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LETL Warrant liability (Note 16)</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12.6</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7.5</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14" w:type="dxa"/>
            <w:tcBorders/>
            <w:vAlign w:val="bottom"/>
          </w:tcPr>
          <w:p>
            <w:pPr>
              <w:pStyle w:val="TableContents"/>
              <w:bidi w:val="0"/>
              <w:spacing w:before="0" w:after="283"/>
              <w:jc w:val="right"/>
              <w:rPr>
                <w:b/>
              </w:rPr>
            </w:pPr>
            <w:r>
              <w:rPr>
                <w:b/>
              </w:rPr>
              <w:t>1,268.6</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1,127.4</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1,656.3</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1,624.8</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stock (Note 22)</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980.2</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975.5</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425.8</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414.4</w:t>
            </w:r>
          </w:p>
        </w:tc>
        <w:tc>
          <w:tcPr>
            <w:tcW w:w="158" w:type="dxa"/>
            <w:tcBorders/>
            <w:vAlign w:val="bottom"/>
          </w:tcPr>
          <w:p>
            <w:pPr>
              <w:pStyle w:val="TableContents"/>
              <w:bidi w:val="0"/>
              <w:spacing w:before="0" w:after="283"/>
              <w:jc w:val="left"/>
              <w:rPr/>
            </w:pPr>
            <w:r>
              <w:rPr/>
              <w:t> </w:t>
            </w:r>
          </w:p>
        </w:tc>
      </w:tr>
      <w:tr>
        <w:trPr/>
        <w:tc>
          <w:tcPr>
            <w:tcW w:w="70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(1,057.3</w:t>
            </w:r>
          </w:p>
        </w:tc>
        <w:tc>
          <w:tcPr>
            <w:tcW w:w="155"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(897.9</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Contributed deficit</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(0.9</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2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914" w:type="dxa"/>
            <w:tcBorders/>
            <w:shd w:fill="CCEEFF" w:val="clear"/>
            <w:vAlign w:val="bottom"/>
          </w:tcPr>
          <w:p>
            <w:pPr>
              <w:pStyle w:val="TableContents"/>
              <w:bidi w:val="0"/>
              <w:spacing w:before="0" w:after="283"/>
              <w:jc w:val="right"/>
              <w:rPr>
                <w:b/>
              </w:rPr>
            </w:pPr>
            <w:r>
              <w:rPr>
                <w:b/>
              </w:rPr>
              <w:t>345.9</w:t>
            </w:r>
          </w:p>
        </w:tc>
        <w:tc>
          <w:tcPr>
            <w:tcW w:w="15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491.1</w:t>
            </w:r>
          </w:p>
        </w:tc>
        <w:tc>
          <w:tcPr>
            <w:tcW w:w="158" w:type="dxa"/>
            <w:tcBorders/>
            <w:shd w:fill="CCEEFF" w:val="clear"/>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5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914" w:type="dxa"/>
            <w:tcBorders/>
            <w:vAlign w:val="bottom"/>
          </w:tcPr>
          <w:p>
            <w:pPr>
              <w:pStyle w:val="TableContents"/>
              <w:bidi w:val="0"/>
              <w:spacing w:before="0" w:after="283"/>
              <w:jc w:val="right"/>
              <w:rPr>
                <w:b/>
              </w:rPr>
            </w:pPr>
            <w:r>
              <w:rPr>
                <w:b/>
              </w:rPr>
              <w:t>2,002.2</w:t>
            </w:r>
          </w:p>
        </w:tc>
        <w:tc>
          <w:tcPr>
            <w:tcW w:w="15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2,115.9</w:t>
            </w:r>
          </w:p>
        </w:tc>
        <w:tc>
          <w:tcPr>
            <w:tcW w:w="158" w:type="dxa"/>
            <w:tcBorders/>
            <w:vAlign w:val="bottom"/>
          </w:tcPr>
          <w:p>
            <w:pPr>
              <w:pStyle w:val="TableContents"/>
              <w:bidi w:val="0"/>
              <w:spacing w:before="0" w:after="283"/>
              <w:jc w:val="left"/>
              <w:rPr/>
            </w:pPr>
            <w:r>
              <w:rPr/>
              <w:t> </w:t>
            </w:r>
          </w:p>
        </w:tc>
      </w:tr>
      <w:tr>
        <w:trPr/>
        <w:tc>
          <w:tcPr>
            <w:tcW w:w="705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accompanying notes to the condensed interim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 of Changes in Shareholders’ Equity </w:t>
      </w:r>
    </w:p>
    <w:p>
      <w:pPr>
        <w:pStyle w:val="TextBody"/>
        <w:bidi w:val="0"/>
        <w:spacing w:before="0" w:after="0"/>
        <w:jc w:val="left"/>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13085" w:type="dxa"/>
        <w:jc w:val="center"/>
        <w:tblInd w:w="0" w:type="dxa"/>
        <w:tblLayout w:type="fixed"/>
        <w:tblCellMar>
          <w:top w:w="0" w:type="dxa"/>
          <w:left w:w="0" w:type="dxa"/>
          <w:bottom w:w="0" w:type="dxa"/>
          <w:right w:w="0" w:type="dxa"/>
        </w:tblCellMar>
      </w:tblPr>
      <w:tblGrid>
        <w:gridCol w:w="2885"/>
        <w:gridCol w:w="120"/>
        <w:gridCol w:w="154"/>
        <w:gridCol w:w="616"/>
        <w:gridCol w:w="60"/>
        <w:gridCol w:w="120"/>
        <w:gridCol w:w="334"/>
        <w:gridCol w:w="946"/>
        <w:gridCol w:w="155"/>
        <w:gridCol w:w="60"/>
        <w:gridCol w:w="259"/>
        <w:gridCol w:w="1036"/>
        <w:gridCol w:w="155"/>
        <w:gridCol w:w="60"/>
        <w:gridCol w:w="292"/>
        <w:gridCol w:w="1168"/>
        <w:gridCol w:w="60"/>
        <w:gridCol w:w="120"/>
        <w:gridCol w:w="307"/>
        <w:gridCol w:w="1228"/>
        <w:gridCol w:w="60"/>
        <w:gridCol w:w="120"/>
        <w:gridCol w:w="140"/>
        <w:gridCol w:w="815"/>
        <w:gridCol w:w="155"/>
        <w:gridCol w:w="60"/>
        <w:gridCol w:w="229"/>
        <w:gridCol w:w="1216"/>
        <w:gridCol w:w="15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expressed in millions of Canadian dollars</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b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Contributed</w:t>
              <w:b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Foreign</w:t>
              <w:br/>
              <w:t>exchange</w:t>
              <w:br/>
              <w:t>gain (loss) on</w:t>
              <w:br/>
              <w:t>translation to</w:t>
              <w:br/>
              <w:t>presentation</w:t>
              <w:br/>
              <w:t>currency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Actuarial gain</w:t>
              <w:br/>
              <w:t>on pension and</w:t>
              <w:br/>
              <w:t>other post-</w:t>
              <w:br/>
              <w:t>employment</w:t>
              <w:br/>
              <w:t>benefit</w:t>
              <w:br/>
              <w:t>obligation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br/>
              <w:t>retained</w:t>
              <w:br/>
              <w:t>earnings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Shareholders’</w:t>
              <w:br/>
              <w:t>equity</w:t>
            </w:r>
          </w:p>
        </w:tc>
        <w:tc>
          <w:tcPr>
            <w:tcW w:w="155"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975.5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276.4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414.4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(897.9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491.1</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b/>
              </w:rPr>
            </w:pPr>
            <w:r>
              <w:rPr>
                <w:b/>
              </w:rPr>
              <w:t>11.4</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performance and restricted share units (Note 31)</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b/>
              </w:rPr>
            </w:pPr>
            <w:r>
              <w:rPr>
                <w:b/>
              </w:rPr>
              <w:t>2.1</w:t>
            </w:r>
          </w:p>
        </w:tc>
        <w:tc>
          <w:tcPr>
            <w:tcW w:w="155"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deferred share units (Note 31)</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b/>
              </w:rPr>
            </w:pPr>
            <w:r>
              <w:rPr>
                <w:b/>
              </w:rPr>
              <w:t>0.7</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capital stock</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22, 31)</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6" w:type="dxa"/>
            <w:tcBorders/>
            <w:vAlign w:val="bottom"/>
          </w:tcPr>
          <w:p>
            <w:pPr>
              <w:pStyle w:val="TableContents"/>
              <w:bidi w:val="0"/>
              <w:spacing w:before="0" w:after="283"/>
              <w:jc w:val="right"/>
              <w:rPr>
                <w:b/>
              </w:rPr>
            </w:pPr>
            <w:r>
              <w:rPr>
                <w:b/>
              </w:rPr>
              <w:t>980.2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b/>
              </w:rPr>
            </w:pPr>
            <w:r>
              <w:rPr>
                <w:b/>
              </w:rPr>
              <w:t>$</w:t>
            </w:r>
          </w:p>
        </w:tc>
        <w:tc>
          <w:tcPr>
            <w:tcW w:w="946"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1036" w:type="dxa"/>
            <w:tcBorders/>
            <w:vAlign w:val="bottom"/>
          </w:tcPr>
          <w:p>
            <w:pPr>
              <w:pStyle w:val="TableContents"/>
              <w:bidi w:val="0"/>
              <w:spacing w:before="0" w:after="283"/>
              <w:jc w:val="right"/>
              <w:rPr>
                <w:b/>
              </w:rPr>
            </w:pPr>
            <w:r>
              <w:rPr>
                <w:b/>
              </w:rPr>
              <w:t>144.1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b/>
              </w:rPr>
            </w:pPr>
            <w:r>
              <w:rPr>
                <w:b/>
              </w:rPr>
              <w:t>$</w:t>
            </w:r>
          </w:p>
        </w:tc>
        <w:tc>
          <w:tcPr>
            <w:tcW w:w="1168" w:type="dxa"/>
            <w:tcBorders/>
            <w:vAlign w:val="bottom"/>
          </w:tcPr>
          <w:p>
            <w:pPr>
              <w:pStyle w:val="TableContents"/>
              <w:bidi w:val="0"/>
              <w:spacing w:before="0" w:after="283"/>
              <w:jc w:val="right"/>
              <w:rPr>
                <w:b/>
              </w:rPr>
            </w:pPr>
            <w:r>
              <w:rPr>
                <w:b/>
              </w:rPr>
              <w:t>281.7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b/>
              </w:rPr>
            </w:pPr>
            <w:r>
              <w:rPr>
                <w:b/>
              </w:rPr>
              <w:t>$</w:t>
            </w:r>
          </w:p>
        </w:tc>
        <w:tc>
          <w:tcPr>
            <w:tcW w:w="1228" w:type="dxa"/>
            <w:tcBorders/>
            <w:vAlign w:val="bottom"/>
          </w:tcPr>
          <w:p>
            <w:pPr>
              <w:pStyle w:val="TableContents"/>
              <w:bidi w:val="0"/>
              <w:spacing w:before="0" w:after="283"/>
              <w:jc w:val="right"/>
              <w:rPr>
                <w:b/>
              </w:rPr>
            </w:pPr>
            <w:r>
              <w:rPr>
                <w:b/>
              </w:rPr>
              <w:t>425.8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15" w:type="dxa"/>
            <w:tcBorders/>
            <w:vAlign w:val="bottom"/>
          </w:tcPr>
          <w:p>
            <w:pPr>
              <w:pStyle w:val="TableContents"/>
              <w:bidi w:val="0"/>
              <w:spacing w:before="0" w:after="283"/>
              <w:jc w:val="right"/>
              <w:rPr>
                <w:b/>
              </w:rPr>
            </w:pPr>
            <w:r>
              <w:rPr>
                <w:b/>
              </w:rPr>
              <w:t>(1,057.3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1216" w:type="dxa"/>
            <w:tcBorders/>
            <w:vAlign w:val="bottom"/>
          </w:tcPr>
          <w:p>
            <w:pPr>
              <w:pStyle w:val="TableContents"/>
              <w:bidi w:val="0"/>
              <w:spacing w:before="0" w:after="283"/>
              <w:jc w:val="right"/>
              <w:rPr>
                <w:b/>
              </w:rPr>
            </w:pPr>
            <w:r>
              <w:rPr>
                <w:b/>
              </w:rPr>
              <w:t>345.9</w:t>
            </w:r>
          </w:p>
        </w:tc>
        <w:tc>
          <w:tcPr>
            <w:tcW w:w="155"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974.8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197.5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242.1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439.6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1,508.5</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performance and restricted share units (Note 31)</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deferred shared units (Note 31)</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capital stock</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1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28)</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 on earnout rights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r>
      <w:tr>
        <w:trPr/>
        <w:tc>
          <w:tcPr>
            <w:tcW w:w="2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 (Note 32)</w:t>
            </w:r>
          </w:p>
        </w:tc>
        <w:tc>
          <w:tcPr>
            <w:tcW w:w="12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0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1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88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2025</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975.5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036" w:type="dxa"/>
            <w:tcBorders/>
            <w:vAlign w:val="bottom"/>
          </w:tcPr>
          <w:p>
            <w:pPr>
              <w:pStyle w:val="TableContents"/>
              <w:bidi w:val="0"/>
              <w:spacing w:before="0" w:after="283"/>
              <w:jc w:val="right"/>
              <w:rPr/>
            </w:pPr>
            <w:r>
              <w:rPr/>
              <w:t>196.0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pPr>
            <w:r>
              <w:rPr/>
              <w:t>246.0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442.0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69.9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16" w:type="dxa"/>
            <w:tcBorders/>
            <w:vAlign w:val="bottom"/>
          </w:tcPr>
          <w:p>
            <w:pPr>
              <w:pStyle w:val="TableContents"/>
              <w:bidi w:val="0"/>
              <w:spacing w:before="0" w:after="283"/>
              <w:jc w:val="right"/>
              <w:rPr/>
            </w:pPr>
            <w:r>
              <w:rPr/>
              <w:t>1,483.1</w:t>
            </w:r>
          </w:p>
        </w:tc>
        <w:tc>
          <w:tcPr>
            <w:tcW w:w="155" w:type="dxa"/>
            <w:tcBorders/>
            <w:vAlign w:val="bottom"/>
          </w:tcPr>
          <w:p>
            <w:pPr>
              <w:pStyle w:val="TableContents"/>
              <w:bidi w:val="0"/>
              <w:spacing w:before="0" w:after="283"/>
              <w:jc w:val="left"/>
              <w:rPr/>
            </w:pPr>
            <w:r>
              <w:rPr/>
              <w:t> </w:t>
            </w:r>
          </w:p>
        </w:tc>
      </w:tr>
      <w:tr>
        <w:trPr/>
        <w:tc>
          <w:tcPr>
            <w:tcW w:w="2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0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1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accompanying notes to the condensed interim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0" w:after="0"/>
        <w:jc w:val="left"/>
        <w:rPr>
          <w:rFonts w:ascii="Times New Roman" w:hAnsi="Times New Roman"/>
          <w:b/>
          <w:sz w:val="20"/>
        </w:rPr>
      </w:pPr>
      <w:r>
        <w:rPr>
          <w:rFonts w:ascii="Times New Roman" w:hAnsi="Times New Roman"/>
          <w:b/>
          <w:sz w:val="20"/>
        </w:rPr>
        <w:t xml:space="preserve">Condensed Interim Consolidated Statements of Cash Flows </w:t>
      </w:r>
    </w:p>
    <w:p>
      <w:pPr>
        <w:pStyle w:val="TextBody"/>
        <w:bidi w:val="0"/>
        <w:spacing w:before="0" w:after="0"/>
        <w:jc w:val="left"/>
        <w:rPr>
          <w:rFonts w:ascii="Times New Roman" w:hAnsi="Times New Roman"/>
          <w:i/>
          <w:sz w:val="20"/>
        </w:rPr>
      </w:pPr>
      <w:r>
        <w:rPr>
          <w:rFonts w:ascii="Times New Roman" w:hAnsi="Times New Roman"/>
          <w:i/>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95"/>
        <w:gridCol w:w="230"/>
        <w:gridCol w:w="193"/>
        <w:gridCol w:w="879"/>
        <w:gridCol w:w="155"/>
        <w:gridCol w:w="184"/>
        <w:gridCol w:w="179"/>
        <w:gridCol w:w="832"/>
        <w:gridCol w:w="158"/>
      </w:tblGrid>
      <w:tr>
        <w:trPr/>
        <w:tc>
          <w:tcPr>
            <w:tcW w:w="739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9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23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i/>
              </w:rPr>
            </w:pPr>
            <w:r>
              <w:rPr>
                <w:i/>
              </w:rPr>
              <w:t>expressed in millions of Canadian dollars</w:t>
            </w:r>
          </w:p>
        </w:tc>
        <w:tc>
          <w:tcPr>
            <w:tcW w:w="23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1"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(24.5</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Items not affecting cash:</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plant and equipment and intangible assets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33.4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35.0</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recovery (Note 20)</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(2.0</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Pension funding in excess of expense</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(1.8</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Post-employment benefit funding in excess of expense</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(1.9</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(1.7</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 on accrued pension liability</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(2.4</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0.2</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 on accrued post-employment benefit obligations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(3.3</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0.2</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 (Note 6)</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17.8</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plant and equipment and intangible assets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pension and other post-employment benefit obligations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(Note 26)</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(50.0</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governmental loans and environmental liabilities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(2.2</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 on government loan facilities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0.2</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fair value of IPO and LETL Warrant liabilities (Note 16) (Note 27)</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(39.1</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fair value of earnout liability (Note 28)</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fair value of share-based payment compensation liability (Note 29)</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(15.4</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4.6</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(125.7</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(72.9</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non-cash operating working capital (Note 24)</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107.0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165.4</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liabilities paid</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(0.4</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 proceeds for operating expenses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6.5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(used in) generated by operating activities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(12.2</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92.1</w:t>
            </w:r>
          </w:p>
        </w:tc>
        <w:tc>
          <w:tcPr>
            <w:tcW w:w="158"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property, plant and equipment (Note 11)</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(127.0</w:t>
            </w:r>
          </w:p>
        </w:tc>
        <w:tc>
          <w:tcPr>
            <w:tcW w:w="158"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used in investing activities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(20.4</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(127.0</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indebtedness repaid, net (Note 12)</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(103.8</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(Note 7)</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Governmental loans received (Note 16)</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127.5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governmental loans (Note 16)</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(6.3</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(3.7</w:t>
            </w:r>
          </w:p>
        </w:tc>
        <w:tc>
          <w:tcPr>
            <w:tcW w:w="155" w:type="dxa"/>
            <w:tcBorders/>
            <w:shd w:fill="CCEEFF" w:val="clear"/>
            <w:vAlign w:val="bottom"/>
          </w:tcPr>
          <w:p>
            <w:pPr>
              <w:pStyle w:val="TableContents"/>
              <w:bidi w:val="0"/>
              <w:spacing w:before="0" w:after="283"/>
              <w:jc w:val="left"/>
              <w:rPr>
                <w:b/>
              </w:rPr>
            </w:pPr>
            <w:r>
              <w:rPr>
                <w:b/>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(0.7</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generated by (used in) financing activities</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19.3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(5.3</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1.1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(0.2</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cash</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(12.2</w:t>
            </w:r>
          </w:p>
        </w:tc>
        <w:tc>
          <w:tcPr>
            <w:tcW w:w="155" w:type="dxa"/>
            <w:tcBorders/>
            <w:vAlign w:val="bottom"/>
          </w:tcPr>
          <w:p>
            <w:pPr>
              <w:pStyle w:val="TableContents"/>
              <w:bidi w:val="0"/>
              <w:spacing w:before="0" w:after="283"/>
              <w:jc w:val="left"/>
              <w:rPr>
                <w:b/>
              </w:rPr>
            </w:pPr>
            <w:r>
              <w:rPr>
                <w:b/>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(40.4</w:t>
            </w:r>
          </w:p>
        </w:tc>
        <w:tc>
          <w:tcPr>
            <w:tcW w:w="158" w:type="dxa"/>
            <w:tcBorders/>
            <w:vAlign w:val="bottom"/>
          </w:tcPr>
          <w:p>
            <w:pPr>
              <w:pStyle w:val="TableContents"/>
              <w:bidi w:val="0"/>
              <w:spacing w:before="0" w:after="283"/>
              <w:jc w:val="left"/>
              <w:rPr/>
            </w:pPr>
            <w:r>
              <w:rPr/>
              <w:t>) </w:t>
            </w:r>
          </w:p>
        </w:tc>
      </w:tr>
      <w:tr>
        <w:trPr/>
        <w:tc>
          <w:tcPr>
            <w:tcW w:w="7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3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77.5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266.9</w:t>
            </w:r>
          </w:p>
        </w:tc>
        <w:tc>
          <w:tcPr>
            <w:tcW w:w="158" w:type="dxa"/>
            <w:tcBorders/>
            <w:shd w:fill="CCEEFF" w:val="clear"/>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95" w:type="dxa"/>
            <w:tcBorders/>
          </w:tcPr>
          <w:p>
            <w:pPr>
              <w:pStyle w:val="TableContents"/>
              <w:bidi w:val="0"/>
              <w:spacing w:before="0" w:after="0"/>
              <w:jc w:val="left"/>
              <w:rPr>
                <w:rFonts w:ascii="Times New Roman" w:hAnsi="Times New Roman"/>
                <w:b/>
                <w:sz w:val="20"/>
              </w:rPr>
            </w:pPr>
            <w:r>
              <w:rPr>
                <w:rFonts w:ascii="Times New Roman" w:hAnsi="Times New Roman"/>
                <w:b/>
                <w:sz w:val="20"/>
              </w:rPr>
              <w:t>Ending balance (Note 7)</w:t>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9" w:type="dxa"/>
            <w:tcBorders/>
            <w:vAlign w:val="bottom"/>
          </w:tcPr>
          <w:p>
            <w:pPr>
              <w:pStyle w:val="TableContents"/>
              <w:bidi w:val="0"/>
              <w:spacing w:before="0" w:after="283"/>
              <w:jc w:val="right"/>
              <w:rPr>
                <w:b/>
              </w:rPr>
            </w:pPr>
            <w:r>
              <w:rPr>
                <w:b/>
              </w:rPr>
              <w:t>65.3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226.5</w:t>
            </w:r>
          </w:p>
        </w:tc>
        <w:tc>
          <w:tcPr>
            <w:tcW w:w="158" w:type="dxa"/>
            <w:tcBorders/>
            <w:vAlign w:val="bottom"/>
          </w:tcPr>
          <w:p>
            <w:pPr>
              <w:pStyle w:val="TableContents"/>
              <w:bidi w:val="0"/>
              <w:spacing w:before="0" w:after="283"/>
              <w:jc w:val="left"/>
              <w:rPr/>
            </w:pPr>
            <w:r>
              <w:rPr/>
              <w:t> </w:t>
            </w:r>
          </w:p>
        </w:tc>
      </w:tr>
      <w:tr>
        <w:trPr/>
        <w:tc>
          <w:tcPr>
            <w:tcW w:w="7395"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accompanying notes to the condensed interim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GENERAL INFORMATION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Algoma Steel Group Inc., formerly known as 1295908 B.C. Ltd. (the “Company”), was incorporated on March 23, 2021 under the Business Corporations Act of British Columbia solely for the purpose of purchasing Algoma Steel Holdings Inc. The Company’s publicly traded securities under the symbol ‘ASTL’ and ASTLW’ are listed on the Toronto Stock Exchange (TSX) and the Nasdaq Stock Market (Nasdaq). Algoma Steel Group Inc. is the ultimate parent holding company of Algoma Steel Inc. and does not conduct any business operations. </w:t>
      </w:r>
    </w:p>
    <w:p>
      <w:pPr>
        <w:pStyle w:val="TextBody"/>
        <w:bidi w:val="0"/>
        <w:spacing w:before="120" w:after="0"/>
        <w:jc w:val="both"/>
        <w:rPr>
          <w:rFonts w:ascii="Times New Roman" w:hAnsi="Times New Roman"/>
          <w:sz w:val="20"/>
        </w:rPr>
      </w:pPr>
      <w:r>
        <w:rPr>
          <w:rFonts w:ascii="Times New Roman" w:hAnsi="Times New Roman"/>
          <w:sz w:val="20"/>
        </w:rPr>
        <w:t xml:space="preserve">Algoma Steel Inc. (“ASI”), the operating company and a wholly-owned subsidiary of Algoma Steel Holdings Inc. was incorporated on May 19, 2016 under the Business Corporations Act of British Columbia. ASI is a producer of hot and cold rolled steel products with its active operations located entirely in Sault Ste. Marie, Ontario, Canada. ASI produces sheet and plate products that are sold primarily in Canada and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The registered address of the Company is 1055 West Hastings Street, Vancouver, British Columbia, Canada. The head office of the Company is located at 105 West Street, Sault Ste. Marie, Ontario, Canada. </w:t>
      </w:r>
    </w:p>
    <w:p>
      <w:pPr>
        <w:pStyle w:val="TextBody"/>
        <w:bidi w:val="0"/>
        <w:spacing w:before="120" w:after="0"/>
        <w:jc w:val="both"/>
        <w:rPr>
          <w:rFonts w:ascii="Times New Roman" w:hAnsi="Times New Roman"/>
          <w:sz w:val="20"/>
        </w:rPr>
      </w:pPr>
      <w:r>
        <w:rPr>
          <w:rFonts w:ascii="Times New Roman" w:hAnsi="Times New Roman"/>
          <w:sz w:val="20"/>
        </w:rPr>
        <w:t xml:space="preserve">The condensed interim consolidated financial statements of the Company as at March 31, 2026 and December 31, 2025 and for the three month periods ended March 31, 2026 and 2025 are comprised of the Company and its wholly-owned subsidiaries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Steel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Steel Intermediate Holdings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Steel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Steel Inc. USA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Docks GP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Algoma Docks Limited Partnership </w:t>
            </w:r>
          </w:p>
        </w:tc>
      </w:tr>
    </w:tbl>
    <w:p>
      <w:pPr>
        <w:pStyle w:val="TextBody"/>
        <w:bidi w:val="0"/>
        <w:spacing w:before="120" w:after="0"/>
        <w:jc w:val="both"/>
        <w:rPr>
          <w:rFonts w:ascii="Times New Roman" w:hAnsi="Times New Roman"/>
          <w:sz w:val="20"/>
        </w:rPr>
      </w:pPr>
      <w:r>
        <w:rPr>
          <w:rFonts w:ascii="Times New Roman" w:hAnsi="Times New Roman"/>
          <w:sz w:val="20"/>
        </w:rPr>
        <w:t xml:space="preserve">Algoma Steel Holdings Inc., Algoma Steel Intermediate Holdings Inc. and Algoma Docks GP Inc. are holding companies and do not conduct any business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Statement of compliance </w:t>
      </w:r>
    </w:p>
    <w:p>
      <w:pPr>
        <w:pStyle w:val="TextBody"/>
        <w:bidi w:val="0"/>
        <w:spacing w:before="120" w:after="0"/>
        <w:jc w:val="both"/>
        <w:rPr>
          <w:rFonts w:ascii="Times New Roman" w:hAnsi="Times New Roman"/>
          <w:sz w:val="20"/>
        </w:rPr>
      </w:pPr>
      <w:r>
        <w:rPr>
          <w:rFonts w:ascii="Times New Roman" w:hAnsi="Times New Roman"/>
          <w:sz w:val="20"/>
        </w:rPr>
        <w:t xml:space="preserve">These condensed interim consolidated financial statements have been prepared in accordance with IAS 34 </w:t>
      </w:r>
      <w:r>
        <w:rPr>
          <w:rFonts w:ascii="Times New Roman" w:hAnsi="Times New Roman"/>
          <w:i/>
          <w:sz w:val="20"/>
        </w:rPr>
        <w:t xml:space="preserve">Interim Financial Reporting </w:t>
      </w:r>
      <w:r>
        <w:rPr>
          <w:rFonts w:ascii="Times New Roman" w:hAnsi="Times New Roman"/>
          <w:sz w:val="20"/>
        </w:rPr>
        <w:t xml:space="preserve">as issued by the International Accounting Standards Board (“IASB”). </w:t>
      </w:r>
    </w:p>
    <w:p>
      <w:pPr>
        <w:pStyle w:val="TextBody"/>
        <w:bidi w:val="0"/>
        <w:spacing w:before="120" w:after="0"/>
        <w:jc w:val="both"/>
        <w:rPr>
          <w:rFonts w:ascii="Times New Roman" w:hAnsi="Times New Roman"/>
          <w:sz w:val="20"/>
        </w:rPr>
      </w:pPr>
      <w:r>
        <w:rPr>
          <w:rFonts w:ascii="Times New Roman" w:hAnsi="Times New Roman"/>
          <w:sz w:val="20"/>
        </w:rPr>
        <w:t xml:space="preserve">Certain information and footnote disclosure normally included in annual financial statements prepared in accordance with IFRS® Accounting Standards (“IFRS Accounting Standards”), as issued by the IASB, have been omitted or condensed. The preparation of financial statements in accordance with IAS 34 requires the use of certain critical accounting estimates. It also requires management to exercise judgment in applying the Company’s accounting policies. The areas involving a higher degree of judgment or complexity, or areas where assumptions and estimates are significant to the financial statements have been set out in Note 5 of the Company’s annual consolidated financial statements for the year ended December 31, 2025 and the nine month period ended December 31, 2024. The accounting policies and accounting judgements used in the preparation of these condensed interim consolidated financial statements are consistent with those used in the Company’s annual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BASIS OF PRESENTATION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These condensed interim consolidated financial statements should be read in conjunction with the Company’s annual consolidated financial statements for the year ended December 31, 2025 and the nine month period ended December 31, 2024. </w:t>
      </w:r>
    </w:p>
    <w:p>
      <w:pPr>
        <w:pStyle w:val="TextBody"/>
        <w:bidi w:val="0"/>
        <w:spacing w:before="120" w:after="0"/>
        <w:jc w:val="both"/>
        <w:rPr>
          <w:rFonts w:ascii="Times New Roman" w:hAnsi="Times New Roman"/>
          <w:sz w:val="20"/>
        </w:rPr>
      </w:pPr>
      <w:r>
        <w:rPr>
          <w:rFonts w:ascii="Times New Roman" w:hAnsi="Times New Roman"/>
          <w:sz w:val="20"/>
        </w:rPr>
        <w:t xml:space="preserve">These condensed interim consolidated financial statements have been approved by the Board of Directors, and authorized for issuance on May 11, 2026. </w:t>
      </w:r>
    </w:p>
    <w:p>
      <w:pPr>
        <w:pStyle w:val="TextBody"/>
        <w:bidi w:val="0"/>
        <w:spacing w:before="120" w:after="0"/>
        <w:jc w:val="both"/>
        <w:rPr>
          <w:rFonts w:ascii="Times New Roman" w:hAnsi="Times New Roman"/>
          <w:sz w:val="20"/>
        </w:rPr>
      </w:pPr>
      <w:r>
        <w:rPr>
          <w:rFonts w:ascii="Times New Roman" w:hAnsi="Times New Roman"/>
          <w:sz w:val="20"/>
        </w:rPr>
        <w:t xml:space="preserve">The condensed interim consolidated financial statements have been prepared on a going concern assumption using historical cost basis, except for certain financial instruments that are measured at fair value, as explained in the accounting policies disclosed in Note 4 to the Company’s annual consolidated financial statements for the year ended December 31, 2025 and the nine month period ended December 31, 2024. Historical cost is generally based on the fair value of the consideration given in exchange for assets. The going concern assumption assumes the realization of assets and the discharge of liabilities in the normal course of business.  </w:t>
      </w:r>
    </w:p>
    <w:p>
      <w:pPr>
        <w:pStyle w:val="TextBody"/>
        <w:bidi w:val="0"/>
        <w:spacing w:before="120" w:after="0"/>
        <w:jc w:val="both"/>
        <w:rPr>
          <w:rFonts w:ascii="Times New Roman" w:hAnsi="Times New Roman"/>
          <w:b/>
          <w:sz w:val="20"/>
        </w:rPr>
      </w:pPr>
      <w:r>
        <w:rPr>
          <w:rFonts w:ascii="Times New Roman" w:hAnsi="Times New Roman"/>
          <w:b/>
          <w:sz w:val="20"/>
        </w:rPr>
        <w:t xml:space="preserve">Functional and presentation currency </w:t>
      </w:r>
    </w:p>
    <w:p>
      <w:pPr>
        <w:pStyle w:val="TextBody"/>
        <w:bidi w:val="0"/>
        <w:spacing w:before="120" w:after="0"/>
        <w:jc w:val="both"/>
        <w:rPr>
          <w:rFonts w:ascii="Times New Roman" w:hAnsi="Times New Roman"/>
          <w:sz w:val="20"/>
        </w:rPr>
      </w:pPr>
      <w:r>
        <w:rPr>
          <w:rFonts w:ascii="Times New Roman" w:hAnsi="Times New Roman"/>
          <w:sz w:val="20"/>
        </w:rPr>
        <w:t xml:space="preserve">The Company and its subsidiaries’ functional currency is the United States dollar (“US dollar”). The US dollar is the currency of the primary economic environment in which the Company and its subsidiaries operate.  </w:t>
      </w:r>
    </w:p>
    <w:p>
      <w:pPr>
        <w:pStyle w:val="TextBody"/>
        <w:bidi w:val="0"/>
        <w:spacing w:before="120" w:after="0"/>
        <w:jc w:val="both"/>
        <w:rPr>
          <w:rFonts w:ascii="Times New Roman" w:hAnsi="Times New Roman"/>
          <w:sz w:val="20"/>
        </w:rPr>
      </w:pPr>
      <w:r>
        <w:rPr>
          <w:rFonts w:ascii="Times New Roman" w:hAnsi="Times New Roman"/>
          <w:sz w:val="20"/>
        </w:rPr>
        <w:t xml:space="preserve">For reporting purposes, the condensed interim consolidated financial statements are presented in millions of Canadian dollars (“$C”). The assets and liabilities are translated into the reporting currency using exchange rates prevailing at the end of each reporting period. Income and expense items are translated at average exchange rates for the reporting period. Exchange differences arising are recognized in other comprehensive (loss) income and accumulated in equity under the heading ‘Foreign exchange on translation to presentation currency’.  </w:t>
      </w:r>
    </w:p>
    <w:p>
      <w:pPr>
        <w:pStyle w:val="TextBody"/>
        <w:bidi w:val="0"/>
        <w:spacing w:before="120" w:after="0"/>
        <w:jc w:val="both"/>
        <w:rPr>
          <w:rFonts w:ascii="Times New Roman" w:hAnsi="Times New Roman"/>
          <w:sz w:val="20"/>
        </w:rPr>
      </w:pPr>
      <w:r>
        <w:rPr>
          <w:rFonts w:ascii="Times New Roman" w:hAnsi="Times New Roman"/>
          <w:sz w:val="20"/>
        </w:rPr>
        <w:t xml:space="preserve">Equity transactions, as disclosed in Note 22, are translated at the historical exchange rates. The resulting net translation adjustment has been recorded in other comprehensive (loss) income for the year. </w:t>
      </w:r>
    </w:p>
    <w:p>
      <w:pPr>
        <w:pStyle w:val="TextBody"/>
        <w:bidi w:val="0"/>
        <w:spacing w:before="120" w:after="0"/>
        <w:jc w:val="left"/>
        <w:rPr>
          <w:rFonts w:ascii="Times New Roman" w:hAnsi="Times New Roman"/>
          <w:b/>
          <w:sz w:val="20"/>
        </w:rPr>
      </w:pPr>
      <w:r>
        <w:rPr>
          <w:rFonts w:ascii="Times New Roman" w:hAnsi="Times New Roman"/>
          <w:b/>
          <w:sz w:val="20"/>
        </w:rPr>
        <w:t xml:space="preserve">Standards and Interpretations issued and not yet adopted </w:t>
      </w:r>
    </w:p>
    <w:p>
      <w:pPr>
        <w:pStyle w:val="TextBody"/>
        <w:bidi w:val="0"/>
        <w:spacing w:before="120" w:after="0"/>
        <w:jc w:val="left"/>
        <w:rPr>
          <w:rFonts w:ascii="Times New Roman" w:hAnsi="Times New Roman"/>
          <w:i/>
          <w:sz w:val="20"/>
        </w:rPr>
      </w:pPr>
      <w:r>
        <w:rPr>
          <w:rFonts w:ascii="Times New Roman" w:hAnsi="Times New Roman"/>
          <w:i/>
          <w:sz w:val="20"/>
        </w:rPr>
        <w:t xml:space="preserve">Presentation and Disclosure in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In April 2024, the IASB issued IFRS 18, </w:t>
      </w:r>
      <w:r>
        <w:rPr>
          <w:rFonts w:ascii="Times New Roman" w:hAnsi="Times New Roman"/>
          <w:i/>
          <w:sz w:val="20"/>
        </w:rPr>
        <w:t>Presentation and Disclosure in Financial Statements</w:t>
      </w:r>
      <w:r>
        <w:rPr>
          <w:rFonts w:ascii="Times New Roman" w:hAnsi="Times New Roman"/>
          <w:sz w:val="20"/>
        </w:rPr>
        <w:t xml:space="preserve">. IFRS 18 replaces IAS 1, </w:t>
      </w:r>
      <w:r>
        <w:rPr>
          <w:rFonts w:ascii="Times New Roman" w:hAnsi="Times New Roman"/>
          <w:i/>
          <w:sz w:val="20"/>
        </w:rPr>
        <w:t>Presentation of Financial Statements</w:t>
      </w:r>
      <w:r>
        <w:rPr>
          <w:rFonts w:ascii="Times New Roman" w:hAnsi="Times New Roman"/>
          <w:sz w:val="20"/>
        </w:rPr>
        <w:t xml:space="preserve"> and sets out requirements for the presentation and disclosure of information in general purpose financial statements. The standard applies to annual reporting periods beginning on or after January 1, 2027 and is to be applied retrospectively, with early adoption permitted. The Company is currently assessing the impact on the condensed interim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New IFRS Standards, Amendments and Interpretations adopted as of January 1, 2026 </w:t>
      </w:r>
    </w:p>
    <w:p>
      <w:pPr>
        <w:pStyle w:val="TextBody"/>
        <w:bidi w:val="0"/>
        <w:spacing w:before="120" w:after="0"/>
        <w:jc w:val="both"/>
        <w:rPr>
          <w:rFonts w:ascii="Times New Roman" w:hAnsi="Times New Roman"/>
          <w:sz w:val="20"/>
        </w:rPr>
      </w:pPr>
      <w:r>
        <w:rPr>
          <w:rFonts w:ascii="Times New Roman" w:hAnsi="Times New Roman"/>
          <w:sz w:val="20"/>
        </w:rPr>
        <w:t xml:space="preserve">The Company adopted the following amendments which did not have a material impact on the condensed interim consolidated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Amendments to the Classification and Measurement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In May 2024, the IASB issued Amendments to the Classification and Measurement of Financial Instruments (Amendments to IFRS 9 and IFRS 7). These amendments updated classification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BASIS OF PRESENTATION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measurement requirements in IFRS 9 Financial Instruments and related disclosure requirements in IFRS 7 Financial Instruments: Disclosures. The IASB clarified the recognition and derecognition date of certain financial assets and liabilities, and amended the requirements related to settling financial liabilities using an electronic payment system. 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The IASB added disclosure requirements for financial instruments with contingent features that do not relate directly to basic lending risks and costs, and amended disclosures relating to equity instruments designated at fair value through other comprehensive (loss) income.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is viewed as a single reportable segment involving steel production for purposes of internal performance measurement and resource allocation. The Chief Executive Officer is the Chief Operating Decision Maker.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9"/>
        <w:gridCol w:w="308"/>
        <w:gridCol w:w="214"/>
        <w:gridCol w:w="857"/>
        <w:gridCol w:w="60"/>
        <w:gridCol w:w="308"/>
        <w:gridCol w:w="199"/>
        <w:gridCol w:w="806"/>
        <w:gridCol w:w="64"/>
      </w:tblGrid>
      <w:tr>
        <w:trPr/>
        <w:tc>
          <w:tcPr>
            <w:tcW w:w="4939"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 period ended</w:t>
            </w:r>
          </w:p>
        </w:tc>
        <w:tc>
          <w:tcPr>
            <w:tcW w:w="308"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4" w:type="dxa"/>
            <w:tcBorders/>
            <w:vAlign w:val="bottom"/>
          </w:tcPr>
          <w:p>
            <w:pPr>
              <w:pStyle w:val="TableContents"/>
              <w:bidi w:val="0"/>
              <w:spacing w:before="0" w:after="283"/>
              <w:jc w:val="left"/>
              <w:rPr/>
            </w:pPr>
            <w:r>
              <w:rPr/>
              <w:t> </w:t>
            </w:r>
          </w:p>
        </w:tc>
      </w:tr>
      <w:tr>
        <w:trPr/>
        <w:tc>
          <w:tcPr>
            <w:tcW w:w="4939" w:type="dxa"/>
            <w:tcBorders/>
            <w:shd w:fill="CCEEFF" w:val="clear"/>
          </w:tcPr>
          <w:p>
            <w:pPr>
              <w:pStyle w:val="TableContents"/>
              <w:bidi w:val="0"/>
              <w:spacing w:before="0" w:after="0"/>
              <w:jc w:val="both"/>
              <w:rPr>
                <w:rFonts w:ascii="Times New Roman" w:hAnsi="Times New Roman"/>
                <w:i/>
                <w:sz w:val="20"/>
              </w:rPr>
            </w:pPr>
            <w:r>
              <w:rPr>
                <w:rFonts w:ascii="Times New Roman" w:hAnsi="Times New Roman"/>
                <w:i/>
                <w:sz w:val="20"/>
              </w:rPr>
              <w:t>Total revenue is comprised of:</w:t>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Sheet &amp; Strip</w:t>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7" w:type="dxa"/>
            <w:tcBorders/>
            <w:vAlign w:val="bottom"/>
          </w:tcPr>
          <w:p>
            <w:pPr>
              <w:pStyle w:val="TableContents"/>
              <w:bidi w:val="0"/>
              <w:spacing w:before="0" w:after="283"/>
              <w:jc w:val="right"/>
              <w:rPr>
                <w:b/>
              </w:rPr>
            </w:pPr>
            <w:r>
              <w:rPr>
                <w:b/>
              </w:rPr>
              <w:t>106.1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341.3</w:t>
            </w:r>
          </w:p>
        </w:tc>
        <w:tc>
          <w:tcPr>
            <w:tcW w:w="64" w:type="dxa"/>
            <w:tcBorders/>
            <w:vAlign w:val="bottom"/>
          </w:tcPr>
          <w:p>
            <w:pPr>
              <w:pStyle w:val="TableContents"/>
              <w:bidi w:val="0"/>
              <w:spacing w:before="0" w:after="283"/>
              <w:jc w:val="left"/>
              <w:rPr/>
            </w:pPr>
            <w:r>
              <w:rPr/>
              <w:t> </w:t>
            </w:r>
          </w:p>
        </w:tc>
      </w:tr>
      <w:tr>
        <w:trPr/>
        <w:tc>
          <w:tcPr>
            <w:tcW w:w="49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Plate</w:t>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b/>
              </w:rPr>
            </w:pPr>
            <w:r>
              <w:rPr>
                <w:b/>
              </w:rPr>
              <w:t>160.8</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121.1</w:t>
            </w:r>
          </w:p>
        </w:tc>
        <w:tc>
          <w:tcPr>
            <w:tcW w:w="64" w:type="dxa"/>
            <w:tcBorders/>
            <w:shd w:fill="CCEEFF" w:val="clear"/>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Slab</w:t>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0.8</w:t>
            </w:r>
          </w:p>
        </w:tc>
        <w:tc>
          <w:tcPr>
            <w:tcW w:w="64" w:type="dxa"/>
            <w:tcBorders/>
            <w:vAlign w:val="bottom"/>
          </w:tcPr>
          <w:p>
            <w:pPr>
              <w:pStyle w:val="TableContents"/>
              <w:bidi w:val="0"/>
              <w:spacing w:before="0" w:after="283"/>
              <w:jc w:val="left"/>
              <w:rPr/>
            </w:pPr>
            <w:r>
              <w:rPr/>
              <w:t> </w:t>
            </w:r>
          </w:p>
        </w:tc>
      </w:tr>
      <w:tr>
        <w:trPr/>
        <w:tc>
          <w:tcPr>
            <w:tcW w:w="49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Freight</w:t>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b/>
              </w:rPr>
            </w:pPr>
            <w:r>
              <w:rPr>
                <w:b/>
              </w:rPr>
              <w:t>26.6</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51.1</w:t>
            </w:r>
          </w:p>
        </w:tc>
        <w:tc>
          <w:tcPr>
            <w:tcW w:w="64" w:type="dxa"/>
            <w:tcBorders/>
            <w:shd w:fill="CCEEFF" w:val="clear"/>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Non-steel revenue</w:t>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3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296.9</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517.1</w:t>
            </w:r>
          </w:p>
        </w:tc>
        <w:tc>
          <w:tcPr>
            <w:tcW w:w="64" w:type="dxa"/>
            <w:tcBorders/>
            <w:shd w:fill="CCEEFF" w:val="clear"/>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39" w:type="dxa"/>
            <w:tcBorders/>
          </w:tcPr>
          <w:p>
            <w:pPr>
              <w:pStyle w:val="TableContents"/>
              <w:bidi w:val="0"/>
              <w:spacing w:before="0" w:after="0"/>
              <w:jc w:val="both"/>
              <w:rPr>
                <w:rFonts w:ascii="Times New Roman" w:hAnsi="Times New Roman"/>
                <w:i/>
                <w:sz w:val="20"/>
              </w:rPr>
            </w:pPr>
            <w:r>
              <w:rPr>
                <w:rFonts w:ascii="Times New Roman" w:hAnsi="Times New Roman"/>
                <w:i/>
                <w:sz w:val="20"/>
              </w:rPr>
              <w:t>The geographical distribution of total revenue is as follows:</w:t>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9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Sales to customers in Canada</w:t>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193.1</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223.5</w:t>
            </w:r>
          </w:p>
        </w:tc>
        <w:tc>
          <w:tcPr>
            <w:tcW w:w="64" w:type="dxa"/>
            <w:tcBorders/>
            <w:shd w:fill="CCEEFF" w:val="clear"/>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to customers in the United States</w:t>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b/>
              </w:rPr>
            </w:pPr>
            <w:r>
              <w:rPr>
                <w:b/>
              </w:rPr>
              <w:t>96.1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287.2</w:t>
            </w:r>
          </w:p>
        </w:tc>
        <w:tc>
          <w:tcPr>
            <w:tcW w:w="64" w:type="dxa"/>
            <w:tcBorders/>
            <w:vAlign w:val="bottom"/>
          </w:tcPr>
          <w:p>
            <w:pPr>
              <w:pStyle w:val="TableContents"/>
              <w:bidi w:val="0"/>
              <w:spacing w:before="0" w:after="283"/>
              <w:jc w:val="left"/>
              <w:rPr/>
            </w:pPr>
            <w:r>
              <w:rPr/>
              <w:t> </w:t>
            </w:r>
          </w:p>
        </w:tc>
      </w:tr>
      <w:tr>
        <w:trPr/>
        <w:tc>
          <w:tcPr>
            <w:tcW w:w="49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Sales to customers in the rest of the world</w:t>
            </w:r>
          </w:p>
        </w:tc>
        <w:tc>
          <w:tcPr>
            <w:tcW w:w="30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b/>
              </w:rPr>
            </w:pPr>
            <w:r>
              <w:rPr>
                <w:b/>
              </w:rPr>
              <w:t>7.7</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6.4</w:t>
            </w:r>
          </w:p>
        </w:tc>
        <w:tc>
          <w:tcPr>
            <w:tcW w:w="64" w:type="dxa"/>
            <w:tcBorders/>
            <w:shd w:fill="CCEEFF" w:val="clear"/>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3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7" w:type="dxa"/>
            <w:tcBorders/>
            <w:vAlign w:val="bottom"/>
          </w:tcPr>
          <w:p>
            <w:pPr>
              <w:pStyle w:val="TableContents"/>
              <w:bidi w:val="0"/>
              <w:spacing w:before="0" w:after="283"/>
              <w:jc w:val="right"/>
              <w:rPr>
                <w:b/>
              </w:rPr>
            </w:pPr>
            <w:r>
              <w:rPr>
                <w:b/>
              </w:rPr>
              <w:t>296.9</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517.1</w:t>
            </w:r>
          </w:p>
        </w:tc>
        <w:tc>
          <w:tcPr>
            <w:tcW w:w="6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sales totalling $38.9 million and $32.9 million related to two customers represented greater than 10% of total revenue. For the three month period ended March 31, 2025, sales to any one customer did not represent greater than 10% of total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COST OF SALES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94"/>
        <w:gridCol w:w="396"/>
        <w:gridCol w:w="214"/>
        <w:gridCol w:w="859"/>
        <w:gridCol w:w="60"/>
        <w:gridCol w:w="396"/>
        <w:gridCol w:w="214"/>
        <w:gridCol w:w="859"/>
        <w:gridCol w:w="63"/>
      </w:tblGrid>
      <w:tr>
        <w:trPr/>
        <w:tc>
          <w:tcPr>
            <w:tcW w:w="4694"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94" w:type="dxa"/>
            <w:tcBorders/>
            <w:vAlign w:val="bottom"/>
          </w:tcPr>
          <w:p>
            <w:pPr>
              <w:pStyle w:val="TableContents"/>
              <w:bidi w:val="0"/>
              <w:spacing w:before="0" w:after="283"/>
              <w:jc w:val="left"/>
              <w:rPr>
                <w:u w:val="single"/>
              </w:rPr>
            </w:pPr>
            <w:r>
              <w:rPr>
                <w:u w:val="single"/>
              </w:rPr>
              <w:t>Three month period ended</w:t>
            </w:r>
          </w:p>
        </w:tc>
        <w:tc>
          <w:tcPr>
            <w:tcW w:w="396"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3" w:type="dxa"/>
            <w:tcBorders/>
            <w:vAlign w:val="bottom"/>
          </w:tcPr>
          <w:p>
            <w:pPr>
              <w:pStyle w:val="TableContents"/>
              <w:bidi w:val="0"/>
              <w:spacing w:before="0" w:after="283"/>
              <w:jc w:val="left"/>
              <w:rPr/>
            </w:pPr>
            <w:r>
              <w:rPr/>
              <w:t> </w:t>
            </w:r>
          </w:p>
        </w:tc>
      </w:tr>
      <w:tr>
        <w:trPr/>
        <w:tc>
          <w:tcPr>
            <w:tcW w:w="469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cost of sales is comprised of:</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0"/>
              <w:jc w:val="left"/>
              <w:rPr>
                <w:rFonts w:ascii="Times New Roman" w:hAnsi="Times New Roman"/>
                <w:sz w:val="20"/>
              </w:rPr>
            </w:pPr>
            <w:r>
              <w:rPr>
                <w:rFonts w:ascii="Times New Roman" w:hAnsi="Times New Roman"/>
                <w:sz w:val="20"/>
              </w:rPr>
              <w:t>Cost of steel revenue</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9" w:type="dxa"/>
            <w:tcBorders/>
            <w:vAlign w:val="bottom"/>
          </w:tcPr>
          <w:p>
            <w:pPr>
              <w:pStyle w:val="TableContents"/>
              <w:bidi w:val="0"/>
              <w:spacing w:before="0" w:after="283"/>
              <w:jc w:val="right"/>
              <w:rPr>
                <w:b/>
              </w:rPr>
            </w:pPr>
            <w:r>
              <w:rPr>
                <w:b/>
              </w:rPr>
              <w:t>366.1</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561.7</w:t>
            </w:r>
          </w:p>
        </w:tc>
        <w:tc>
          <w:tcPr>
            <w:tcW w:w="63" w:type="dxa"/>
            <w:tcBorders/>
            <w:vAlign w:val="bottom"/>
          </w:tcPr>
          <w:p>
            <w:pPr>
              <w:pStyle w:val="TableContents"/>
              <w:bidi w:val="0"/>
              <w:spacing w:before="0" w:after="283"/>
              <w:jc w:val="left"/>
              <w:rPr/>
            </w:pPr>
            <w:r>
              <w:rPr/>
              <w:t> </w:t>
            </w:r>
          </w:p>
        </w:tc>
      </w:tr>
      <w:tr>
        <w:trPr/>
        <w:tc>
          <w:tcPr>
            <w:tcW w:w="4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steel tariffs</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27.4</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10.5</w:t>
            </w:r>
          </w:p>
        </w:tc>
        <w:tc>
          <w:tcPr>
            <w:tcW w:w="63" w:type="dxa"/>
            <w:tcBorders/>
            <w:shd w:fill="CCEEFF" w:val="clear"/>
            <w:vAlign w:val="bottom"/>
          </w:tcPr>
          <w:p>
            <w:pPr>
              <w:pStyle w:val="TableContents"/>
              <w:bidi w:val="0"/>
              <w:spacing w:before="0" w:after="283"/>
              <w:jc w:val="left"/>
              <w:rPr/>
            </w:pPr>
            <w:r>
              <w:rPr/>
              <w:t> </w:t>
            </w:r>
          </w:p>
        </w:tc>
      </w:tr>
      <w:tr>
        <w:trPr/>
        <w:tc>
          <w:tcPr>
            <w:tcW w:w="4694" w:type="dxa"/>
            <w:tcBorders/>
          </w:tcPr>
          <w:p>
            <w:pPr>
              <w:pStyle w:val="TableContents"/>
              <w:bidi w:val="0"/>
              <w:spacing w:before="0" w:after="0"/>
              <w:jc w:val="left"/>
              <w:rPr>
                <w:rFonts w:ascii="Times New Roman" w:hAnsi="Times New Roman"/>
                <w:sz w:val="20"/>
              </w:rPr>
            </w:pPr>
            <w:r>
              <w:rPr>
                <w:rFonts w:ascii="Times New Roman" w:hAnsi="Times New Roman"/>
                <w:sz w:val="20"/>
              </w:rPr>
              <w:t>Cost of freight revenue</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rPr>
            </w:pPr>
            <w:r>
              <w:rPr>
                <w:b/>
              </w:rPr>
              <w:t>26.6</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51.1</w:t>
            </w:r>
          </w:p>
        </w:tc>
        <w:tc>
          <w:tcPr>
            <w:tcW w:w="63" w:type="dxa"/>
            <w:tcBorders/>
            <w:vAlign w:val="bottom"/>
          </w:tcPr>
          <w:p>
            <w:pPr>
              <w:pStyle w:val="TableContents"/>
              <w:bidi w:val="0"/>
              <w:spacing w:before="0" w:after="283"/>
              <w:jc w:val="left"/>
              <w:rPr/>
            </w:pPr>
            <w:r>
              <w:rPr/>
              <w:t> </w:t>
            </w:r>
          </w:p>
        </w:tc>
      </w:tr>
      <w:tr>
        <w:trPr/>
        <w:tc>
          <w:tcPr>
            <w:tcW w:w="4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non-steel revenue</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b/>
              </w:rPr>
            </w:pPr>
            <w:r>
              <w:rPr>
                <w:b/>
              </w:rPr>
              <w:t>3.4</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2.8</w:t>
            </w:r>
          </w:p>
        </w:tc>
        <w:tc>
          <w:tcPr>
            <w:tcW w:w="63" w:type="dxa"/>
            <w:tcBorders/>
            <w:shd w:fill="CCEEFF" w:val="clear"/>
            <w:vAlign w:val="bottom"/>
          </w:tcPr>
          <w:p>
            <w:pPr>
              <w:pStyle w:val="TableContents"/>
              <w:bidi w:val="0"/>
              <w:spacing w:before="0" w:after="283"/>
              <w:jc w:val="left"/>
              <w:rPr/>
            </w:pPr>
            <w:r>
              <w:rPr/>
              <w:t> </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9" w:type="dxa"/>
            <w:tcBorders/>
            <w:vAlign w:val="bottom"/>
          </w:tcPr>
          <w:p>
            <w:pPr>
              <w:pStyle w:val="TableContents"/>
              <w:bidi w:val="0"/>
              <w:spacing w:before="0" w:after="283"/>
              <w:jc w:val="right"/>
              <w:rPr>
                <w:b/>
              </w:rPr>
            </w:pPr>
            <w:r>
              <w:rPr>
                <w:b/>
              </w:rPr>
              <w:t>423.5</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626.1</w:t>
            </w:r>
          </w:p>
        </w:tc>
        <w:tc>
          <w:tcPr>
            <w:tcW w:w="63" w:type="dxa"/>
            <w:tcBorders/>
            <w:vAlign w:val="bottom"/>
          </w:tcPr>
          <w:p>
            <w:pPr>
              <w:pStyle w:val="TableContents"/>
              <w:bidi w:val="0"/>
              <w:spacing w:before="0" w:after="283"/>
              <w:jc w:val="left"/>
              <w:rPr/>
            </w:pPr>
            <w:r>
              <w:rPr/>
              <w:t> </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94" w:type="dxa"/>
            <w:tcBorders/>
            <w:shd w:fill="CCEEFF" w:val="clear"/>
            <w:vAlign w:val="bottom"/>
          </w:tcPr>
          <w:p>
            <w:pPr>
              <w:pStyle w:val="TableContents"/>
              <w:bidi w:val="0"/>
              <w:spacing w:before="0" w:after="0"/>
              <w:jc w:val="left"/>
              <w:rPr>
                <w:rFonts w:ascii="Times New Roman" w:hAnsi="Times New Roman"/>
                <w:i/>
                <w:sz w:val="20"/>
              </w:rPr>
            </w:pPr>
            <w:r>
              <w:rPr>
                <w:rFonts w:ascii="Times New Roman" w:hAnsi="Times New Roman"/>
                <w:i/>
                <w:sz w:val="20"/>
              </w:rPr>
              <w:t>Inventories recognized as cost of sales:</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9" w:type="dxa"/>
            <w:tcBorders/>
            <w:shd w:fill="CCEEFF" w:val="clear"/>
            <w:vAlign w:val="bottom"/>
          </w:tcPr>
          <w:p>
            <w:pPr>
              <w:pStyle w:val="TableContents"/>
              <w:bidi w:val="0"/>
              <w:spacing w:before="0" w:after="283"/>
              <w:jc w:val="right"/>
              <w:rPr>
                <w:b/>
              </w:rPr>
            </w:pPr>
            <w:r>
              <w:rPr>
                <w:b/>
              </w:rPr>
              <w:t>396.9</w:t>
            </w:r>
          </w:p>
        </w:tc>
        <w:tc>
          <w:tcPr>
            <w:tcW w:w="60"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575.0</w:t>
            </w:r>
          </w:p>
        </w:tc>
        <w:tc>
          <w:tcPr>
            <w:tcW w:w="63" w:type="dxa"/>
            <w:tcBorders/>
            <w:shd w:fill="CCEEFF" w:val="clear"/>
            <w:vAlign w:val="bottom"/>
          </w:tcPr>
          <w:p>
            <w:pPr>
              <w:pStyle w:val="TableContents"/>
              <w:bidi w:val="0"/>
              <w:spacing w:before="0" w:after="283"/>
              <w:jc w:val="left"/>
              <w:rPr/>
            </w:pPr>
            <w:r>
              <w:rPr/>
              <w:t> </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94" w:type="dxa"/>
            <w:tcBorders/>
          </w:tcPr>
          <w:p>
            <w:pPr>
              <w:pStyle w:val="TableContents"/>
              <w:bidi w:val="0"/>
              <w:spacing w:before="0" w:after="0"/>
              <w:jc w:val="left"/>
              <w:rPr>
                <w:rFonts w:ascii="Times New Roman" w:hAnsi="Times New Roman"/>
                <w:sz w:val="20"/>
              </w:rPr>
            </w:pPr>
            <w:r>
              <w:rPr>
                <w:rFonts w:ascii="Times New Roman" w:hAnsi="Times New Roman"/>
                <w:sz w:val="20"/>
              </w:rPr>
              <w:t>Net inventory write-downs as a result of net realizable value lower than cost included in cost of sales:</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Depreciation included in cost of steel revenue for the three month period ended March 31, 2026 was $33.3 million (March 31, 2025 - $34.8 million). Wages and benefits included in cost of steel revenue for the three month period ended March 31, 2026 was $70.6 million (March 31, 2025 - $86.5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Federal Greenhouse Gas Pollution Pricing Act </w:t>
      </w:r>
    </w:p>
    <w:p>
      <w:pPr>
        <w:pStyle w:val="TextBody"/>
        <w:bidi w:val="0"/>
        <w:spacing w:before="120" w:after="0"/>
        <w:jc w:val="both"/>
        <w:rPr>
          <w:rFonts w:ascii="Times New Roman" w:hAnsi="Times New Roman"/>
          <w:sz w:val="20"/>
        </w:rPr>
      </w:pPr>
      <w:r>
        <w:rPr>
          <w:rFonts w:ascii="Times New Roman" w:hAnsi="Times New Roman"/>
          <w:sz w:val="20"/>
        </w:rPr>
        <w:t xml:space="preserve">During the three month period ended March 31, 2026, total Carbon Tax recognized in cost of sales was $6.0 million (March 31, 2025 - $3.5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United States Steel Tariffs </w:t>
      </w:r>
    </w:p>
    <w:p>
      <w:pPr>
        <w:pStyle w:val="TextBody"/>
        <w:bidi w:val="0"/>
        <w:spacing w:before="120" w:after="0"/>
        <w:jc w:val="both"/>
        <w:rPr>
          <w:rFonts w:ascii="Times New Roman" w:hAnsi="Times New Roman"/>
          <w:sz w:val="20"/>
        </w:rPr>
      </w:pPr>
      <w:r>
        <w:rPr>
          <w:rFonts w:ascii="Times New Roman" w:hAnsi="Times New Roman"/>
          <w:sz w:val="20"/>
        </w:rPr>
        <w:t xml:space="preserve">Pursuant to Section 232 of the Trade Expansion Act of 1962, the Unites States imposed 25% ad valorem tariffs for steel articles, aluminum articles, and steel and aluminum derivative (i.e. “downstream” articles), without exclusions. The tariffs were effective March 4, 2025, paused on March 6, 2025, and then reinstated March 12, 2025. Further, on June 4, 2025, the tariffs were increased to 50% for all steel and aluminum imports to the United States. Tariff costs of $27.4 million were included in Cost of Sales for the three month period ended March 31, 2026 (March 31, 2025 - $10.5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ADMINISTRATIVE AND SELLING EXPENSES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2"/>
        <w:gridCol w:w="422"/>
        <w:gridCol w:w="258"/>
        <w:gridCol w:w="814"/>
        <w:gridCol w:w="155"/>
        <w:gridCol w:w="377"/>
        <w:gridCol w:w="240"/>
        <w:gridCol w:w="763"/>
        <w:gridCol w:w="64"/>
      </w:tblGrid>
      <w:tr>
        <w:trPr/>
        <w:tc>
          <w:tcPr>
            <w:tcW w:w="4662"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62" w:type="dxa"/>
            <w:tcBorders/>
            <w:vAlign w:val="bottom"/>
          </w:tcPr>
          <w:p>
            <w:pPr>
              <w:pStyle w:val="TableContents"/>
              <w:bidi w:val="0"/>
              <w:spacing w:before="0" w:after="283"/>
              <w:jc w:val="left"/>
              <w:rPr>
                <w:u w:val="single"/>
              </w:rPr>
            </w:pPr>
            <w:r>
              <w:rPr>
                <w:u w:val="single"/>
              </w:rPr>
              <w:t>Three month period ended</w:t>
            </w:r>
          </w:p>
        </w:tc>
        <w:tc>
          <w:tcPr>
            <w:tcW w:w="422"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4" w:type="dxa"/>
            <w:tcBorders/>
            <w:vAlign w:val="bottom"/>
          </w:tcPr>
          <w:p>
            <w:pPr>
              <w:pStyle w:val="TableContents"/>
              <w:bidi w:val="0"/>
              <w:spacing w:before="0" w:after="283"/>
              <w:jc w:val="left"/>
              <w:rPr/>
            </w:pPr>
            <w:r>
              <w:rPr/>
              <w:t> </w:t>
            </w:r>
          </w:p>
        </w:tc>
      </w:tr>
      <w:tr>
        <w:trPr/>
        <w:tc>
          <w:tcPr>
            <w:tcW w:w="466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Administrative and selling expense is comprised of:</w:t>
            </w:r>
          </w:p>
        </w:tc>
        <w:tc>
          <w:tcPr>
            <w:tcW w:w="42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7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662" w:type="dxa"/>
            <w:tcBorders/>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4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w:t>
            </w:r>
          </w:p>
        </w:tc>
        <w:tc>
          <w:tcPr>
            <w:tcW w:w="42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3.7</w:t>
            </w:r>
          </w:p>
        </w:tc>
        <w:tc>
          <w:tcPr>
            <w:tcW w:w="64" w:type="dxa"/>
            <w:tcBorders/>
            <w:shd w:fill="CCEEFF" w:val="clear"/>
            <w:vAlign w:val="bottom"/>
          </w:tcPr>
          <w:p>
            <w:pPr>
              <w:pStyle w:val="TableContents"/>
              <w:bidi w:val="0"/>
              <w:spacing w:before="0" w:after="283"/>
              <w:jc w:val="left"/>
              <w:rPr/>
            </w:pPr>
            <w:r>
              <w:rPr/>
              <w:t> </w:t>
            </w:r>
          </w:p>
        </w:tc>
      </w:tr>
      <w:tr>
        <w:trPr/>
        <w:tc>
          <w:tcPr>
            <w:tcW w:w="4662"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consulting, legal and other fees</w:t>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3.1</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4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42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8.7</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8.8</w:t>
            </w:r>
          </w:p>
        </w:tc>
        <w:tc>
          <w:tcPr>
            <w:tcW w:w="64" w:type="dxa"/>
            <w:tcBorders/>
            <w:shd w:fill="CCEEFF" w:val="clear"/>
            <w:vAlign w:val="bottom"/>
          </w:tcPr>
          <w:p>
            <w:pPr>
              <w:pStyle w:val="TableContents"/>
              <w:bidi w:val="0"/>
              <w:spacing w:before="0" w:after="283"/>
              <w:jc w:val="left"/>
              <w:rPr/>
            </w:pPr>
            <w:r>
              <w:rPr/>
              <w:t> </w:t>
            </w:r>
          </w:p>
        </w:tc>
      </w:tr>
      <w:tr>
        <w:trPr/>
        <w:tc>
          <w:tcPr>
            <w:tcW w:w="4662" w:type="dxa"/>
            <w:tcBorders/>
          </w:tcPr>
          <w:p>
            <w:pPr>
              <w:pStyle w:val="TableContents"/>
              <w:bidi w:val="0"/>
              <w:spacing w:before="0" w:after="0"/>
              <w:jc w:val="left"/>
              <w:rPr>
                <w:rFonts w:ascii="Times New Roman" w:hAnsi="Times New Roman"/>
                <w:sz w:val="20"/>
              </w:rPr>
            </w:pPr>
            <w:r>
              <w:rPr>
                <w:rFonts w:ascii="Times New Roman" w:hAnsi="Times New Roman"/>
                <w:sz w:val="20"/>
              </w:rPr>
              <w:t>Software licenses</w:t>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1.7</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4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 (Note 9)</w:t>
            </w:r>
          </w:p>
        </w:tc>
        <w:tc>
          <w:tcPr>
            <w:tcW w:w="42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(0.9</w:t>
            </w:r>
          </w:p>
        </w:tc>
        <w:tc>
          <w:tcPr>
            <w:tcW w:w="155" w:type="dxa"/>
            <w:tcBorders/>
            <w:shd w:fill="CCEEFF" w:val="clear"/>
            <w:vAlign w:val="bottom"/>
          </w:tcPr>
          <w:p>
            <w:pPr>
              <w:pStyle w:val="TableContents"/>
              <w:bidi w:val="0"/>
              <w:spacing w:before="0" w:after="283"/>
              <w:jc w:val="left"/>
              <w:rPr>
                <w:b/>
              </w:rPr>
            </w:pPr>
            <w:r>
              <w:rPr>
                <w:b/>
              </w:rPr>
              <w:t>) </w:t>
            </w:r>
          </w:p>
        </w:tc>
        <w:tc>
          <w:tcPr>
            <w:tcW w:w="37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0.7</w:t>
            </w:r>
          </w:p>
        </w:tc>
        <w:tc>
          <w:tcPr>
            <w:tcW w:w="64" w:type="dxa"/>
            <w:tcBorders/>
            <w:shd w:fill="CCEEFF" w:val="clear"/>
            <w:vAlign w:val="bottom"/>
          </w:tcPr>
          <w:p>
            <w:pPr>
              <w:pStyle w:val="TableContents"/>
              <w:bidi w:val="0"/>
              <w:spacing w:before="0" w:after="283"/>
              <w:jc w:val="left"/>
              <w:rPr/>
            </w:pPr>
            <w:r>
              <w:rPr/>
              <w:t> </w:t>
            </w:r>
          </w:p>
        </w:tc>
      </w:tr>
      <w:tr>
        <w:trPr/>
        <w:tc>
          <w:tcPr>
            <w:tcW w:w="466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 and non-producing assets</w:t>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0.1</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0.2</w:t>
            </w:r>
          </w:p>
        </w:tc>
        <w:tc>
          <w:tcPr>
            <w:tcW w:w="64" w:type="dxa"/>
            <w:tcBorders/>
            <w:vAlign w:val="bottom"/>
          </w:tcPr>
          <w:p>
            <w:pPr>
              <w:pStyle w:val="TableContents"/>
              <w:bidi w:val="0"/>
              <w:spacing w:before="0" w:after="283"/>
              <w:jc w:val="left"/>
              <w:rPr/>
            </w:pPr>
            <w:r>
              <w:rPr/>
              <w:t> </w:t>
            </w:r>
          </w:p>
        </w:tc>
      </w:tr>
      <w:tr>
        <w:trPr/>
        <w:tc>
          <w:tcPr>
            <w:tcW w:w="46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administrative and selling</w:t>
            </w:r>
          </w:p>
        </w:tc>
        <w:tc>
          <w:tcPr>
            <w:tcW w:w="42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3.3</w:t>
            </w:r>
          </w:p>
        </w:tc>
        <w:tc>
          <w:tcPr>
            <w:tcW w:w="64" w:type="dxa"/>
            <w:tcBorders/>
            <w:shd w:fill="CCEEFF" w:val="clear"/>
            <w:vAlign w:val="bottom"/>
          </w:tcPr>
          <w:p>
            <w:pPr>
              <w:pStyle w:val="TableContents"/>
              <w:bidi w:val="0"/>
              <w:spacing w:before="0" w:after="283"/>
              <w:jc w:val="left"/>
              <w:rPr/>
            </w:pPr>
            <w:r>
              <w:rPr/>
              <w:t> </w:t>
            </w:r>
          </w:p>
        </w:tc>
      </w:tr>
      <w:tr>
        <w:trPr/>
        <w:tc>
          <w:tcPr>
            <w:tcW w:w="4662"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62"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b/>
              </w:rPr>
            </w:pPr>
            <w:r>
              <w:rPr>
                <w:b/>
              </w:rPr>
              <w:t>$</w:t>
            </w:r>
          </w:p>
        </w:tc>
        <w:tc>
          <w:tcPr>
            <w:tcW w:w="814" w:type="dxa"/>
            <w:tcBorders/>
            <w:vAlign w:val="bottom"/>
          </w:tcPr>
          <w:p>
            <w:pPr>
              <w:pStyle w:val="TableContents"/>
              <w:bidi w:val="0"/>
              <w:spacing w:before="0" w:after="283"/>
              <w:jc w:val="right"/>
              <w:rPr>
                <w:b/>
              </w:rPr>
            </w:pPr>
            <w:r>
              <w:rPr>
                <w:b/>
              </w:rPr>
              <w:t>26.9</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63" w:type="dxa"/>
            <w:tcBorders/>
            <w:vAlign w:val="bottom"/>
          </w:tcPr>
          <w:p>
            <w:pPr>
              <w:pStyle w:val="TableContents"/>
              <w:bidi w:val="0"/>
              <w:spacing w:before="0" w:after="283"/>
              <w:jc w:val="right"/>
              <w:rPr/>
            </w:pPr>
            <w:r>
              <w:rPr/>
              <w:t>30.9</w:t>
            </w:r>
          </w:p>
        </w:tc>
        <w:tc>
          <w:tcPr>
            <w:tcW w:w="64" w:type="dxa"/>
            <w:tcBorders/>
            <w:vAlign w:val="bottom"/>
          </w:tcPr>
          <w:p>
            <w:pPr>
              <w:pStyle w:val="TableContents"/>
              <w:bidi w:val="0"/>
              <w:spacing w:before="0" w:after="283"/>
              <w:jc w:val="left"/>
              <w:rPr/>
            </w:pPr>
            <w:r>
              <w:rPr/>
              <w:t> </w:t>
            </w:r>
          </w:p>
        </w:tc>
      </w:tr>
      <w:tr>
        <w:trPr/>
        <w:tc>
          <w:tcPr>
            <w:tcW w:w="4662"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FINANCE COSTS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40"/>
        <w:gridCol w:w="377"/>
        <w:gridCol w:w="258"/>
        <w:gridCol w:w="817"/>
        <w:gridCol w:w="155"/>
        <w:gridCol w:w="339"/>
        <w:gridCol w:w="240"/>
        <w:gridCol w:w="765"/>
        <w:gridCol w:w="64"/>
      </w:tblGrid>
      <w:tr>
        <w:trPr/>
        <w:tc>
          <w:tcPr>
            <w:tcW w:w="474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Finance costs are comprised of:</w:t>
            </w:r>
          </w:p>
        </w:tc>
        <w:tc>
          <w:tcPr>
            <w:tcW w:w="3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senior secured lien notes (Note 15)</w:t>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b/>
              </w:rPr>
            </w:pPr>
            <w:r>
              <w:rPr>
                <w:b/>
              </w:rPr>
              <w:t>$</w:t>
            </w:r>
          </w:p>
        </w:tc>
        <w:tc>
          <w:tcPr>
            <w:tcW w:w="817" w:type="dxa"/>
            <w:tcBorders/>
            <w:vAlign w:val="bottom"/>
          </w:tcPr>
          <w:p>
            <w:pPr>
              <w:pStyle w:val="TableContents"/>
              <w:bidi w:val="0"/>
              <w:spacing w:before="0" w:after="283"/>
              <w:jc w:val="right"/>
              <w:rPr>
                <w:b/>
              </w:rPr>
            </w:pPr>
            <w:r>
              <w:rPr>
                <w:b/>
              </w:rPr>
              <w:t>10.5</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Revolving Credit Facility fees</w:t>
            </w:r>
          </w:p>
        </w:tc>
        <w:tc>
          <w:tcPr>
            <w:tcW w:w="3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b/>
              </w:rPr>
            </w:pPr>
            <w:r>
              <w:rPr>
                <w:b/>
              </w:rPr>
              <w:t>0.6</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0.8</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the Revolving Credit Facility (Note 12)</w:t>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2.0</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on Large Enterprise Tariff Loan (LETL) Facilities</w:t>
            </w:r>
          </w:p>
        </w:tc>
        <w:tc>
          <w:tcPr>
            <w:tcW w:w="3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b/>
              </w:rPr>
            </w:pPr>
            <w:r>
              <w:rPr>
                <w:b/>
              </w:rPr>
              <w:t>1.4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financing arrangement</w:t>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0.5</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0.2</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interest (recovery) expense</w:t>
            </w:r>
          </w:p>
        </w:tc>
        <w:tc>
          <w:tcPr>
            <w:tcW w:w="3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b/>
              </w:rPr>
            </w:pPr>
            <w:r>
              <w:rPr>
                <w:b/>
              </w:rPr>
              <w:t>(1.9</w:t>
            </w:r>
          </w:p>
        </w:tc>
        <w:tc>
          <w:tcPr>
            <w:tcW w:w="155" w:type="dxa"/>
            <w:tcBorders/>
            <w:shd w:fill="CCEEFF" w:val="clear"/>
            <w:vAlign w:val="bottom"/>
          </w:tcPr>
          <w:p>
            <w:pPr>
              <w:pStyle w:val="TableContents"/>
              <w:bidi w:val="0"/>
              <w:spacing w:before="0" w:after="283"/>
              <w:jc w:val="left"/>
              <w:rPr>
                <w:b/>
              </w:rPr>
            </w:pPr>
            <w:r>
              <w:rPr>
                <w:b/>
              </w:rPr>
              <w:t>) </w:t>
            </w:r>
          </w:p>
        </w:tc>
        <w:tc>
          <w:tcPr>
            <w:tcW w:w="33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1.2</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loan amendment fair value benefit (Note 16)</w:t>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(7.0</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Unwinding of issuance costs of debt facilities and accretion of governmental loan benefits and discounts on environmental liabilities (Note 12, 16)</w:t>
            </w:r>
          </w:p>
        </w:tc>
        <w:tc>
          <w:tcPr>
            <w:tcW w:w="37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b/>
              </w:rPr>
            </w:pPr>
            <w:r>
              <w:rPr>
                <w:b/>
              </w:rPr>
              <w:t>5.4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4.6</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4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b/>
              </w:rPr>
            </w:pPr>
            <w:r>
              <w:rPr>
                <w:b/>
              </w:rPr>
              <w:t>$</w:t>
            </w:r>
          </w:p>
        </w:tc>
        <w:tc>
          <w:tcPr>
            <w:tcW w:w="817"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17.8</w:t>
            </w:r>
          </w:p>
        </w:tc>
        <w:tc>
          <w:tcPr>
            <w:tcW w:w="64" w:type="dxa"/>
            <w:tcBorders/>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CASH AND RESTRICTED CASH </w:t>
            </w:r>
          </w:p>
        </w:tc>
      </w:tr>
    </w:tbl>
    <w:p>
      <w:pPr>
        <w:pStyle w:val="TextBody"/>
        <w:bidi w:val="0"/>
        <w:spacing w:before="120" w:after="0"/>
        <w:jc w:val="both"/>
        <w:rPr>
          <w:rFonts w:ascii="Times New Roman" w:hAnsi="Times New Roman"/>
          <w:sz w:val="20"/>
        </w:rPr>
      </w:pPr>
      <w:r>
        <w:rPr>
          <w:rFonts w:ascii="Times New Roman" w:hAnsi="Times New Roman"/>
          <w:sz w:val="20"/>
        </w:rPr>
        <w:t xml:space="preserve">At March 31, 2026, the Company had $65.3 million of cash (December 31, 2025 – $77.5 million) and restricted cash of nil (December 31, 2025 – $0.1 million). Restricted cash was held to provide collateral for letters of credit and other obligations of the Company at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TAXES RECEIVABLE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1"/>
        <w:gridCol w:w="431"/>
        <w:gridCol w:w="214"/>
        <w:gridCol w:w="864"/>
        <w:gridCol w:w="60"/>
        <w:gridCol w:w="431"/>
        <w:gridCol w:w="275"/>
        <w:gridCol w:w="1104"/>
        <w:gridCol w:w="65"/>
      </w:tblGrid>
      <w:tr>
        <w:trPr/>
        <w:tc>
          <w:tcPr>
            <w:tcW w:w="4311"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1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at,</w:t>
            </w:r>
          </w:p>
        </w:tc>
        <w:tc>
          <w:tcPr>
            <w:tcW w:w="431"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5" w:type="dxa"/>
            <w:tcBorders/>
            <w:vAlign w:val="bottom"/>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The carrying amount of:</w:t>
            </w:r>
          </w:p>
        </w:tc>
        <w:tc>
          <w:tcPr>
            <w:tcW w:w="4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Sales taxes receivable</w:t>
            </w:r>
          </w:p>
        </w:tc>
        <w:tc>
          <w:tcPr>
            <w:tcW w:w="4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4" w:type="dxa"/>
            <w:tcBorders/>
            <w:vAlign w:val="bottom"/>
          </w:tcPr>
          <w:p>
            <w:pPr>
              <w:pStyle w:val="TableContents"/>
              <w:bidi w:val="0"/>
              <w:spacing w:before="0" w:after="283"/>
              <w:jc w:val="right"/>
              <w:rPr>
                <w:b/>
              </w:rPr>
            </w:pPr>
            <w:r>
              <w:rPr>
                <w:b/>
              </w:rPr>
              <w:t>7.7</w:t>
            </w:r>
          </w:p>
        </w:tc>
        <w:tc>
          <w:tcPr>
            <w:tcW w:w="60"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3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receivable</w:t>
            </w:r>
          </w:p>
        </w:tc>
        <w:tc>
          <w:tcPr>
            <w:tcW w:w="4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b/>
              </w:rPr>
            </w:pPr>
            <w:r>
              <w:rPr>
                <w:b/>
              </w:rPr>
              <w:t>205.2</w:t>
            </w:r>
          </w:p>
        </w:tc>
        <w:tc>
          <w:tcPr>
            <w:tcW w:w="60"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201.8</w:t>
            </w:r>
          </w:p>
        </w:tc>
        <w:tc>
          <w:tcPr>
            <w:tcW w:w="65" w:type="dxa"/>
            <w:tcBorders/>
            <w:shd w:fill="CCEEFF" w:val="clear"/>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4" w:type="dxa"/>
            <w:tcBorders/>
            <w:vAlign w:val="bottom"/>
          </w:tcPr>
          <w:p>
            <w:pPr>
              <w:pStyle w:val="TableContents"/>
              <w:bidi w:val="0"/>
              <w:spacing w:before="0" w:after="283"/>
              <w:jc w:val="right"/>
              <w:rPr>
                <w:b/>
              </w:rPr>
            </w:pPr>
            <w:r>
              <w:rPr>
                <w:b/>
              </w:rPr>
              <w:t>212.9</w:t>
            </w:r>
          </w:p>
        </w:tc>
        <w:tc>
          <w:tcPr>
            <w:tcW w:w="60"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206.9</w:t>
            </w:r>
          </w:p>
        </w:tc>
        <w:tc>
          <w:tcPr>
            <w:tcW w:w="65"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ACCOUNTS RECEIVABLE, NET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32"/>
        <w:gridCol w:w="396"/>
        <w:gridCol w:w="214"/>
        <w:gridCol w:w="886"/>
        <w:gridCol w:w="155"/>
        <w:gridCol w:w="355"/>
        <w:gridCol w:w="271"/>
        <w:gridCol w:w="1089"/>
        <w:gridCol w:w="157"/>
      </w:tblGrid>
      <w:tr>
        <w:trPr/>
        <w:tc>
          <w:tcPr>
            <w:tcW w:w="4232"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3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at,</w:t>
            </w:r>
          </w:p>
        </w:tc>
        <w:tc>
          <w:tcPr>
            <w:tcW w:w="396"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157" w:type="dxa"/>
            <w:tcBorders/>
            <w:vAlign w:val="bottom"/>
          </w:tcPr>
          <w:p>
            <w:pPr>
              <w:pStyle w:val="TableContents"/>
              <w:bidi w:val="0"/>
              <w:spacing w:before="0" w:after="283"/>
              <w:jc w:val="left"/>
              <w:rPr/>
            </w:pPr>
            <w:r>
              <w:rPr/>
              <w:t> </w:t>
            </w:r>
          </w:p>
        </w:tc>
      </w:tr>
      <w:tr>
        <w:trPr/>
        <w:tc>
          <w:tcPr>
            <w:tcW w:w="423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The carrying amount of:</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2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86" w:type="dxa"/>
            <w:tcBorders/>
            <w:vAlign w:val="bottom"/>
          </w:tcPr>
          <w:p>
            <w:pPr>
              <w:pStyle w:val="TableContents"/>
              <w:bidi w:val="0"/>
              <w:spacing w:before="0" w:after="283"/>
              <w:jc w:val="right"/>
              <w:rPr>
                <w:b/>
              </w:rPr>
            </w:pPr>
            <w:r>
              <w:rPr>
                <w:b/>
              </w:rPr>
              <w:t>139.7</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172.4</w:t>
            </w:r>
          </w:p>
        </w:tc>
        <w:tc>
          <w:tcPr>
            <w:tcW w:w="157" w:type="dxa"/>
            <w:tcBorders/>
            <w:vAlign w:val="bottom"/>
          </w:tcPr>
          <w:p>
            <w:pPr>
              <w:pStyle w:val="TableContents"/>
              <w:bidi w:val="0"/>
              <w:spacing w:before="0" w:after="283"/>
              <w:jc w:val="left"/>
              <w:rPr/>
            </w:pPr>
            <w:r>
              <w:rPr/>
              <w:t> </w:t>
            </w:r>
          </w:p>
        </w:tc>
      </w:tr>
      <w:tr>
        <w:trPr/>
        <w:tc>
          <w:tcPr>
            <w:tcW w:w="4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(8.2</w:t>
            </w:r>
          </w:p>
        </w:tc>
        <w:tc>
          <w:tcPr>
            <w:tcW w:w="155" w:type="dxa"/>
            <w:tcBorders/>
            <w:shd w:fill="CCEEFF" w:val="clear"/>
            <w:vAlign w:val="bottom"/>
          </w:tcPr>
          <w:p>
            <w:pPr>
              <w:pStyle w:val="TableContents"/>
              <w:bidi w:val="0"/>
              <w:spacing w:before="0" w:after="283"/>
              <w:jc w:val="left"/>
              <w:rPr>
                <w:b/>
              </w:rPr>
            </w:pPr>
            <w:r>
              <w:rPr>
                <w:b/>
              </w:rPr>
              <w:t>) </w:t>
            </w:r>
          </w:p>
        </w:tc>
        <w:tc>
          <w:tcPr>
            <w:tcW w:w="3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(9.0</w:t>
            </w:r>
          </w:p>
        </w:tc>
        <w:tc>
          <w:tcPr>
            <w:tcW w:w="157" w:type="dxa"/>
            <w:tcBorders/>
            <w:shd w:fill="CCEEFF" w:val="clear"/>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loan claims receivable</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42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Ministry of Industry, Strategic Innovation Fund (“Federal SIF”) Agreement</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20.0</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20.0</w:t>
            </w:r>
          </w:p>
        </w:tc>
        <w:tc>
          <w:tcPr>
            <w:tcW w:w="157" w:type="dxa"/>
            <w:tcBorders/>
            <w:shd w:fill="CCEEFF" w:val="clear"/>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Northern Industrial Electricity Rate program rebate receivable</w:t>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3.4</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2.6</w:t>
            </w:r>
          </w:p>
        </w:tc>
        <w:tc>
          <w:tcPr>
            <w:tcW w:w="157" w:type="dxa"/>
            <w:tcBorders/>
            <w:vAlign w:val="bottom"/>
          </w:tcPr>
          <w:p>
            <w:pPr>
              <w:pStyle w:val="TableContents"/>
              <w:bidi w:val="0"/>
              <w:spacing w:before="0" w:after="283"/>
              <w:jc w:val="left"/>
              <w:rPr/>
            </w:pPr>
            <w:r>
              <w:rPr/>
              <w:t> </w:t>
            </w:r>
          </w:p>
        </w:tc>
      </w:tr>
      <w:tr>
        <w:trPr/>
        <w:tc>
          <w:tcPr>
            <w:tcW w:w="4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39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3.5</w:t>
            </w:r>
          </w:p>
        </w:tc>
        <w:tc>
          <w:tcPr>
            <w:tcW w:w="155"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6.7</w:t>
            </w:r>
          </w:p>
        </w:tc>
        <w:tc>
          <w:tcPr>
            <w:tcW w:w="157" w:type="dxa"/>
            <w:tcBorders/>
            <w:shd w:fill="CCEEFF" w:val="clear"/>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232"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86" w:type="dxa"/>
            <w:tcBorders/>
            <w:vAlign w:val="bottom"/>
          </w:tcPr>
          <w:p>
            <w:pPr>
              <w:pStyle w:val="TableContents"/>
              <w:bidi w:val="0"/>
              <w:spacing w:before="0" w:after="283"/>
              <w:jc w:val="right"/>
              <w:rPr>
                <w:b/>
              </w:rPr>
            </w:pPr>
            <w:r>
              <w:rPr>
                <w:b/>
              </w:rPr>
              <w:t>158.4</w:t>
            </w:r>
          </w:p>
        </w:tc>
        <w:tc>
          <w:tcPr>
            <w:tcW w:w="155"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192.7</w:t>
            </w:r>
          </w:p>
        </w:tc>
        <w:tc>
          <w:tcPr>
            <w:tcW w:w="157" w:type="dxa"/>
            <w:tcBorders/>
            <w:vAlign w:val="bottom"/>
          </w:tcPr>
          <w:p>
            <w:pPr>
              <w:pStyle w:val="TableContents"/>
              <w:bidi w:val="0"/>
              <w:spacing w:before="0" w:after="283"/>
              <w:jc w:val="left"/>
              <w:rPr/>
            </w:pPr>
            <w:r>
              <w:rPr/>
              <w:t> </w:t>
            </w:r>
          </w:p>
        </w:tc>
      </w:tr>
      <w:tr>
        <w:trPr/>
        <w:tc>
          <w:tcPr>
            <w:tcW w:w="4232"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ACCOUNTS RECEIVABLE, NET </w:t>
            </w:r>
            <w:r>
              <w:rPr>
                <w:rFonts w:ascii="Times New Roman" w:hAnsi="Times New Roman"/>
                <w:i/>
                <w:sz w:val="20"/>
              </w:rPr>
              <w:t>(continued)</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Allowance for doubtful accounts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928"/>
        <w:gridCol w:w="310"/>
        <w:gridCol w:w="140"/>
        <w:gridCol w:w="404"/>
        <w:gridCol w:w="157"/>
      </w:tblGrid>
      <w:tr>
        <w:trPr/>
        <w:tc>
          <w:tcPr>
            <w:tcW w:w="5928"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(8.8</w:t>
            </w:r>
          </w:p>
        </w:tc>
        <w:tc>
          <w:tcPr>
            <w:tcW w:w="157" w:type="dxa"/>
            <w:tcBorders/>
            <w:shd w:fill="CCEEFF" w:val="clear"/>
            <w:vAlign w:val="bottom"/>
          </w:tcPr>
          <w:p>
            <w:pPr>
              <w:pStyle w:val="TableContents"/>
              <w:bidi w:val="0"/>
              <w:spacing w:before="0" w:after="283"/>
              <w:jc w:val="left"/>
              <w:rPr/>
            </w:pPr>
            <w:r>
              <w:rPr/>
              <w:t>) </w:t>
            </w:r>
          </w:p>
        </w:tc>
      </w:tr>
      <w:tr>
        <w:trPr/>
        <w:tc>
          <w:tcPr>
            <w:tcW w:w="592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expected credit loss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(0.2</w:t>
            </w:r>
          </w:p>
        </w:tc>
        <w:tc>
          <w:tcPr>
            <w:tcW w:w="157" w:type="dxa"/>
            <w:tcBorders/>
            <w:vAlign w:val="bottom"/>
          </w:tcPr>
          <w:p>
            <w:pPr>
              <w:pStyle w:val="TableContents"/>
              <w:bidi w:val="0"/>
              <w:spacing w:before="0" w:after="283"/>
              <w:jc w:val="left"/>
              <w:rPr/>
            </w:pPr>
            <w:r>
              <w:rPr/>
              <w:t>) </w:t>
            </w:r>
          </w:p>
        </w:tc>
      </w:tr>
      <w:tr>
        <w:trPr/>
        <w:tc>
          <w:tcPr>
            <w:tcW w:w="5928"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(9.0</w:t>
            </w:r>
          </w:p>
        </w:tc>
        <w:tc>
          <w:tcPr>
            <w:tcW w:w="157" w:type="dxa"/>
            <w:tcBorders/>
            <w:shd w:fill="CCEEFF" w:val="clear"/>
            <w:vAlign w:val="bottom"/>
          </w:tcPr>
          <w:p>
            <w:pPr>
              <w:pStyle w:val="TableContents"/>
              <w:bidi w:val="0"/>
              <w:spacing w:before="0" w:after="283"/>
              <w:jc w:val="left"/>
              <w:rPr/>
            </w:pPr>
            <w:r>
              <w:rPr/>
              <w:t>) </w:t>
            </w:r>
          </w:p>
        </w:tc>
      </w:tr>
      <w:tr>
        <w:trPr/>
        <w:tc>
          <w:tcPr>
            <w:tcW w:w="592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expected credit loss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0.8</w:t>
            </w:r>
          </w:p>
        </w:tc>
        <w:tc>
          <w:tcPr>
            <w:tcW w:w="157" w:type="dxa"/>
            <w:tcBorders/>
            <w:vAlign w:val="bottom"/>
          </w:tcPr>
          <w:p>
            <w:pPr>
              <w:pStyle w:val="TableContents"/>
              <w:bidi w:val="0"/>
              <w:spacing w:before="0" w:after="283"/>
              <w:jc w:val="left"/>
              <w:rPr/>
            </w:pPr>
            <w:r>
              <w:rPr/>
              <w:t> </w:t>
            </w:r>
          </w:p>
        </w:tc>
      </w:tr>
      <w:tr>
        <w:trPr/>
        <w:tc>
          <w:tcPr>
            <w:tcW w:w="5928"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9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404" w:type="dxa"/>
            <w:tcBorders/>
            <w:shd w:fill="CCEEFF" w:val="clear"/>
            <w:vAlign w:val="bottom"/>
          </w:tcPr>
          <w:p>
            <w:pPr>
              <w:pStyle w:val="TableContents"/>
              <w:bidi w:val="0"/>
              <w:spacing w:before="0" w:after="283"/>
              <w:jc w:val="right"/>
              <w:rPr>
                <w:b/>
              </w:rPr>
            </w:pPr>
            <w:r>
              <w:rPr>
                <w:b/>
              </w:rPr>
              <w:t>(8.2</w:t>
            </w:r>
          </w:p>
        </w:tc>
        <w:tc>
          <w:tcPr>
            <w:tcW w:w="157" w:type="dxa"/>
            <w:tcBorders/>
            <w:shd w:fill="CCEEFF" w:val="clear"/>
            <w:vAlign w:val="bottom"/>
          </w:tcPr>
          <w:p>
            <w:pPr>
              <w:pStyle w:val="TableContents"/>
              <w:bidi w:val="0"/>
              <w:spacing w:before="0" w:after="283"/>
              <w:jc w:val="left"/>
              <w:rPr>
                <w:b/>
              </w:rPr>
            </w:pPr>
            <w:r>
              <w:rPr>
                <w:b/>
              </w:rPr>
              <w:t>) </w:t>
            </w:r>
          </w:p>
        </w:tc>
      </w:tr>
      <w:tr>
        <w:trPr/>
        <w:tc>
          <w:tcPr>
            <w:tcW w:w="5928"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INVENTORIES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7"/>
        <w:gridCol w:w="418"/>
        <w:gridCol w:w="214"/>
        <w:gridCol w:w="861"/>
        <w:gridCol w:w="60"/>
        <w:gridCol w:w="418"/>
        <w:gridCol w:w="274"/>
        <w:gridCol w:w="1099"/>
        <w:gridCol w:w="64"/>
      </w:tblGrid>
      <w:tr>
        <w:trPr/>
        <w:tc>
          <w:tcPr>
            <w:tcW w:w="4347"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47" w:type="dxa"/>
            <w:tcBorders/>
            <w:vAlign w:val="bottom"/>
          </w:tcPr>
          <w:p>
            <w:pPr>
              <w:pStyle w:val="TableContents"/>
              <w:bidi w:val="0"/>
              <w:spacing w:before="0" w:after="283"/>
              <w:jc w:val="left"/>
              <w:rPr/>
            </w:pPr>
            <w:r>
              <w:rPr/>
              <w:t>As at,</w:t>
            </w:r>
          </w:p>
        </w:tc>
        <w:tc>
          <w:tcPr>
            <w:tcW w:w="418"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4" w:type="dxa"/>
            <w:tcBorders/>
            <w:vAlign w:val="bottom"/>
          </w:tcPr>
          <w:p>
            <w:pPr>
              <w:pStyle w:val="TableContents"/>
              <w:bidi w:val="0"/>
              <w:spacing w:before="0" w:after="283"/>
              <w:jc w:val="left"/>
              <w:rPr/>
            </w:pPr>
            <w:r>
              <w:rPr/>
              <w:t> </w:t>
            </w:r>
          </w:p>
        </w:tc>
      </w:tr>
      <w:tr>
        <w:trPr/>
        <w:tc>
          <w:tcPr>
            <w:tcW w:w="434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xml:space="preserve">The carrying amount of: </w:t>
            </w:r>
          </w:p>
        </w:tc>
        <w:tc>
          <w:tcPr>
            <w:tcW w:w="41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Raw materials and consumables</w:t>
            </w:r>
          </w:p>
        </w:tc>
        <w:tc>
          <w:tcPr>
            <w:tcW w:w="41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1" w:type="dxa"/>
            <w:tcBorders/>
            <w:vAlign w:val="bottom"/>
          </w:tcPr>
          <w:p>
            <w:pPr>
              <w:pStyle w:val="TableContents"/>
              <w:bidi w:val="0"/>
              <w:spacing w:before="0" w:after="283"/>
              <w:jc w:val="right"/>
              <w:rPr>
                <w:b/>
              </w:rPr>
            </w:pPr>
            <w:r>
              <w:rPr>
                <w:b/>
              </w:rPr>
              <w:t>294.4</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1099" w:type="dxa"/>
            <w:tcBorders/>
            <w:vAlign w:val="bottom"/>
          </w:tcPr>
          <w:p>
            <w:pPr>
              <w:pStyle w:val="TableContents"/>
              <w:bidi w:val="0"/>
              <w:spacing w:before="0" w:after="283"/>
              <w:jc w:val="right"/>
              <w:rPr/>
            </w:pPr>
            <w:r>
              <w:rPr/>
              <w:t>272.7</w:t>
            </w:r>
          </w:p>
        </w:tc>
        <w:tc>
          <w:tcPr>
            <w:tcW w:w="64" w:type="dxa"/>
            <w:tcBorders/>
            <w:vAlign w:val="bottom"/>
          </w:tcPr>
          <w:p>
            <w:pPr>
              <w:pStyle w:val="TableContents"/>
              <w:bidi w:val="0"/>
              <w:spacing w:before="0" w:after="283"/>
              <w:jc w:val="left"/>
              <w:rPr/>
            </w:pPr>
            <w:r>
              <w:rPr/>
              <w:t> </w:t>
            </w:r>
          </w:p>
        </w:tc>
      </w:tr>
      <w:tr>
        <w:trPr/>
        <w:tc>
          <w:tcPr>
            <w:tcW w:w="43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41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128.1</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203.2</w:t>
            </w:r>
          </w:p>
        </w:tc>
        <w:tc>
          <w:tcPr>
            <w:tcW w:w="64" w:type="dxa"/>
            <w:tcBorders/>
            <w:shd w:fill="CCEEFF" w:val="clear"/>
            <w:vAlign w:val="bottom"/>
          </w:tcPr>
          <w:p>
            <w:pPr>
              <w:pStyle w:val="TableContents"/>
              <w:bidi w:val="0"/>
              <w:spacing w:before="0" w:after="283"/>
              <w:jc w:val="left"/>
              <w:rPr/>
            </w:pPr>
            <w:r>
              <w:rPr/>
              <w:t> </w:t>
            </w:r>
          </w:p>
        </w:tc>
      </w:tr>
      <w:tr>
        <w:trPr/>
        <w:tc>
          <w:tcPr>
            <w:tcW w:w="4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1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53.1</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93.4</w:t>
            </w:r>
          </w:p>
        </w:tc>
        <w:tc>
          <w:tcPr>
            <w:tcW w:w="64" w:type="dxa"/>
            <w:tcBorders/>
            <w:vAlign w:val="bottom"/>
          </w:tcPr>
          <w:p>
            <w:pPr>
              <w:pStyle w:val="TableContents"/>
              <w:bidi w:val="0"/>
              <w:spacing w:before="0" w:after="283"/>
              <w:jc w:val="left"/>
              <w:rPr/>
            </w:pPr>
            <w:r>
              <w:rPr/>
              <w:t> </w:t>
            </w:r>
          </w:p>
        </w:tc>
      </w:tr>
      <w:tr>
        <w:trPr/>
        <w:tc>
          <w:tcPr>
            <w:tcW w:w="4347"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47"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61" w:type="dxa"/>
            <w:tcBorders/>
            <w:shd w:fill="CCEEFF" w:val="clear"/>
            <w:vAlign w:val="bottom"/>
          </w:tcPr>
          <w:p>
            <w:pPr>
              <w:pStyle w:val="TableContents"/>
              <w:bidi w:val="0"/>
              <w:spacing w:before="0" w:after="283"/>
              <w:jc w:val="right"/>
              <w:rPr>
                <w:b/>
              </w:rPr>
            </w:pPr>
            <w:r>
              <w:rPr>
                <w:b/>
              </w:rPr>
              <w:t>475.6</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569.3</w:t>
            </w:r>
          </w:p>
        </w:tc>
        <w:tc>
          <w:tcPr>
            <w:tcW w:w="64" w:type="dxa"/>
            <w:tcBorders/>
            <w:shd w:fill="CCEEFF" w:val="clear"/>
            <w:vAlign w:val="bottom"/>
          </w:tcPr>
          <w:p>
            <w:pPr>
              <w:pStyle w:val="TableContents"/>
              <w:bidi w:val="0"/>
              <w:spacing w:before="0" w:after="283"/>
              <w:jc w:val="left"/>
              <w:rPr/>
            </w:pPr>
            <w:r>
              <w:rPr/>
              <w:t> </w:t>
            </w:r>
          </w:p>
        </w:tc>
      </w:tr>
      <w:tr>
        <w:trPr/>
        <w:tc>
          <w:tcPr>
            <w:tcW w:w="4347"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PROPERTY, PLANT AND EQUIPMENT, NET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9"/>
        <w:gridCol w:w="335"/>
        <w:gridCol w:w="170"/>
        <w:gridCol w:w="900"/>
        <w:gridCol w:w="60"/>
        <w:gridCol w:w="335"/>
        <w:gridCol w:w="217"/>
        <w:gridCol w:w="1185"/>
        <w:gridCol w:w="64"/>
      </w:tblGrid>
      <w:tr>
        <w:trPr/>
        <w:tc>
          <w:tcPr>
            <w:tcW w:w="4489"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89" w:type="dxa"/>
            <w:tcBorders/>
            <w:vAlign w:val="bottom"/>
          </w:tcPr>
          <w:p>
            <w:pPr>
              <w:pStyle w:val="TableContents"/>
              <w:bidi w:val="0"/>
              <w:spacing w:before="0" w:after="283"/>
              <w:jc w:val="left"/>
              <w:rPr/>
            </w:pPr>
            <w:r>
              <w:rPr/>
              <w:t>As at,</w:t>
            </w:r>
          </w:p>
        </w:tc>
        <w:tc>
          <w:tcPr>
            <w:tcW w:w="335"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4"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xml:space="preserve">The carrying amount of: </w:t>
            </w:r>
          </w:p>
        </w:tc>
        <w:tc>
          <w:tcPr>
            <w:tcW w:w="33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Freehold land</w:t>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b/>
              </w:rPr>
            </w:pPr>
            <w:r>
              <w:rPr>
                <w:b/>
              </w:rPr>
              <w:t>$</w:t>
            </w:r>
          </w:p>
        </w:tc>
        <w:tc>
          <w:tcPr>
            <w:tcW w:w="900" w:type="dxa"/>
            <w:tcBorders/>
            <w:vAlign w:val="bottom"/>
          </w:tcPr>
          <w:p>
            <w:pPr>
              <w:pStyle w:val="TableContents"/>
              <w:bidi w:val="0"/>
              <w:spacing w:before="0" w:after="283"/>
              <w:jc w:val="right"/>
              <w:rPr>
                <w:b/>
              </w:rPr>
            </w:pPr>
            <w:r>
              <w:rPr>
                <w:b/>
              </w:rPr>
              <w:t>4.9</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44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33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b/>
              </w:rPr>
            </w:pPr>
            <w:r>
              <w:rPr>
                <w:b/>
              </w:rPr>
              <w:t>363.8</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361.5</w:t>
            </w:r>
          </w:p>
        </w:tc>
        <w:tc>
          <w:tcPr>
            <w:tcW w:w="64" w:type="dxa"/>
            <w:tcBorders/>
            <w:shd w:fill="CCEEFF" w:val="clear"/>
            <w:vAlign w:val="bottom"/>
          </w:tcPr>
          <w:p>
            <w:pPr>
              <w:pStyle w:val="TableContents"/>
              <w:bidi w:val="0"/>
              <w:spacing w:before="0" w:after="283"/>
              <w:jc w:val="left"/>
              <w:rPr/>
            </w:pPr>
            <w:r>
              <w:rPr/>
              <w:t> </w:t>
            </w:r>
          </w:p>
        </w:tc>
      </w:tr>
      <w:tr>
        <w:trPr/>
        <w:tc>
          <w:tcPr>
            <w:tcW w:w="44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b/>
              </w:rPr>
            </w:pPr>
            <w:r>
              <w:rPr>
                <w:b/>
              </w:rPr>
              <w:t>488.4</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475.1</w:t>
            </w:r>
          </w:p>
        </w:tc>
        <w:tc>
          <w:tcPr>
            <w:tcW w:w="64" w:type="dxa"/>
            <w:tcBorders/>
            <w:vAlign w:val="bottom"/>
          </w:tcPr>
          <w:p>
            <w:pPr>
              <w:pStyle w:val="TableContents"/>
              <w:bidi w:val="0"/>
              <w:spacing w:before="0" w:after="283"/>
              <w:jc w:val="left"/>
              <w:rPr/>
            </w:pPr>
            <w:r>
              <w:rPr/>
              <w:t> </w:t>
            </w:r>
          </w:p>
        </w:tc>
      </w:tr>
      <w:tr>
        <w:trPr/>
        <w:tc>
          <w:tcPr>
            <w:tcW w:w="44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Computer hardware</w:t>
            </w:r>
          </w:p>
        </w:tc>
        <w:tc>
          <w:tcPr>
            <w:tcW w:w="33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b/>
              </w:rPr>
            </w:pPr>
            <w:r>
              <w:rPr>
                <w:b/>
              </w:rPr>
              <w:t>5.2</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4.7</w:t>
            </w:r>
          </w:p>
        </w:tc>
        <w:tc>
          <w:tcPr>
            <w:tcW w:w="64" w:type="dxa"/>
            <w:tcBorders/>
            <w:shd w:fill="CCEEFF" w:val="clear"/>
            <w:vAlign w:val="bottom"/>
          </w:tcPr>
          <w:p>
            <w:pPr>
              <w:pStyle w:val="TableContents"/>
              <w:bidi w:val="0"/>
              <w:spacing w:before="0" w:after="283"/>
              <w:jc w:val="left"/>
              <w:rPr/>
            </w:pPr>
            <w:r>
              <w:rPr/>
              <w:t> </w:t>
            </w:r>
          </w:p>
        </w:tc>
      </w:tr>
      <w:tr>
        <w:trPr/>
        <w:tc>
          <w:tcPr>
            <w:tcW w:w="44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b/>
              </w:rPr>
            </w:pPr>
            <w:r>
              <w:rPr>
                <w:b/>
              </w:rPr>
              <w:t>3.7</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44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under construction</w:t>
            </w:r>
          </w:p>
        </w:tc>
        <w:tc>
          <w:tcPr>
            <w:tcW w:w="33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b/>
              </w:rPr>
            </w:pPr>
            <w:r>
              <w:rPr>
                <w:b/>
              </w:rPr>
              <w:t>184.7</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180.1</w:t>
            </w:r>
          </w:p>
        </w:tc>
        <w:tc>
          <w:tcPr>
            <w:tcW w:w="64" w:type="dxa"/>
            <w:tcBorders/>
            <w:shd w:fill="CCEEFF" w:val="clear"/>
            <w:vAlign w:val="bottom"/>
          </w:tcPr>
          <w:p>
            <w:pPr>
              <w:pStyle w:val="TableContents"/>
              <w:bidi w:val="0"/>
              <w:spacing w:before="0" w:after="283"/>
              <w:jc w:val="left"/>
              <w:rPr/>
            </w:pPr>
            <w:r>
              <w:rPr/>
              <w:t> </w:t>
            </w:r>
          </w:p>
        </w:tc>
      </w:tr>
      <w:tr>
        <w:trPr/>
        <w:tc>
          <w:tcPr>
            <w:tcW w:w="4489"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89"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b/>
              </w:rPr>
            </w:pPr>
            <w:r>
              <w:rPr>
                <w:b/>
              </w:rPr>
              <w:t>$</w:t>
            </w:r>
          </w:p>
        </w:tc>
        <w:tc>
          <w:tcPr>
            <w:tcW w:w="900" w:type="dxa"/>
            <w:tcBorders/>
            <w:vAlign w:val="bottom"/>
          </w:tcPr>
          <w:p>
            <w:pPr>
              <w:pStyle w:val="TableContents"/>
              <w:bidi w:val="0"/>
              <w:spacing w:before="0" w:after="283"/>
              <w:jc w:val="right"/>
              <w:rPr>
                <w:b/>
              </w:rPr>
            </w:pPr>
            <w:r>
              <w:rPr>
                <w:b/>
              </w:rPr>
              <w:t>1,050.7</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1,029.9</w:t>
            </w:r>
          </w:p>
        </w:tc>
        <w:tc>
          <w:tcPr>
            <w:tcW w:w="64" w:type="dxa"/>
            <w:tcBorders/>
            <w:vAlign w:val="bottom"/>
          </w:tcPr>
          <w:p>
            <w:pPr>
              <w:pStyle w:val="TableContents"/>
              <w:bidi w:val="0"/>
              <w:spacing w:before="0" w:after="283"/>
              <w:jc w:val="left"/>
              <w:rPr/>
            </w:pPr>
            <w:r>
              <w:rPr/>
              <w:t> </w:t>
            </w:r>
          </w:p>
        </w:tc>
      </w:tr>
      <w:tr>
        <w:trPr/>
        <w:tc>
          <w:tcPr>
            <w:tcW w:w="4489"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both"/>
        <w:rPr>
          <w:rFonts w:ascii="Times New Roman" w:hAnsi="Times New Roman"/>
          <w:i/>
          <w:sz w:val="20"/>
        </w:rPr>
      </w:pPr>
      <w:r>
        <w:rPr>
          <w:rFonts w:ascii="Times New Roman" w:hAnsi="Times New Roman"/>
          <w:i/>
          <w:sz w:val="20"/>
        </w:rPr>
        <w:t xml:space="preserve">Impairment of property, plant and equipment </w:t>
      </w:r>
    </w:p>
    <w:p>
      <w:pPr>
        <w:pStyle w:val="TextBody"/>
        <w:bidi w:val="0"/>
        <w:spacing w:before="120" w:after="0"/>
        <w:jc w:val="both"/>
        <w:rPr>
          <w:rFonts w:ascii="Times New Roman" w:hAnsi="Times New Roman"/>
          <w:sz w:val="20"/>
        </w:rPr>
      </w:pPr>
      <w:r>
        <w:rPr>
          <w:rFonts w:ascii="Times New Roman" w:hAnsi="Times New Roman"/>
          <w:sz w:val="20"/>
        </w:rPr>
        <w:t xml:space="preserve">During the year ended December 31, 2025, as a result of current economic conditions there were two indicators of impairment in regards to the Company’s single Cash Generating Unit (“CGU”). The two indicators identified were the Section 232 tariffs imposed by the United States (“U.S.”) pertaining to the steel manufacturing industry and the Company’s carrying value of the net assets exceeded its market capitalization. The Company performed an impairment test and determined that the carrying amount exceeded the Company’s recoverable amount and an impairment loss of $503.4 million was recorded in the consolidated statements of net loss for the year ended December 31, 2025. At March 31, 2026, there were no indicators of impairment in regards to the Company’s CGU. </w:t>
      </w:r>
    </w:p>
    <w:p>
      <w:pPr>
        <w:pStyle w:val="TextBody"/>
        <w:bidi w:val="0"/>
        <w:spacing w:before="360" w:after="0"/>
        <w:jc w:val="both"/>
        <w:rPr>
          <w:rFonts w:ascii="Times New Roman" w:hAnsi="Times New Roman"/>
          <w:i/>
          <w:sz w:val="20"/>
        </w:rPr>
      </w:pPr>
      <w:r>
        <w:rPr>
          <w:rFonts w:ascii="Times New Roman" w:hAnsi="Times New Roman"/>
          <w:i/>
          <w:sz w:val="20"/>
        </w:rPr>
        <w:t xml:space="preserve">Useful lives of property, plant and equipment </w:t>
      </w:r>
    </w:p>
    <w:p>
      <w:pPr>
        <w:pStyle w:val="TextBody"/>
        <w:bidi w:val="0"/>
        <w:spacing w:before="120" w:after="0"/>
        <w:jc w:val="both"/>
        <w:rPr>
          <w:rFonts w:ascii="Times New Roman" w:hAnsi="Times New Roman"/>
          <w:sz w:val="20"/>
        </w:rPr>
      </w:pPr>
      <w:r>
        <w:rPr>
          <w:rFonts w:ascii="Times New Roman" w:hAnsi="Times New Roman"/>
          <w:sz w:val="20"/>
        </w:rPr>
        <w:t xml:space="preserve">The Company reviews the estimated useful lives of property, plant and equipment at the end of each annual reporting period, and whenever events or circumstances indicate a change in useful life. Effective September 28, 2025, the Company reduced the useful lives of assets pertaining to blast furnace and basic oxygen steelmaking operations assets as a result of the Company’s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PROPERTY, PLANT AND EQUIPMENT, NET </w:t>
            </w:r>
            <w:r>
              <w:rPr>
                <w:rFonts w:ascii="Times New Roman" w:hAnsi="Times New Roman"/>
                <w:i/>
                <w:sz w:val="20"/>
              </w:rPr>
              <w:t>(continued)</w:t>
            </w:r>
            <w:r>
              <w:rPr>
                <w:rFonts w:ascii="Times New Roman" w:hAnsi="Times New Roman"/>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Directors approving an operational plan to commence the exit from blast furnace and coke production and to accelerate the transition to EAF steelmaking. The useful lives of blast furnace and basic oxygen steelmaking assets have been reduced and are fully depreciated as at December 31, 2025. </w:t>
      </w:r>
    </w:p>
    <w:p>
      <w:pPr>
        <w:pStyle w:val="TextBody"/>
        <w:bidi w:val="0"/>
        <w:spacing w:before="360" w:after="0"/>
        <w:jc w:val="both"/>
        <w:rPr>
          <w:rFonts w:ascii="Times New Roman" w:hAnsi="Times New Roman"/>
          <w:i/>
          <w:sz w:val="20"/>
        </w:rPr>
      </w:pPr>
      <w:r>
        <w:rPr>
          <w:rFonts w:ascii="Times New Roman" w:hAnsi="Times New Roman"/>
          <w:i/>
          <w:sz w:val="20"/>
        </w:rPr>
        <w:t xml:space="preserve">Depreciation of property, plant and equipment </w:t>
      </w:r>
    </w:p>
    <w:p>
      <w:pPr>
        <w:pStyle w:val="TextBody"/>
        <w:bidi w:val="0"/>
        <w:spacing w:before="120" w:after="0"/>
        <w:jc w:val="both"/>
        <w:rPr>
          <w:rFonts w:ascii="Times New Roman" w:hAnsi="Times New Roman"/>
          <w:sz w:val="20"/>
        </w:rPr>
      </w:pPr>
      <w:r>
        <w:rPr>
          <w:rFonts w:ascii="Times New Roman" w:hAnsi="Times New Roman"/>
          <w:sz w:val="20"/>
        </w:rPr>
        <w:t xml:space="preserve">Depreciation of property, plant and equipment for the three month period ended March 31, 2026 was $17.2 million (March 31, 2025 - $36.2 million). Depreciation included in inventories at March 31, 2026, amounted to $13.9 million (March 31, 2025 - $16.6 million). </w:t>
      </w:r>
    </w:p>
    <w:p>
      <w:pPr>
        <w:pStyle w:val="TextBody"/>
        <w:bidi w:val="0"/>
        <w:spacing w:before="360" w:after="0"/>
        <w:jc w:val="both"/>
        <w:rPr>
          <w:rFonts w:ascii="Times New Roman" w:hAnsi="Times New Roman"/>
          <w:i/>
          <w:sz w:val="20"/>
        </w:rPr>
      </w:pPr>
      <w:r>
        <w:rPr>
          <w:rFonts w:ascii="Times New Roman" w:hAnsi="Times New Roman"/>
          <w:i/>
          <w:sz w:val="20"/>
        </w:rPr>
        <w:t xml:space="preserve">Acquisitions and disposals </w:t>
      </w:r>
    </w:p>
    <w:p>
      <w:pPr>
        <w:pStyle w:val="TextBody"/>
        <w:bidi w:val="0"/>
        <w:spacing w:before="120" w:after="0"/>
        <w:jc w:val="both"/>
        <w:rPr>
          <w:rFonts w:ascii="Times New Roman" w:hAnsi="Times New Roman"/>
          <w:sz w:val="20"/>
        </w:rPr>
      </w:pPr>
      <w:r>
        <w:rPr>
          <w:rFonts w:ascii="Times New Roman" w:hAnsi="Times New Roman"/>
          <w:sz w:val="20"/>
        </w:rPr>
        <w:t xml:space="preserve">During the three month period ended March 31, 2026, property, plant and equipment were acquired at an aggregate net cost of $20.4 million; comprised of property, plant and equipment acquired with a total cost of $47.2 million, against which the Company recognized benefits totalling $26.8 million in respect of the governmental loans and grants. During the three month period ended March 31, 2025, property, plant and equipment were acquired at an aggregate net and total cost of $127.0 million, against which the Company recognized no benefit in respect of the governmental loans. </w:t>
      </w:r>
    </w:p>
    <w:p>
      <w:pPr>
        <w:pStyle w:val="TextBody"/>
        <w:bidi w:val="0"/>
        <w:spacing w:before="360" w:after="0"/>
        <w:jc w:val="both"/>
        <w:rPr>
          <w:rFonts w:ascii="Times New Roman" w:hAnsi="Times New Roman"/>
          <w:i/>
          <w:sz w:val="20"/>
        </w:rPr>
      </w:pPr>
      <w:r>
        <w:rPr>
          <w:rFonts w:ascii="Times New Roman" w:hAnsi="Times New Roman"/>
          <w:i/>
          <w:sz w:val="20"/>
        </w:rPr>
        <w:t xml:space="preserve">Government Funding Agreements </w:t>
      </w:r>
    </w:p>
    <w:p>
      <w:pPr>
        <w:pStyle w:val="TextBody"/>
        <w:bidi w:val="0"/>
        <w:spacing w:before="120" w:after="0"/>
        <w:jc w:val="both"/>
        <w:rPr>
          <w:rFonts w:ascii="Times New Roman" w:hAnsi="Times New Roman"/>
          <w:sz w:val="20"/>
        </w:rPr>
      </w:pPr>
      <w:r>
        <w:rPr>
          <w:rFonts w:ascii="Times New Roman" w:hAnsi="Times New Roman"/>
          <w:sz w:val="20"/>
        </w:rPr>
        <w:t xml:space="preserve">On November 30, 2018, the Company, together with the governments of Canada and Ontario entered into agreements totalling up to $120.0 million of modernization and expansion related capital expenditure support from the governments of Canada and Ontario. Additionally, on March 29, 2019, the Company, together with the government of Canada entered into an agreement totalling up to $30.0 million of modernization and expansion related capital expenditure support from the government of Canada. On September 20, 2021, the Company, together with the government of Canada entered into an agreement to support the transition from blast furnace steel production to EAF which consists of a loan of up to $200 million from the Innovation Science and Economic Development Canada’s Strategic Innovation Fund (“SIF”). </w:t>
      </w:r>
    </w:p>
    <w:p>
      <w:pPr>
        <w:pStyle w:val="TextBody"/>
        <w:bidi w:val="0"/>
        <w:spacing w:before="240" w:after="0"/>
        <w:jc w:val="both"/>
        <w:rPr>
          <w:rFonts w:ascii="Times New Roman" w:hAnsi="Times New Roman"/>
          <w:sz w:val="20"/>
        </w:rPr>
      </w:pPr>
      <w:r>
        <w:rPr>
          <w:rFonts w:ascii="Times New Roman" w:hAnsi="Times New Roman"/>
          <w:sz w:val="20"/>
        </w:rPr>
        <w:t xml:space="preserve">The Company entered into an agreement with the Ministry of the Environment, Conservation and Parks on July 14, 2025 under Ontario’s Ministry of Environment, Conservation and Parks Emissions Performance Program for maximum funding of $56.9 million for reimbursement of eligible expenditures incurred in construction of the EAF, with a total of $27.0 million received during the three month period ended March 31, 2026 (March 31, 2025 – nil). This funding was recorded as a reduction in property under construction for the EAF.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BANK INDEBTEDNESS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increased its traditional asset-based revolving credit facility (“Revolving Credit Facility”) from US $300.0 million to US $375.0 million on September 12, 2025, maturing May, 2028. The Revolving Credit Facility is secured by substantially all of the Company’s assets. Under the General Security Agreement, the Revolving Credit Facility has a priority claim on the accounts receivable and the inventories of the Company and the rest of the Company’s assets. The Revolving Credit Facility contains a customary springing fixed charge coverage ratio when availability falls below a certain ratio. The interest rate on the Revolving Credit Facility is based on Secured Overnight Financing Rate (“SOFR”) plus a credit spread adjustment of 10 basis points plus an applicable margin, which varies depending on usage. </w:t>
      </w:r>
    </w:p>
    <w:p>
      <w:pPr>
        <w:pStyle w:val="TextBody"/>
        <w:bidi w:val="0"/>
        <w:spacing w:before="240" w:after="0"/>
        <w:jc w:val="both"/>
        <w:rPr>
          <w:rFonts w:ascii="Times New Roman" w:hAnsi="Times New Roman"/>
          <w:sz w:val="20"/>
        </w:rPr>
      </w:pPr>
      <w:r>
        <w:rPr>
          <w:rFonts w:ascii="Times New Roman" w:hAnsi="Times New Roman"/>
          <w:sz w:val="20"/>
        </w:rPr>
        <w:t xml:space="preserve">At March 31, 2026, the Company had drawn $67.6 million (US $48.5 million), and there was $195.1 million (US $139.9 million) of unused availability after taking into account $73.3 million (US $52.6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BANK INDEBTEDNESS </w:t>
            </w:r>
            <w:r>
              <w:rPr>
                <w:rFonts w:ascii="Times New Roman" w:hAnsi="Times New Roman"/>
                <w:i/>
                <w:sz w:val="20"/>
              </w:rPr>
              <w:t>(continued)</w:t>
            </w:r>
            <w:r>
              <w:rPr>
                <w:rFonts w:ascii="Times New Roman" w:hAnsi="Times New Roman"/>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million) of outstanding letters of credit, and borrowing base reserves. At December 31, 2025, the Company had drawn $170.2 million (US $124.2 million), and there was $194.5 million (US $141.9 million) of unused availability after taking into account $66.1 million (US $48.2 million) of outstanding letters of credit and borrowing base reserves. </w:t>
      </w:r>
    </w:p>
    <w:p>
      <w:pPr>
        <w:pStyle w:val="TextBody"/>
        <w:bidi w:val="0"/>
        <w:spacing w:before="240" w:after="0"/>
        <w:jc w:val="both"/>
        <w:rPr>
          <w:rFonts w:ascii="Times New Roman" w:hAnsi="Times New Roman"/>
          <w:sz w:val="20"/>
        </w:rPr>
      </w:pPr>
      <w:r>
        <w:rPr>
          <w:rFonts w:ascii="Times New Roman" w:hAnsi="Times New Roman"/>
          <w:sz w:val="20"/>
        </w:rPr>
        <w:t xml:space="preserve">Transaction costs related to the Revolving Credit Facility amounted to $8.7 million. Transaction costs are disclosed as other non-current assets in the condensed interim consolidated statements of financial position, and have been amortized on a straight-line basis over the life of this facility, which has a maturity date of May 31, 2028. At March 31, 2026, the unamortized transaction costs related to the Revolving Credit Facility were $0.7 million (December 31, 2025 - $0.8 million). </w:t>
      </w:r>
    </w:p>
    <w:p>
      <w:pPr>
        <w:pStyle w:val="TextBody"/>
        <w:bidi w:val="0"/>
        <w:spacing w:before="360" w:after="0"/>
        <w:jc w:val="both"/>
        <w:rPr>
          <w:rFonts w:ascii="Times New Roman" w:hAnsi="Times New Roman"/>
          <w:i/>
          <w:sz w:val="20"/>
        </w:rPr>
      </w:pPr>
      <w:r>
        <w:rPr>
          <w:rFonts w:ascii="Times New Roman" w:hAnsi="Times New Roman"/>
          <w:i/>
          <w:sz w:val="20"/>
        </w:rPr>
        <w:t xml:space="preserve">Reconciliation of liabilities arising from 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The changes in the Company’s bank indebtedness for the three month period ended March 31, 2026 arising from financing activities are presented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7"/>
        <w:gridCol w:w="354"/>
        <w:gridCol w:w="140"/>
        <w:gridCol w:w="646"/>
        <w:gridCol w:w="162"/>
      </w:tblGrid>
      <w:tr>
        <w:trPr/>
        <w:tc>
          <w:tcPr>
            <w:tcW w:w="5637"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170.2</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 drawn</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1.7</w:t>
            </w:r>
          </w:p>
        </w:tc>
        <w:tc>
          <w:tcPr>
            <w:tcW w:w="162" w:type="dxa"/>
            <w:tcBorders/>
            <w:vAlign w:val="bottom"/>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Revolving Credit Facility</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(105.5</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1.2</w:t>
            </w:r>
          </w:p>
        </w:tc>
        <w:tc>
          <w:tcPr>
            <w:tcW w:w="162" w:type="dxa"/>
            <w:tcBorders/>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6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46" w:type="dxa"/>
            <w:tcBorders/>
            <w:shd w:fill="CCEEFF" w:val="clear"/>
            <w:vAlign w:val="bottom"/>
          </w:tcPr>
          <w:p>
            <w:pPr>
              <w:pStyle w:val="TableContents"/>
              <w:bidi w:val="0"/>
              <w:spacing w:before="0" w:after="283"/>
              <w:jc w:val="right"/>
              <w:rPr>
                <w:b/>
              </w:rPr>
            </w:pPr>
            <w:r>
              <w:rPr>
                <w:b/>
              </w:rPr>
              <w:t>67.6</w:t>
            </w:r>
          </w:p>
        </w:tc>
        <w:tc>
          <w:tcPr>
            <w:tcW w:w="162" w:type="dxa"/>
            <w:tcBorders/>
            <w:shd w:fill="CCEEFF" w:val="clear"/>
            <w:vAlign w:val="bottom"/>
          </w:tcPr>
          <w:p>
            <w:pPr>
              <w:pStyle w:val="TableContents"/>
              <w:bidi w:val="0"/>
              <w:spacing w:before="0" w:after="283"/>
              <w:jc w:val="left"/>
              <w:rPr/>
            </w:pPr>
            <w:r>
              <w:rPr/>
              <w:t> </w:t>
            </w:r>
          </w:p>
        </w:tc>
      </w:tr>
      <w:tr>
        <w:trPr/>
        <w:tc>
          <w:tcPr>
            <w:tcW w:w="5637"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ACCOUNTS PAYABLE AND ACCRUED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8"/>
        <w:gridCol w:w="435"/>
        <w:gridCol w:w="214"/>
        <w:gridCol w:w="862"/>
        <w:gridCol w:w="60"/>
        <w:gridCol w:w="435"/>
        <w:gridCol w:w="275"/>
        <w:gridCol w:w="1101"/>
        <w:gridCol w:w="65"/>
      </w:tblGrid>
      <w:tr>
        <w:trPr/>
        <w:tc>
          <w:tcPr>
            <w:tcW w:w="4308"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As at,</w:t>
            </w:r>
          </w:p>
        </w:tc>
        <w:tc>
          <w:tcPr>
            <w:tcW w:w="43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xml:space="preserve">The carrying amount of: </w:t>
            </w:r>
          </w:p>
        </w:tc>
        <w:tc>
          <w:tcPr>
            <w:tcW w:w="4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2" w:type="dxa"/>
            <w:tcBorders/>
            <w:vAlign w:val="bottom"/>
          </w:tcPr>
          <w:p>
            <w:pPr>
              <w:pStyle w:val="TableContents"/>
              <w:bidi w:val="0"/>
              <w:spacing w:before="0" w:after="283"/>
              <w:jc w:val="right"/>
              <w:rPr>
                <w:b/>
              </w:rPr>
            </w:pPr>
            <w:r>
              <w:rPr>
                <w:b/>
              </w:rPr>
              <w:t>63.0</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47.7</w:t>
            </w:r>
          </w:p>
        </w:tc>
        <w:tc>
          <w:tcPr>
            <w:tcW w:w="65" w:type="dxa"/>
            <w:tcBorders/>
            <w:vAlign w:val="bottom"/>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4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105.9</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109.5</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Wages and accrued vacation payable</w:t>
            </w:r>
          </w:p>
        </w:tc>
        <w:tc>
          <w:tcPr>
            <w:tcW w:w="4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38.1</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46.7</w:t>
            </w:r>
          </w:p>
        </w:tc>
        <w:tc>
          <w:tcPr>
            <w:tcW w:w="65"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08" w:type="dxa"/>
            <w:tcBorders/>
            <w:shd w:fill="CCEEFF" w:val="clear"/>
            <w:vAlign w:val="bottom"/>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207.0</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203.9</w:t>
            </w:r>
          </w:p>
        </w:tc>
        <w:tc>
          <w:tcPr>
            <w:tcW w:w="65"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TAXES PAYABLE AND ACCRUED TAXES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97"/>
        <w:gridCol w:w="480"/>
        <w:gridCol w:w="258"/>
        <w:gridCol w:w="818"/>
        <w:gridCol w:w="60"/>
        <w:gridCol w:w="480"/>
        <w:gridCol w:w="338"/>
        <w:gridCol w:w="1058"/>
        <w:gridCol w:w="66"/>
      </w:tblGrid>
      <w:tr>
        <w:trPr/>
        <w:tc>
          <w:tcPr>
            <w:tcW w:w="4197"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97" w:type="dxa"/>
            <w:tcBorders/>
            <w:vAlign w:val="bottom"/>
          </w:tcPr>
          <w:p>
            <w:pPr>
              <w:pStyle w:val="TableContents"/>
              <w:bidi w:val="0"/>
              <w:spacing w:before="0" w:after="283"/>
              <w:jc w:val="left"/>
              <w:rPr/>
            </w:pPr>
            <w:r>
              <w:rPr/>
              <w:t>As at,</w:t>
            </w:r>
          </w:p>
        </w:tc>
        <w:tc>
          <w:tcPr>
            <w:tcW w:w="480"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6" w:type="dxa"/>
            <w:tcBorders/>
            <w:vAlign w:val="bottom"/>
          </w:tcPr>
          <w:p>
            <w:pPr>
              <w:pStyle w:val="TableContents"/>
              <w:bidi w:val="0"/>
              <w:spacing w:before="0" w:after="283"/>
              <w:jc w:val="left"/>
              <w:rPr/>
            </w:pPr>
            <w:r>
              <w:rPr/>
              <w:t> </w:t>
            </w:r>
          </w:p>
        </w:tc>
      </w:tr>
      <w:tr>
        <w:trPr/>
        <w:tc>
          <w:tcPr>
            <w:tcW w:w="419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xml:space="preserve">The carrying amount of: </w:t>
            </w:r>
          </w:p>
        </w:tc>
        <w:tc>
          <w:tcPr>
            <w:tcW w:w="48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Payroll taxes payable</w:t>
            </w:r>
          </w:p>
        </w:tc>
        <w:tc>
          <w:tcPr>
            <w:tcW w:w="48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b/>
              </w:rPr>
            </w:pPr>
            <w:r>
              <w:rPr>
                <w:b/>
              </w:rPr>
              <w:t>$</w:t>
            </w:r>
          </w:p>
        </w:tc>
        <w:tc>
          <w:tcPr>
            <w:tcW w:w="818" w:type="dxa"/>
            <w:tcBorders/>
            <w:vAlign w:val="bottom"/>
          </w:tcPr>
          <w:p>
            <w:pPr>
              <w:pStyle w:val="TableContents"/>
              <w:bidi w:val="0"/>
              <w:spacing w:before="0" w:after="283"/>
              <w:jc w:val="right"/>
              <w:rPr>
                <w:b/>
              </w:rPr>
            </w:pPr>
            <w:r>
              <w:rPr>
                <w:b/>
              </w:rPr>
              <w:t>5.2</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4.1</w:t>
            </w:r>
          </w:p>
        </w:tc>
        <w:tc>
          <w:tcPr>
            <w:tcW w:w="66" w:type="dxa"/>
            <w:tcBorders/>
            <w:vAlign w:val="bottom"/>
          </w:tcPr>
          <w:p>
            <w:pPr>
              <w:pStyle w:val="TableContents"/>
              <w:bidi w:val="0"/>
              <w:spacing w:before="0" w:after="283"/>
              <w:jc w:val="left"/>
              <w:rPr/>
            </w:pPr>
            <w:r>
              <w:rPr/>
              <w:t> </w:t>
            </w:r>
          </w:p>
        </w:tc>
      </w:tr>
      <w:tr>
        <w:trPr/>
        <w:tc>
          <w:tcPr>
            <w:tcW w:w="4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Sales taxes payable</w:t>
            </w:r>
          </w:p>
        </w:tc>
        <w:tc>
          <w:tcPr>
            <w:tcW w:w="48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1.6</w:t>
            </w:r>
          </w:p>
        </w:tc>
        <w:tc>
          <w:tcPr>
            <w:tcW w:w="66" w:type="dxa"/>
            <w:tcBorders/>
            <w:shd w:fill="CCEEFF" w:val="clear"/>
            <w:vAlign w:val="bottom"/>
          </w:tcPr>
          <w:p>
            <w:pPr>
              <w:pStyle w:val="TableContents"/>
              <w:bidi w:val="0"/>
              <w:spacing w:before="0" w:after="283"/>
              <w:jc w:val="left"/>
              <w:rPr/>
            </w:pPr>
            <w:r>
              <w:rPr/>
              <w:t> </w:t>
            </w:r>
          </w:p>
        </w:tc>
      </w:tr>
      <w:tr>
        <w:trPr/>
        <w:tc>
          <w:tcPr>
            <w:tcW w:w="4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Carbon tax accrual</w:t>
            </w:r>
          </w:p>
        </w:tc>
        <w:tc>
          <w:tcPr>
            <w:tcW w:w="48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33.0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27.0</w:t>
            </w:r>
          </w:p>
        </w:tc>
        <w:tc>
          <w:tcPr>
            <w:tcW w:w="66" w:type="dxa"/>
            <w:tcBorders/>
            <w:vAlign w:val="bottom"/>
          </w:tcPr>
          <w:p>
            <w:pPr>
              <w:pStyle w:val="TableContents"/>
              <w:bidi w:val="0"/>
              <w:spacing w:before="0" w:after="283"/>
              <w:jc w:val="left"/>
              <w:rPr/>
            </w:pPr>
            <w:r>
              <w:rPr/>
              <w:t> </w:t>
            </w:r>
          </w:p>
        </w:tc>
      </w:tr>
      <w:tr>
        <w:trPr/>
        <w:tc>
          <w:tcPr>
            <w:tcW w:w="4197"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3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7"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b/>
              </w:rPr>
            </w:pPr>
            <w:r>
              <w:rPr>
                <w:b/>
              </w:rPr>
              <w:t>$</w:t>
            </w:r>
          </w:p>
        </w:tc>
        <w:tc>
          <w:tcPr>
            <w:tcW w:w="818" w:type="dxa"/>
            <w:tcBorders/>
            <w:shd w:fill="CCEEFF" w:val="clear"/>
            <w:vAlign w:val="bottom"/>
          </w:tcPr>
          <w:p>
            <w:pPr>
              <w:pStyle w:val="TableContents"/>
              <w:bidi w:val="0"/>
              <w:spacing w:before="0" w:after="283"/>
              <w:jc w:val="right"/>
              <w:rPr>
                <w:b/>
              </w:rPr>
            </w:pPr>
            <w:r>
              <w:rPr>
                <w:b/>
              </w:rPr>
              <w:t>39.2</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32.7</w:t>
            </w:r>
          </w:p>
        </w:tc>
        <w:tc>
          <w:tcPr>
            <w:tcW w:w="66" w:type="dxa"/>
            <w:tcBorders/>
            <w:shd w:fill="CCEEFF" w:val="clear"/>
            <w:vAlign w:val="bottom"/>
          </w:tcPr>
          <w:p>
            <w:pPr>
              <w:pStyle w:val="TableContents"/>
              <w:bidi w:val="0"/>
              <w:spacing w:before="0" w:after="283"/>
              <w:jc w:val="left"/>
              <w:rPr/>
            </w:pPr>
            <w:r>
              <w:rPr/>
              <w:t> </w:t>
            </w:r>
          </w:p>
        </w:tc>
      </w:tr>
      <w:tr>
        <w:trPr/>
        <w:tc>
          <w:tcPr>
            <w:tcW w:w="4197"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38"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SENIOR SECURED LIEN NOTES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April 5, 2024, the Company’s indirect wholly-owned subsidiary, ASI, issued an aggregate of US $350.0 million of 9.125% Senior Secured Lien Notes (the “Notes”) due April 15, 2029. The Notes are guaranteed on a senior secured basis by ASI’s immediate parent company and all of 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sz w:val="20"/>
        </w:rPr>
        <w:t xml:space="preserve">15. SENIOR SECURED LIEN NOTES </w:t>
      </w:r>
      <w:r>
        <w:rPr>
          <w:rFonts w:ascii="Times New Roman" w:hAnsi="Times New Roman"/>
          <w:i/>
          <w:sz w:val="20"/>
        </w:rPr>
        <w:t>(continued)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subsidiaries. Interest payments are due April 15 and October 15, and commenced on October 15, 2024. </w:t>
      </w:r>
    </w:p>
    <w:p>
      <w:pPr>
        <w:pStyle w:val="TextBody"/>
        <w:bidi w:val="0"/>
        <w:spacing w:before="240" w:after="0"/>
        <w:jc w:val="both"/>
        <w:rPr>
          <w:rFonts w:ascii="Times New Roman" w:hAnsi="Times New Roman"/>
          <w:sz w:val="20"/>
        </w:rPr>
      </w:pPr>
      <w:r>
        <w:rPr>
          <w:rFonts w:ascii="Times New Roman" w:hAnsi="Times New Roman"/>
          <w:sz w:val="20"/>
        </w:rPr>
        <w:t xml:space="preserve">Prior to the maturity date, the Company can exercise various rights to redeem the Notes in whole or in part at a specific redemption price. In some cases, the redemption of the Notes is only permitted upon the occurrence of a specific event. Management has determined that these optional redemption features of the Notes represent an embedded derivative. At March 31, 2026 and December 31, 2025, the fair value of the derivative asset is nil. </w:t>
      </w:r>
    </w:p>
    <w:p>
      <w:pPr>
        <w:pStyle w:val="TextBody"/>
        <w:bidi w:val="0"/>
        <w:spacing w:before="240" w:after="0"/>
        <w:jc w:val="both"/>
        <w:rPr>
          <w:rFonts w:ascii="Times New Roman" w:hAnsi="Times New Roman"/>
          <w:sz w:val="20"/>
        </w:rPr>
      </w:pPr>
      <w:r>
        <w:rPr>
          <w:rFonts w:ascii="Times New Roman" w:hAnsi="Times New Roman"/>
          <w:sz w:val="20"/>
        </w:rPr>
        <w:t xml:space="preserve">Underwriter fees and other transaction costs related to the Notes amounted to $10.1 million. Transaction costs are presented as an offset against the Notes in the condensed interim consolidated statements of financial position, and are being amortized using the effective interest rate method over the life of the facility.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53"/>
        <w:gridCol w:w="214"/>
        <w:gridCol w:w="864"/>
        <w:gridCol w:w="155"/>
        <w:gridCol w:w="409"/>
        <w:gridCol w:w="286"/>
        <w:gridCol w:w="1144"/>
        <w:gridCol w:w="157"/>
      </w:tblGrid>
      <w:tr>
        <w:trPr/>
        <w:tc>
          <w:tcPr>
            <w:tcW w:w="4073"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As at,</w:t>
            </w:r>
          </w:p>
        </w:tc>
        <w:tc>
          <w:tcPr>
            <w:tcW w:w="453"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7"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 xml:space="preserve">The carrying amount of: </w:t>
            </w:r>
          </w:p>
        </w:tc>
        <w:tc>
          <w:tcPr>
            <w:tcW w:w="45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Senior Secured Lien Notes, due April 15, 2029</w:t>
            </w:r>
          </w:p>
        </w:tc>
        <w:tc>
          <w:tcPr>
            <w:tcW w:w="45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4" w:type="dxa"/>
            <w:tcBorders/>
            <w:vAlign w:val="bottom"/>
          </w:tcPr>
          <w:p>
            <w:pPr>
              <w:pStyle w:val="TableContents"/>
              <w:bidi w:val="0"/>
              <w:spacing w:before="0" w:after="283"/>
              <w:jc w:val="right"/>
              <w:rPr>
                <w:b/>
              </w:rPr>
            </w:pPr>
            <w:r>
              <w:rPr>
                <w:b/>
              </w:rPr>
              <w:t>491.9</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483.8</w:t>
            </w:r>
          </w:p>
        </w:tc>
        <w:tc>
          <w:tcPr>
            <w:tcW w:w="157" w:type="dxa"/>
            <w:tcBorders/>
            <w:vAlign w:val="bottom"/>
          </w:tcPr>
          <w:p>
            <w:pPr>
              <w:pStyle w:val="TableContents"/>
              <w:bidi w:val="0"/>
              <w:spacing w:before="0" w:after="283"/>
              <w:jc w:val="left"/>
              <w:rPr/>
            </w:pPr>
            <w:r>
              <w:rPr/>
              <w:t> </w:t>
            </w:r>
          </w:p>
        </w:tc>
      </w:tr>
      <w:tr>
        <w:trPr/>
        <w:tc>
          <w:tcPr>
            <w:tcW w:w="40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unamortized transaction costs</w:t>
            </w:r>
          </w:p>
        </w:tc>
        <w:tc>
          <w:tcPr>
            <w:tcW w:w="45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b/>
              </w:rPr>
            </w:pPr>
            <w:r>
              <w:rPr>
                <w:b/>
              </w:rPr>
              <w:t>(6.8</w:t>
            </w:r>
          </w:p>
        </w:tc>
        <w:tc>
          <w:tcPr>
            <w:tcW w:w="155" w:type="dxa"/>
            <w:tcBorders/>
            <w:shd w:fill="CCEEFF" w:val="clear"/>
            <w:vAlign w:val="bottom"/>
          </w:tcPr>
          <w:p>
            <w:pPr>
              <w:pStyle w:val="TableContents"/>
              <w:bidi w:val="0"/>
              <w:spacing w:before="0" w:after="283"/>
              <w:jc w:val="left"/>
              <w:rPr>
                <w:b/>
              </w:rPr>
            </w:pPr>
            <w:r>
              <w:rPr>
                <w:b/>
              </w:rPr>
              <w:t>) </w:t>
            </w:r>
          </w:p>
        </w:tc>
        <w:tc>
          <w:tcPr>
            <w:tcW w:w="409"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(7.2</w:t>
            </w:r>
          </w:p>
        </w:tc>
        <w:tc>
          <w:tcPr>
            <w:tcW w:w="157"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4" w:type="dxa"/>
            <w:tcBorders/>
            <w:vAlign w:val="bottom"/>
          </w:tcPr>
          <w:p>
            <w:pPr>
              <w:pStyle w:val="TableContents"/>
              <w:bidi w:val="0"/>
              <w:spacing w:before="0" w:after="283"/>
              <w:jc w:val="right"/>
              <w:rPr>
                <w:b/>
              </w:rPr>
            </w:pPr>
            <w:r>
              <w:rPr>
                <w:b/>
              </w:rPr>
              <w:t>485.1</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144" w:type="dxa"/>
            <w:tcBorders/>
            <w:vAlign w:val="bottom"/>
          </w:tcPr>
          <w:p>
            <w:pPr>
              <w:pStyle w:val="TableContents"/>
              <w:bidi w:val="0"/>
              <w:spacing w:before="0" w:after="283"/>
              <w:jc w:val="right"/>
              <w:rPr/>
            </w:pPr>
            <w:r>
              <w:rPr/>
              <w:t>476.6</w:t>
            </w:r>
          </w:p>
        </w:tc>
        <w:tc>
          <w:tcPr>
            <w:tcW w:w="157"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GOVERNMENTAL LOANS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409"/>
        <w:gridCol w:w="214"/>
        <w:gridCol w:w="856"/>
        <w:gridCol w:w="60"/>
        <w:gridCol w:w="409"/>
        <w:gridCol w:w="283"/>
        <w:gridCol w:w="1133"/>
        <w:gridCol w:w="65"/>
      </w:tblGrid>
      <w:tr>
        <w:trPr/>
        <w:tc>
          <w:tcPr>
            <w:tcW w:w="432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As at,</w:t>
            </w:r>
          </w:p>
        </w:tc>
        <w:tc>
          <w:tcPr>
            <w:tcW w:w="40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The carrying amount of:</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AMF Loan, denominated in Canadian dollars, due</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March 1, 2031</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6" w:type="dxa"/>
            <w:tcBorders/>
            <w:vAlign w:val="bottom"/>
          </w:tcPr>
          <w:p>
            <w:pPr>
              <w:pStyle w:val="TableContents"/>
              <w:bidi w:val="0"/>
              <w:spacing w:before="0" w:after="283"/>
              <w:jc w:val="right"/>
              <w:rPr>
                <w:b/>
              </w:rPr>
            </w:pPr>
            <w:r>
              <w:rPr>
                <w:b/>
              </w:rPr>
              <w:t>20.5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20.2</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Provincial MENDM Loan, denominated in Canadian dollars, due</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November 14, 2032</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41.8</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34.0</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SIF Agreement loan, denominated in Canadian dollars,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due April 30, 2031</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10.9</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10.6</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SIF EAF Agreement loan, denominated in Canadian dollars,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due January 1, 2030</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84.8</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83.1</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LETL loan, denominated in Canadian dollars,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due November 14, 2032</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90.5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35.5</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Provincial LETL loan, denominated in Canadian dollars,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due November 14, 2032</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22.7</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6" w:type="dxa"/>
            <w:tcBorders/>
            <w:shd w:fill="CCEEFF" w:val="clear"/>
            <w:vAlign w:val="bottom"/>
          </w:tcPr>
          <w:p>
            <w:pPr>
              <w:pStyle w:val="TableContents"/>
              <w:bidi w:val="0"/>
              <w:spacing w:before="0" w:after="283"/>
              <w:jc w:val="right"/>
              <w:rPr>
                <w:b/>
              </w:rPr>
            </w:pPr>
            <w:r>
              <w:rPr>
                <w:b/>
              </w:rPr>
              <w:t>271.2</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192.3</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3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Federal AMF Loan, denominated in Canadian dollars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6"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0.3</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Provincial MENDM Loan, denominated in Canadian dollars</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13.7</w:t>
            </w:r>
          </w:p>
        </w:tc>
        <w:tc>
          <w:tcPr>
            <w:tcW w:w="65"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56"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14.0</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56" w:type="dxa"/>
            <w:tcBorders/>
            <w:vAlign w:val="bottom"/>
          </w:tcPr>
          <w:p>
            <w:pPr>
              <w:pStyle w:val="TableContents"/>
              <w:bidi w:val="0"/>
              <w:spacing w:before="0" w:after="283"/>
              <w:jc w:val="right"/>
              <w:rPr>
                <w:b/>
              </w:rPr>
            </w:pPr>
            <w:r>
              <w:rPr>
                <w:b/>
              </w:rPr>
              <w:t>271.5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206.3</w:t>
            </w:r>
          </w:p>
        </w:tc>
        <w:tc>
          <w:tcPr>
            <w:tcW w:w="65"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GOVERNMENTAL LOANS </w:t>
            </w:r>
            <w:r>
              <w:rPr>
                <w:rFonts w:ascii="Times New Roman" w:hAnsi="Times New Roman"/>
                <w:i/>
                <w:sz w:val="20"/>
              </w:rPr>
              <w:t>(continued)</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Federal Economic Development Agency for Southern Ontario </w:t>
      </w:r>
    </w:p>
    <w:p>
      <w:pPr>
        <w:pStyle w:val="TextBody"/>
        <w:bidi w:val="0"/>
        <w:spacing w:before="120" w:after="0"/>
        <w:jc w:val="both"/>
        <w:rPr>
          <w:rFonts w:ascii="Times New Roman" w:hAnsi="Times New Roman"/>
          <w:sz w:val="20"/>
        </w:rPr>
      </w:pPr>
      <w:r>
        <w:rPr>
          <w:rFonts w:ascii="Times New Roman" w:hAnsi="Times New Roman"/>
          <w:sz w:val="20"/>
        </w:rPr>
        <w:t xml:space="preserve">On July 17, 2025, the Company amended the interest free Federal AMF loan from the Federal Economic Development Agency of the Government of Canada, through the Advanced Manufacturing Fund, and commenced repayments in revised monthly installments until March 1, 2031. </w:t>
      </w:r>
    </w:p>
    <w:p>
      <w:pPr>
        <w:pStyle w:val="TextBody"/>
        <w:bidi w:val="0"/>
        <w:spacing w:before="360" w:after="0"/>
        <w:jc w:val="left"/>
        <w:rPr>
          <w:rFonts w:ascii="Times New Roman" w:hAnsi="Times New Roman"/>
          <w:i/>
          <w:sz w:val="20"/>
        </w:rPr>
      </w:pPr>
      <w:r>
        <w:rPr>
          <w:rFonts w:ascii="Times New Roman" w:hAnsi="Times New Roman"/>
          <w:i/>
          <w:sz w:val="20"/>
        </w:rPr>
        <w:t xml:space="preserve">Ministry of Energy, Northern Development and Mines </w:t>
      </w:r>
    </w:p>
    <w:p>
      <w:pPr>
        <w:pStyle w:val="TextBody"/>
        <w:bidi w:val="0"/>
        <w:spacing w:before="120" w:after="0"/>
        <w:jc w:val="both"/>
        <w:rPr>
          <w:rFonts w:ascii="Times New Roman" w:hAnsi="Times New Roman"/>
          <w:sz w:val="20"/>
        </w:rPr>
      </w:pPr>
      <w:r>
        <w:rPr>
          <w:rFonts w:ascii="Times New Roman" w:hAnsi="Times New Roman"/>
          <w:sz w:val="20"/>
        </w:rPr>
        <w:t xml:space="preserve">On August 21, 2025, the Company amended the low interest loan from the Ministry of Energy, Northern Development and Mines of the Province of Ontario (the “Provincial MENDM Loan”), with revised monthly blended payments of principal and interest. On November 14, 2025, the Company further amended the Provincial MENDM Loan agreement with revised terms including maturity date of November 14, 2032, from May 31, 2029, whereby principal and accrued interest are due in full, and providing an option for the accrued interest to be paid in kind (the “PIK Interest”) on each interest payment date occurring on or before the second anniversary of the date of the agreement. The PIK Interest shall be deferred until maturity. </w:t>
      </w:r>
    </w:p>
    <w:p>
      <w:pPr>
        <w:pStyle w:val="TextBody"/>
        <w:bidi w:val="0"/>
        <w:spacing w:before="360" w:after="0"/>
        <w:jc w:val="both"/>
        <w:rPr>
          <w:rFonts w:ascii="Times New Roman" w:hAnsi="Times New Roman"/>
          <w:i/>
          <w:sz w:val="20"/>
        </w:rPr>
      </w:pPr>
      <w:r>
        <w:rPr>
          <w:rFonts w:ascii="Times New Roman" w:hAnsi="Times New Roman"/>
          <w:i/>
          <w:sz w:val="20"/>
        </w:rPr>
        <w:t xml:space="preserve">Canada Enterprise Emergency Funding Corporation and Ministry of Northern Economic Development and Growth </w:t>
      </w:r>
    </w:p>
    <w:p>
      <w:pPr>
        <w:pStyle w:val="TextBody"/>
        <w:bidi w:val="0"/>
        <w:spacing w:before="120" w:after="0"/>
        <w:jc w:val="both"/>
        <w:rPr>
          <w:rFonts w:ascii="Times New Roman" w:hAnsi="Times New Roman"/>
          <w:sz w:val="20"/>
        </w:rPr>
      </w:pPr>
      <w:r>
        <w:rPr>
          <w:rFonts w:ascii="Times New Roman" w:hAnsi="Times New Roman"/>
          <w:sz w:val="20"/>
        </w:rPr>
        <w:t xml:space="preserve">On November 14, 2025, the Company entered into agreements with Canada Enterprise Emergency Funding Corporation under the Large Enterprise Tariff Loan (the “Federal LETL”) program and the Ministry of Northern Economic Development and Growth (the “Provincial LETL”) to secure a $500 million governmental loan comprised of a $400 million loan facility from the government of Canada and a $100 million loan facility from the Province of Ontario (collectively, the “Facilities”). The Facilities will be provided proportionately for which 20% shall be secured, ranking junior to the Company’s existing first lien Revolving Credit Facility and the Notes, with the remaining 80% of the Facilities being unsecured. The Facilities include customary positive and negative covenants, including a restriction on capital distributions. </w:t>
      </w:r>
    </w:p>
    <w:p>
      <w:pPr>
        <w:pStyle w:val="TextBody"/>
        <w:bidi w:val="0"/>
        <w:spacing w:before="240" w:after="0"/>
        <w:jc w:val="both"/>
        <w:rPr>
          <w:rFonts w:ascii="Times New Roman" w:hAnsi="Times New Roman"/>
          <w:sz w:val="20"/>
        </w:rPr>
      </w:pPr>
      <w:r>
        <w:rPr>
          <w:rFonts w:ascii="Times New Roman" w:hAnsi="Times New Roman"/>
          <w:sz w:val="20"/>
        </w:rPr>
        <w:t xml:space="preserve">The Facilities were subject to the issuance of 6.77 million common share purchase Warrants (the “LETL Warrants”) to Canada Enterprise Emergency Funding Corporation (5.42 million LETL Warrants) and His Majesty the King in Right of Ontario (1.35 million LETL Warrants), with each LETL Warrant being exercisable for one common share of the Company at an exercise price of $11.08 for a ten-year term, vesting proportionately as unsecured draws are made. The Facilities have a seven-year term, with interest at CORRA + 200 bps for three years, stepping up by 200 bps each year thereafter. The exercise price of the LETL Warrants is equivalent to the volume-weighted average trading price of the Company’s common shares on the TSX from the completion of its going-public transaction in October 2021 through November 1, 2024, which was prior to the Section 232 tariffs imposed by the U.S. The LETL Warrants represent an embedded derivative for which a derivative liability has been presented on the condensed interim consolidated statements of financial position totalling $12.6 million (December 31, 2025 - $7.5 million). For the three month period ended March 31, 2026, a corresponding loss of $4.9 million has been included in change in fair value of IPO and LETL Warrant liabilities in the condensed interim consolidated statements of net loss (March 31, 2025 - nil). As at March 31, 2026 and December 31, 2025, no LETL warrants have vested. </w:t>
      </w:r>
    </w:p>
    <w:p>
      <w:pPr>
        <w:pStyle w:val="TextBody"/>
        <w:bidi w:val="0"/>
        <w:spacing w:before="240" w:after="0"/>
        <w:jc w:val="both"/>
        <w:rPr>
          <w:rFonts w:ascii="Times New Roman" w:hAnsi="Times New Roman"/>
          <w:sz w:val="20"/>
        </w:rPr>
      </w:pPr>
      <w:r>
        <w:rPr>
          <w:rFonts w:ascii="Times New Roman" w:hAnsi="Times New Roman"/>
          <w:sz w:val="20"/>
        </w:rPr>
        <w:t xml:space="preserve">Transaction costs related to the Facilities amounted to $2.8 million. Transaction costs are presented as other long-term assets in the condensed interim consolidated statements of financial position. Transaction costs are allocated proportionately based on the amount drawn down on the Facilities. At March 31, 2026, the unamortized transaction costs related to the Facilities were $1.6 million (December 31, 2025 - $2.3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GOVERNMENTAL LOANS </w:t>
            </w:r>
            <w:r>
              <w:rPr>
                <w:rFonts w:ascii="Times New Roman" w:hAnsi="Times New Roman"/>
                <w:i/>
                <w:sz w:val="20"/>
              </w:rPr>
              <w:t>(continued)</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changes in the Company’s governmental loan facilities arising from financing activities are presented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19"/>
        <w:gridCol w:w="249"/>
        <w:gridCol w:w="295"/>
        <w:gridCol w:w="1189"/>
        <w:gridCol w:w="155"/>
        <w:gridCol w:w="230"/>
        <w:gridCol w:w="266"/>
        <w:gridCol w:w="1217"/>
        <w:gridCol w:w="536"/>
        <w:gridCol w:w="172"/>
        <w:gridCol w:w="341"/>
        <w:gridCol w:w="1085"/>
        <w:gridCol w:w="60"/>
        <w:gridCol w:w="249"/>
        <w:gridCol w:w="193"/>
        <w:gridCol w:w="772"/>
        <w:gridCol w:w="160"/>
      </w:tblGrid>
      <w:tr>
        <w:trPr/>
        <w:tc>
          <w:tcPr>
            <w:tcW w:w="2219"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4" w:type="dxa"/>
            <w:gridSpan w:val="2"/>
            <w:tcBorders/>
            <w:vAlign w:val="bottom"/>
          </w:tcPr>
          <w:p>
            <w:pPr>
              <w:pStyle w:val="TableContents"/>
              <w:bidi w:val="0"/>
              <w:spacing w:before="0" w:after="283"/>
              <w:jc w:val="center"/>
              <w:rPr>
                <w:b/>
              </w:rPr>
            </w:pPr>
            <w:r>
              <w:rPr>
                <w:b/>
              </w:rPr>
              <w:t>Governmental</w:t>
              <w:br/>
              <w:t>Loan Issued</w:t>
              <w:br/>
              <w:t>(Repaid) *</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83" w:type="dxa"/>
            <w:gridSpan w:val="2"/>
            <w:tcBorders/>
            <w:vAlign w:val="bottom"/>
          </w:tcPr>
          <w:p>
            <w:pPr>
              <w:pStyle w:val="TableContents"/>
              <w:bidi w:val="0"/>
              <w:spacing w:before="0" w:after="283"/>
              <w:jc w:val="center"/>
              <w:rPr>
                <w:b/>
              </w:rPr>
            </w:pPr>
            <w:r>
              <w:rPr>
                <w:b/>
              </w:rPr>
              <w:t>Governmental</w:t>
              <w:br/>
              <w:t>loan benefit</w:t>
              <w:br/>
              <w:t>recognized</w:t>
              <w:br/>
              <w:t>immediately</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center"/>
              <w:rPr>
                <w:b/>
              </w:rPr>
            </w:pPr>
            <w:r>
              <w:rPr>
                <w:b/>
              </w:rPr>
              <w:t>Accretion of</w:t>
              <w:br/>
              <w:t>governmental</w:t>
              <w:br/>
              <w:t>loan benefit</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b/>
              </w:rPr>
            </w:pPr>
            <w:r>
              <w:rPr>
                <w:b/>
              </w:rPr>
              <w:t>Carrying</w:t>
              <w:br/>
              <w:t>value</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AMF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(29.5</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23.3</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20.5</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(0.1</w:t>
            </w:r>
          </w:p>
        </w:tc>
        <w:tc>
          <w:tcPr>
            <w:tcW w:w="155" w:type="dxa"/>
            <w:tcBorders/>
            <w:shd w:fill="CCEEFF" w:val="clear"/>
            <w:vAlign w:val="bottom"/>
          </w:tcPr>
          <w:p>
            <w:pPr>
              <w:pStyle w:val="TableContents"/>
              <w:bidi w:val="0"/>
              <w:spacing w:before="0" w:after="283"/>
              <w:jc w:val="left"/>
              <w:rPr>
                <w:b/>
              </w:rPr>
            </w:pPr>
            <w:r>
              <w:rPr>
                <w:b/>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5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0.4</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0.3</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26.4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(29.5</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23.7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20.8</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Provincial MENDM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(23.3</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21.0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47.7</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0.8</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b/>
              </w:rPr>
            </w:pPr>
            <w:r>
              <w:rPr>
                <w:b/>
              </w:rPr>
              <w:t>(7.0</w:t>
            </w:r>
          </w:p>
        </w:tc>
        <w:tc>
          <w:tcPr>
            <w:tcW w:w="536"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(5.9</w:t>
            </w:r>
          </w:p>
        </w:tc>
        <w:tc>
          <w:tcPr>
            <w:tcW w:w="160" w:type="dxa"/>
            <w:tcBorders/>
            <w:shd w:fill="CCEEFF" w:val="clear"/>
            <w:vAlign w:val="bottom"/>
          </w:tcPr>
          <w:p>
            <w:pPr>
              <w:pStyle w:val="TableContents"/>
              <w:bidi w:val="0"/>
              <w:spacing w:before="0" w:after="283"/>
              <w:jc w:val="left"/>
              <w:rPr>
                <w:b/>
              </w:rPr>
            </w:pPr>
            <w:r>
              <w:rPr>
                <w:b/>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50.9</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(30.3</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21.3</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41.8</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SIF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15.0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 </w:t>
            </w:r>
          </w:p>
        </w:tc>
        <w:tc>
          <w:tcPr>
            <w:tcW w:w="536" w:type="dxa"/>
            <w:tcBorders/>
            <w:vAlign w:val="bottom"/>
          </w:tcPr>
          <w:p>
            <w:pPr>
              <w:pStyle w:val="TableContents"/>
              <w:bidi w:val="0"/>
              <w:spacing w:before="0" w:after="283"/>
              <w:jc w:val="left"/>
              <w:rPr/>
            </w:pPr>
            <w:r>
              <w:rPr/>
              <w:t>(9.2)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10.6</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5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0.3</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15.0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(9.2</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5.1</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10.9</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SIF EAF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200.0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(131.1</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14.2</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83.1</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— </w:t>
            </w:r>
          </w:p>
        </w:tc>
        <w:tc>
          <w:tcPr>
            <w:tcW w:w="5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1.7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1.7</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200.0</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(131.1</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15.9</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84.8</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Federal LETL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(31.0</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35.5</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100.2</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b/>
              </w:rPr>
            </w:pPr>
            <w:r>
              <w:rPr>
                <w:b/>
              </w:rPr>
              <w:t>(46.5</w:t>
            </w:r>
          </w:p>
        </w:tc>
        <w:tc>
          <w:tcPr>
            <w:tcW w:w="536"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1.3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55.0</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166.4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(77.5</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1.6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90.5</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Provincial LETL Loan</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 </w:t>
            </w:r>
          </w:p>
        </w:tc>
        <w:tc>
          <w:tcPr>
            <w:tcW w:w="536" w:type="dxa"/>
            <w:tcBorders/>
            <w:vAlign w:val="bottom"/>
          </w:tcPr>
          <w:p>
            <w:pPr>
              <w:pStyle w:val="TableContents"/>
              <w:bidi w:val="0"/>
              <w:spacing w:before="0" w:after="283"/>
              <w:jc w:val="left"/>
              <w:rPr/>
            </w:pPr>
            <w:r>
              <w:rPr/>
              <w:t>(7.8)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8.9</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25.1</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b/>
              </w:rPr>
            </w:pPr>
            <w:r>
              <w:rPr>
                <w:b/>
              </w:rPr>
              <w:t>(11.6</w:t>
            </w:r>
          </w:p>
        </w:tc>
        <w:tc>
          <w:tcPr>
            <w:tcW w:w="536"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13.8</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41.7</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(19.4</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0.4</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22.7</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Governmental Loans</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1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374.4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(231.9</w:t>
            </w:r>
          </w:p>
        </w:tc>
        <w:tc>
          <w:tcPr>
            <w:tcW w:w="5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63.7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206.3</w:t>
            </w:r>
          </w:p>
        </w:tc>
        <w:tc>
          <w:tcPr>
            <w:tcW w:w="160" w:type="dxa"/>
            <w:tcBorders/>
            <w:vAlign w:val="bottom"/>
          </w:tcPr>
          <w:p>
            <w:pPr>
              <w:pStyle w:val="TableContents"/>
              <w:bidi w:val="0"/>
              <w:spacing w:before="0" w:after="283"/>
              <w:jc w:val="left"/>
              <w:rPr/>
            </w:pPr>
            <w:r>
              <w:rPr/>
              <w:t> </w:t>
            </w:r>
          </w:p>
        </w:tc>
      </w:tr>
      <w:tr>
        <w:trPr/>
        <w:tc>
          <w:tcPr>
            <w:tcW w:w="22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Movement in the period</w:t>
            </w:r>
          </w:p>
        </w:tc>
        <w:tc>
          <w:tcPr>
            <w:tcW w:w="24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126.0</w:t>
            </w:r>
          </w:p>
        </w:tc>
        <w:tc>
          <w:tcPr>
            <w:tcW w:w="15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b/>
              </w:rPr>
            </w:pPr>
            <w:r>
              <w:rPr>
                <w:b/>
              </w:rPr>
              <w:t>(65.1</w:t>
            </w:r>
          </w:p>
        </w:tc>
        <w:tc>
          <w:tcPr>
            <w:tcW w:w="536"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65.2</w:t>
            </w:r>
          </w:p>
        </w:tc>
        <w:tc>
          <w:tcPr>
            <w:tcW w:w="160" w:type="dxa"/>
            <w:tcBorders/>
            <w:shd w:fill="CCEEFF" w:val="clear"/>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500.4</w:t>
            </w:r>
          </w:p>
        </w:tc>
        <w:tc>
          <w:tcPr>
            <w:tcW w:w="15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b/>
              </w:rPr>
            </w:pPr>
            <w:r>
              <w:rPr>
                <w:b/>
              </w:rPr>
              <w:t>$</w:t>
            </w:r>
          </w:p>
        </w:tc>
        <w:tc>
          <w:tcPr>
            <w:tcW w:w="1217" w:type="dxa"/>
            <w:tcBorders/>
            <w:vAlign w:val="bottom"/>
          </w:tcPr>
          <w:p>
            <w:pPr>
              <w:pStyle w:val="TableContents"/>
              <w:bidi w:val="0"/>
              <w:spacing w:before="0" w:after="283"/>
              <w:jc w:val="right"/>
              <w:rPr>
                <w:b/>
              </w:rPr>
            </w:pPr>
            <w:r>
              <w:rPr>
                <w:b/>
              </w:rPr>
              <w:t>(297.0</w:t>
            </w:r>
          </w:p>
        </w:tc>
        <w:tc>
          <w:tcPr>
            <w:tcW w:w="536"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85" w:type="dxa"/>
            <w:tcBorders/>
            <w:vAlign w:val="bottom"/>
          </w:tcPr>
          <w:p>
            <w:pPr>
              <w:pStyle w:val="TableContents"/>
              <w:bidi w:val="0"/>
              <w:spacing w:before="0" w:after="283"/>
              <w:jc w:val="right"/>
              <w:rPr>
                <w:b/>
              </w:rPr>
            </w:pPr>
            <w:r>
              <w:rPr>
                <w:b/>
              </w:rPr>
              <w:t>68.0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271.5</w:t>
            </w:r>
          </w:p>
        </w:tc>
        <w:tc>
          <w:tcPr>
            <w:tcW w:w="160" w:type="dxa"/>
            <w:tcBorders/>
            <w:vAlign w:val="bottom"/>
          </w:tcPr>
          <w:p>
            <w:pPr>
              <w:pStyle w:val="TableContents"/>
              <w:bidi w:val="0"/>
              <w:spacing w:before="0" w:after="283"/>
              <w:jc w:val="left"/>
              <w:rPr/>
            </w:pPr>
            <w:r>
              <w:rPr/>
              <w:t> </w:t>
            </w:r>
          </w:p>
        </w:tc>
      </w:tr>
      <w:tr>
        <w:trPr/>
        <w:tc>
          <w:tcPr>
            <w:tcW w:w="2219"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53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 Net of transaction costs and interest paid-in-kind for the Federal LETL Loan and Provincial LETL Loan.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PENSION BENEFITS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components of amounts recognized in the condensed interim consolidated statements of net loss in respect of the defined benefit plans are presented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PENSION BENEFITS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9"/>
        <w:gridCol w:w="376"/>
        <w:gridCol w:w="325"/>
        <w:gridCol w:w="781"/>
        <w:gridCol w:w="60"/>
        <w:gridCol w:w="376"/>
        <w:gridCol w:w="302"/>
        <w:gridCol w:w="694"/>
        <w:gridCol w:w="62"/>
      </w:tblGrid>
      <w:tr>
        <w:trPr/>
        <w:tc>
          <w:tcPr>
            <w:tcW w:w="4779"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6"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Amounts recognized in net loss were as follows:</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2.6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cost</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b/>
              </w:rPr>
            </w:pPr>
            <w:r>
              <w:rPr>
                <w:b/>
              </w:rPr>
              <w:t>1.5</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1.8</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4.1</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Defined benefit costs recognized in:</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2.3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and selling expenses</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b/>
              </w:rPr>
            </w:pPr>
            <w:r>
              <w:rPr>
                <w:b/>
              </w:rPr>
              <w:t>0.3</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0.4</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pension liability</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b/>
              </w:rPr>
            </w:pPr>
            <w:r>
              <w:rPr>
                <w:b/>
              </w:rPr>
              <w:t>1.5</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b/>
              </w:rPr>
            </w:pPr>
            <w:r>
              <w:rPr>
                <w:b/>
              </w:rPr>
              <w:t>$</w:t>
            </w:r>
          </w:p>
        </w:tc>
        <w:tc>
          <w:tcPr>
            <w:tcW w:w="781" w:type="dxa"/>
            <w:tcBorders/>
            <w:shd w:fill="CCEEFF" w:val="clear"/>
            <w:vAlign w:val="bottom"/>
          </w:tcPr>
          <w:p>
            <w:pPr>
              <w:pStyle w:val="TableContents"/>
              <w:bidi w:val="0"/>
              <w:spacing w:before="0" w:after="283"/>
              <w:jc w:val="right"/>
              <w:rPr>
                <w:b/>
              </w:rPr>
            </w:pPr>
            <w:r>
              <w:rPr>
                <w:b/>
              </w:rPr>
              <w:t>4.1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5.7</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amounts recognized in the condensed interim consolidated statements of other comprehensive loss in respect of the defined benefit plans are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64"/>
        <w:gridCol w:w="371"/>
        <w:gridCol w:w="280"/>
        <w:gridCol w:w="792"/>
        <w:gridCol w:w="155"/>
        <w:gridCol w:w="333"/>
        <w:gridCol w:w="260"/>
        <w:gridCol w:w="742"/>
        <w:gridCol w:w="158"/>
      </w:tblGrid>
      <w:tr>
        <w:trPr/>
        <w:tc>
          <w:tcPr>
            <w:tcW w:w="4664"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1"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c>
          <w:tcPr>
            <w:tcW w:w="466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Amounts recognized in other comprehensive loss, were as follows:</w:t>
            </w:r>
          </w:p>
        </w:tc>
        <w:tc>
          <w:tcPr>
            <w:tcW w:w="371"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Actuarial gain on accrued pension liability</w:t>
            </w:r>
          </w:p>
        </w:tc>
        <w:tc>
          <w:tcPr>
            <w:tcW w:w="37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92" w:type="dxa"/>
            <w:tcBorders/>
            <w:vAlign w:val="bottom"/>
          </w:tcPr>
          <w:p>
            <w:pPr>
              <w:pStyle w:val="TableContents"/>
              <w:bidi w:val="0"/>
              <w:spacing w:before="0" w:after="283"/>
              <w:jc w:val="right"/>
              <w:rPr>
                <w:b/>
              </w:rPr>
            </w:pPr>
            <w:r>
              <w:rPr>
                <w:b/>
              </w:rPr>
              <w:t>(2.9</w:t>
            </w:r>
          </w:p>
        </w:tc>
        <w:tc>
          <w:tcPr>
            <w:tcW w:w="155" w:type="dxa"/>
            <w:tcBorders/>
            <w:vAlign w:val="bottom"/>
          </w:tcPr>
          <w:p>
            <w:pPr>
              <w:pStyle w:val="TableContents"/>
              <w:bidi w:val="0"/>
              <w:spacing w:before="0" w:after="283"/>
              <w:jc w:val="left"/>
              <w:rPr>
                <w:b/>
              </w:rPr>
            </w:pPr>
            <w:r>
              <w:rPr>
                <w:b/>
              </w:rPr>
              <w:t>) </w:t>
            </w:r>
          </w:p>
        </w:tc>
        <w:tc>
          <w:tcPr>
            <w:tcW w:w="33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(4.1</w:t>
            </w:r>
          </w:p>
        </w:tc>
        <w:tc>
          <w:tcPr>
            <w:tcW w:w="158" w:type="dxa"/>
            <w:tcBorders/>
            <w:vAlign w:val="bottom"/>
          </w:tcPr>
          <w:p>
            <w:pPr>
              <w:pStyle w:val="TableContents"/>
              <w:bidi w:val="0"/>
              <w:spacing w:before="0" w:after="283"/>
              <w:jc w:val="left"/>
              <w:rPr/>
            </w:pPr>
            <w:r>
              <w:rPr/>
              <w:t>) </w:t>
            </w:r>
          </w:p>
        </w:tc>
      </w:tr>
      <w:tr>
        <w:trPr/>
        <w:tc>
          <w:tcPr>
            <w:tcW w:w="4664"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OTHER POST-EMPLOYMENT BENEFITS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components of amounts recognized in the condensed interim consolidated statements of net loss in respect of the other post-employment benefit plans are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9"/>
        <w:gridCol w:w="376"/>
        <w:gridCol w:w="325"/>
        <w:gridCol w:w="781"/>
        <w:gridCol w:w="60"/>
        <w:gridCol w:w="376"/>
        <w:gridCol w:w="302"/>
        <w:gridCol w:w="694"/>
        <w:gridCol w:w="62"/>
      </w:tblGrid>
      <w:tr>
        <w:trPr/>
        <w:tc>
          <w:tcPr>
            <w:tcW w:w="4779"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6"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Amounts recognized in net loss were as follows:</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0.5</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0.8</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interest cost</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b/>
              </w:rPr>
            </w:pPr>
            <w:r>
              <w:rPr>
                <w:b/>
              </w:rPr>
              <w:t>2.1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2.2</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2.6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Post employment benefit costs recognized in:</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b/>
              </w:rPr>
            </w:pPr>
            <w:r>
              <w:rPr>
                <w:b/>
              </w:rPr>
              <w:t>$</w:t>
            </w:r>
          </w:p>
        </w:tc>
        <w:tc>
          <w:tcPr>
            <w:tcW w:w="781" w:type="dxa"/>
            <w:tcBorders/>
            <w:vAlign w:val="bottom"/>
          </w:tcPr>
          <w:p>
            <w:pPr>
              <w:pStyle w:val="TableContents"/>
              <w:bidi w:val="0"/>
              <w:spacing w:before="0" w:after="283"/>
              <w:jc w:val="right"/>
              <w:rPr>
                <w:b/>
              </w:rPr>
            </w:pPr>
            <w:r>
              <w:rPr>
                <w:b/>
              </w:rPr>
              <w:t>0.5</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0.7</w:t>
            </w:r>
          </w:p>
        </w:tc>
        <w:tc>
          <w:tcPr>
            <w:tcW w:w="62" w:type="dxa"/>
            <w:tcBorders/>
            <w:vAlign w:val="bottom"/>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and selling expenses</w:t>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0.1</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on other post-employment benefit obligation</w:t>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right"/>
              <w:rPr>
                <w:b/>
              </w:rPr>
            </w:pPr>
            <w:r>
              <w:rPr>
                <w:b/>
              </w:rPr>
              <w:t>2.1</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b/>
              </w:rPr>
            </w:pPr>
            <w:r>
              <w:rPr>
                <w:b/>
              </w:rPr>
              <w:t>$</w:t>
            </w:r>
          </w:p>
        </w:tc>
        <w:tc>
          <w:tcPr>
            <w:tcW w:w="781" w:type="dxa"/>
            <w:tcBorders/>
            <w:shd w:fill="CCEEFF" w:val="clear"/>
            <w:vAlign w:val="bottom"/>
          </w:tcPr>
          <w:p>
            <w:pPr>
              <w:pStyle w:val="TableContents"/>
              <w:bidi w:val="0"/>
              <w:spacing w:before="0" w:after="283"/>
              <w:jc w:val="right"/>
              <w:rPr>
                <w:b/>
              </w:rPr>
            </w:pPr>
            <w:r>
              <w:rPr>
                <w:b/>
              </w:rPr>
              <w:t>2.6</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3.0</w:t>
            </w:r>
          </w:p>
        </w:tc>
        <w:tc>
          <w:tcPr>
            <w:tcW w:w="62"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amounts recognized in the condensed interim consolidated statements of other comprehensive loss in respect of these other post-employment benefit plans are presented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OTHER POST-EMPLOYMENT BENEFITS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0"/>
        <w:gridCol w:w="375"/>
        <w:gridCol w:w="280"/>
        <w:gridCol w:w="790"/>
        <w:gridCol w:w="155"/>
        <w:gridCol w:w="337"/>
        <w:gridCol w:w="302"/>
        <w:gridCol w:w="703"/>
        <w:gridCol w:w="63"/>
      </w:tblGrid>
      <w:tr>
        <w:trPr/>
        <w:tc>
          <w:tcPr>
            <w:tcW w:w="475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5"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3"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Amounts recognized in other comprehensive loss, were as follows:</w:t>
            </w:r>
          </w:p>
        </w:tc>
        <w:tc>
          <w:tcPr>
            <w:tcW w:w="37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7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Actuarial (gain) loss on accrued post employment benefit liability</w:t>
            </w:r>
          </w:p>
        </w:tc>
        <w:tc>
          <w:tcPr>
            <w:tcW w:w="37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90" w:type="dxa"/>
            <w:tcBorders/>
            <w:vAlign w:val="bottom"/>
          </w:tcPr>
          <w:p>
            <w:pPr>
              <w:pStyle w:val="TableContents"/>
              <w:bidi w:val="0"/>
              <w:spacing w:before="0" w:after="283"/>
              <w:jc w:val="right"/>
              <w:rPr>
                <w:b/>
              </w:rPr>
            </w:pPr>
            <w:r>
              <w:rPr>
                <w:b/>
              </w:rPr>
              <w:t>(2.4</w:t>
            </w:r>
          </w:p>
        </w:tc>
        <w:tc>
          <w:tcPr>
            <w:tcW w:w="155" w:type="dxa"/>
            <w:tcBorders/>
            <w:vAlign w:val="bottom"/>
          </w:tcPr>
          <w:p>
            <w:pPr>
              <w:pStyle w:val="TableContents"/>
              <w:bidi w:val="0"/>
              <w:spacing w:before="0" w:after="283"/>
              <w:jc w:val="left"/>
              <w:rPr>
                <w:b/>
              </w:rPr>
            </w:pPr>
            <w:r>
              <w:rPr>
                <w:b/>
              </w:rPr>
              <w:t>) </w:t>
            </w:r>
          </w:p>
        </w:tc>
        <w:tc>
          <w:tcPr>
            <w:tcW w:w="337"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0.2</w:t>
            </w:r>
          </w:p>
        </w:tc>
        <w:tc>
          <w:tcPr>
            <w:tcW w:w="63" w:type="dxa"/>
            <w:tcBorders/>
            <w:vAlign w:val="bottom"/>
          </w:tcPr>
          <w:p>
            <w:pPr>
              <w:pStyle w:val="TableContents"/>
              <w:bidi w:val="0"/>
              <w:spacing w:before="0" w:after="283"/>
              <w:jc w:val="left"/>
              <w:rPr/>
            </w:pPr>
            <w:r>
              <w:rPr/>
              <w:t> </w:t>
            </w:r>
          </w:p>
        </w:tc>
      </w:tr>
      <w:tr>
        <w:trPr/>
        <w:tc>
          <w:tcPr>
            <w:tcW w:w="475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OTHER LONG-TERM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4"/>
        <w:gridCol w:w="409"/>
        <w:gridCol w:w="214"/>
        <w:gridCol w:w="882"/>
        <w:gridCol w:w="60"/>
        <w:gridCol w:w="409"/>
        <w:gridCol w:w="330"/>
        <w:gridCol w:w="1033"/>
        <w:gridCol w:w="64"/>
      </w:tblGrid>
      <w:tr>
        <w:trPr/>
        <w:tc>
          <w:tcPr>
            <w:tcW w:w="4354"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at,</w:t>
            </w:r>
          </w:p>
        </w:tc>
        <w:tc>
          <w:tcPr>
            <w:tcW w:w="409"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4" w:type="dxa"/>
            <w:tcBorders/>
            <w:vAlign w:val="bottom"/>
          </w:tcPr>
          <w:p>
            <w:pPr>
              <w:pStyle w:val="TableContents"/>
              <w:bidi w:val="0"/>
              <w:spacing w:before="0" w:after="283"/>
              <w:jc w:val="left"/>
              <w:rPr/>
            </w:pPr>
            <w:r>
              <w:rPr/>
              <w:t> </w:t>
            </w:r>
          </w:p>
        </w:tc>
      </w:tr>
      <w:tr>
        <w:trPr/>
        <w:tc>
          <w:tcPr>
            <w:tcW w:w="435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The carrying amount of the following other long term liabilities: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 payable, Provincial MENDM Loan</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6.4</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Financing arrangements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20.8</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21.6</w:t>
            </w:r>
          </w:p>
        </w:tc>
        <w:tc>
          <w:tcPr>
            <w:tcW w:w="64" w:type="dxa"/>
            <w:tcBorders/>
            <w:shd w:fill="CCEEFF" w:val="clear"/>
            <w:vAlign w:val="bottom"/>
          </w:tcPr>
          <w:p>
            <w:pPr>
              <w:pStyle w:val="TableContents"/>
              <w:bidi w:val="0"/>
              <w:spacing w:before="0" w:after="283"/>
              <w:jc w:val="left"/>
              <w:rPr/>
            </w:pPr>
            <w:r>
              <w:rPr/>
              <w:t> </w:t>
            </w:r>
          </w:p>
        </w:tc>
      </w:tr>
      <w:tr>
        <w:trPr/>
        <w:tc>
          <w:tcPr>
            <w:tcW w:w="4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LETL governmental loan benefit</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95.8</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38.6</w:t>
            </w:r>
          </w:p>
        </w:tc>
        <w:tc>
          <w:tcPr>
            <w:tcW w:w="64" w:type="dxa"/>
            <w:tcBorders/>
            <w:vAlign w:val="bottom"/>
          </w:tcPr>
          <w:p>
            <w:pPr>
              <w:pStyle w:val="TableContents"/>
              <w:bidi w:val="0"/>
              <w:spacing w:before="0" w:after="283"/>
              <w:jc w:val="left"/>
              <w:rPr/>
            </w:pPr>
            <w:r>
              <w:rPr/>
              <w:t> </w:t>
            </w:r>
          </w:p>
        </w:tc>
      </w:tr>
      <w:tr>
        <w:trPr/>
        <w:tc>
          <w:tcPr>
            <w:tcW w:w="4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disability plan obligation</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1.1</w:t>
            </w:r>
          </w:p>
        </w:tc>
        <w:tc>
          <w:tcPr>
            <w:tcW w:w="64" w:type="dxa"/>
            <w:tcBorders/>
            <w:shd w:fill="CCEEFF" w:val="clear"/>
            <w:vAlign w:val="bottom"/>
          </w:tcPr>
          <w:p>
            <w:pPr>
              <w:pStyle w:val="TableContents"/>
              <w:bidi w:val="0"/>
              <w:spacing w:before="0" w:after="283"/>
              <w:jc w:val="left"/>
              <w:rPr/>
            </w:pPr>
            <w:r>
              <w:rPr/>
              <w:t> </w:t>
            </w:r>
          </w:p>
        </w:tc>
      </w:tr>
      <w:tr>
        <w:trPr/>
        <w:tc>
          <w:tcPr>
            <w:tcW w:w="4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portion of lease liability</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1.1</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3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Legal settlement</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1.7</w:t>
            </w:r>
          </w:p>
        </w:tc>
        <w:tc>
          <w:tcPr>
            <w:tcW w:w="64" w:type="dxa"/>
            <w:tcBorders/>
            <w:shd w:fill="CCEEFF" w:val="clear"/>
            <w:vAlign w:val="bottom"/>
          </w:tcPr>
          <w:p>
            <w:pPr>
              <w:pStyle w:val="TableContents"/>
              <w:bidi w:val="0"/>
              <w:spacing w:before="0" w:after="283"/>
              <w:jc w:val="left"/>
              <w:rPr/>
            </w:pPr>
            <w:r>
              <w:rPr/>
              <w:t> </w:t>
            </w:r>
          </w:p>
        </w:tc>
      </w:tr>
      <w:tr>
        <w:trPr/>
        <w:tc>
          <w:tcPr>
            <w:tcW w:w="4354"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54"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126.1</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70.7</w:t>
            </w:r>
          </w:p>
        </w:tc>
        <w:tc>
          <w:tcPr>
            <w:tcW w:w="64" w:type="dxa"/>
            <w:tcBorders/>
            <w:vAlign w:val="bottom"/>
          </w:tcPr>
          <w:p>
            <w:pPr>
              <w:pStyle w:val="TableContents"/>
              <w:bidi w:val="0"/>
              <w:spacing w:before="0" w:after="283"/>
              <w:jc w:val="left"/>
              <w:rPr/>
            </w:pPr>
            <w:r>
              <w:rPr/>
              <w:t> </w:t>
            </w:r>
          </w:p>
        </w:tc>
      </w:tr>
      <w:tr>
        <w:trPr/>
        <w:tc>
          <w:tcPr>
            <w:tcW w:w="4354"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LETL Governmental Loan Benefit </w:t>
      </w:r>
    </w:p>
    <w:p>
      <w:pPr>
        <w:pStyle w:val="TextBody"/>
        <w:bidi w:val="0"/>
        <w:spacing w:before="120" w:after="0"/>
        <w:jc w:val="both"/>
        <w:rPr>
          <w:rFonts w:ascii="Times New Roman" w:hAnsi="Times New Roman"/>
          <w:sz w:val="20"/>
        </w:rPr>
      </w:pPr>
      <w:r>
        <w:rPr>
          <w:rFonts w:ascii="Times New Roman" w:hAnsi="Times New Roman"/>
          <w:sz w:val="20"/>
        </w:rPr>
        <w:t xml:space="preserve">As disclosed in Note 16, the Company has entered into agreements with Canada Enterprise Emergency Funding Corporation and the Ministry of Northern Economic Development and Growth under which the Company has received a total of $208.1 million. At March 31, 2026, a governmental loan benefit representing below-market interest under this agreement was $95.8 million which will be recognized over the term of the LETL governmental loan (December 31, 2025 – $38.6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20.</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INCOME TAX RECOVERY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components of income tax recovery for the three month periods ended March 31, 2026 and 2025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0"/>
        <w:gridCol w:w="339"/>
        <w:gridCol w:w="298"/>
        <w:gridCol w:w="783"/>
        <w:gridCol w:w="60"/>
        <w:gridCol w:w="339"/>
        <w:gridCol w:w="212"/>
        <w:gridCol w:w="784"/>
        <w:gridCol w:w="160"/>
      </w:tblGrid>
      <w:tr>
        <w:trPr/>
        <w:tc>
          <w:tcPr>
            <w:tcW w:w="478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8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39"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60" w:type="dxa"/>
            <w:tcBorders/>
            <w:vAlign w:val="bottom"/>
          </w:tcPr>
          <w:p>
            <w:pPr>
              <w:pStyle w:val="TableContents"/>
              <w:bidi w:val="0"/>
              <w:spacing w:before="0" w:after="283"/>
              <w:jc w:val="left"/>
              <w:rPr/>
            </w:pPr>
            <w:r>
              <w:rPr/>
              <w:t> </w:t>
            </w:r>
          </w:p>
        </w:tc>
      </w:tr>
      <w:tr>
        <w:trPr/>
        <w:tc>
          <w:tcPr>
            <w:tcW w:w="478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Income tax recovery recognized in net loss:</w:t>
            </w:r>
          </w:p>
        </w:tc>
        <w:tc>
          <w:tcPr>
            <w:tcW w:w="339"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tax recovery</w:t>
            </w:r>
          </w:p>
        </w:tc>
        <w:tc>
          <w:tcPr>
            <w:tcW w:w="33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b/>
              </w:rPr>
            </w:pPr>
            <w:r>
              <w:rPr>
                <w:b/>
              </w:rPr>
              <w:t>$</w:t>
            </w:r>
          </w:p>
        </w:tc>
        <w:tc>
          <w:tcPr>
            <w:tcW w:w="7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(24.4</w:t>
            </w:r>
          </w:p>
        </w:tc>
        <w:tc>
          <w:tcPr>
            <w:tcW w:w="160" w:type="dxa"/>
            <w:tcBorders/>
            <w:vAlign w:val="bottom"/>
          </w:tcPr>
          <w:p>
            <w:pPr>
              <w:pStyle w:val="TableContents"/>
              <w:bidi w:val="0"/>
              <w:spacing w:before="0" w:after="283"/>
              <w:jc w:val="left"/>
              <w:rPr/>
            </w:pPr>
            <w:r>
              <w:rPr/>
              <w:t>) </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 recovery</w:t>
            </w:r>
          </w:p>
        </w:tc>
        <w:tc>
          <w:tcPr>
            <w:tcW w:w="339"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(2.0</w:t>
            </w:r>
          </w:p>
        </w:tc>
        <w:tc>
          <w:tcPr>
            <w:tcW w:w="160" w:type="dxa"/>
            <w:tcBorders/>
            <w:shd w:fill="CCEEFF" w:val="clear"/>
            <w:vAlign w:val="bottom"/>
          </w:tcPr>
          <w:p>
            <w:pPr>
              <w:pStyle w:val="TableContents"/>
              <w:bidi w:val="0"/>
              <w:spacing w:before="0" w:after="283"/>
              <w:jc w:val="left"/>
              <w:rPr/>
            </w:pPr>
            <w:r>
              <w:rPr/>
              <w:t>) </w:t>
            </w:r>
          </w:p>
        </w:tc>
      </w:tr>
      <w:tr>
        <w:trPr/>
        <w:tc>
          <w:tcPr>
            <w:tcW w:w="47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b/>
              </w:rPr>
            </w:pPr>
            <w:r>
              <w:rPr>
                <w:b/>
              </w:rPr>
              <w:t>$</w:t>
            </w:r>
          </w:p>
        </w:tc>
        <w:tc>
          <w:tcPr>
            <w:tcW w:w="7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784" w:type="dxa"/>
            <w:tcBorders/>
            <w:vAlign w:val="bottom"/>
          </w:tcPr>
          <w:p>
            <w:pPr>
              <w:pStyle w:val="TableContents"/>
              <w:bidi w:val="0"/>
              <w:spacing w:before="0" w:after="283"/>
              <w:jc w:val="right"/>
              <w:rPr/>
            </w:pPr>
            <w:r>
              <w:rPr/>
              <w:t>(26.4</w:t>
            </w:r>
          </w:p>
        </w:tc>
        <w:tc>
          <w:tcPr>
            <w:tcW w:w="160" w:type="dxa"/>
            <w:tcBorders/>
            <w:vAlign w:val="bottom"/>
          </w:tcPr>
          <w:p>
            <w:pPr>
              <w:pStyle w:val="TableContents"/>
              <w:bidi w:val="0"/>
              <w:spacing w:before="0" w:after="283"/>
              <w:jc w:val="left"/>
              <w:rPr/>
            </w:pPr>
            <w:r>
              <w:rPr/>
              <w:t>) </w:t>
            </w:r>
          </w:p>
        </w:tc>
      </w:tr>
      <w:tr>
        <w:trPr/>
        <w:tc>
          <w:tcPr>
            <w:tcW w:w="47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Property, plant and equipment </w:t>
      </w:r>
    </w:p>
    <w:p>
      <w:pPr>
        <w:pStyle w:val="TextBody"/>
        <w:bidi w:val="0"/>
        <w:spacing w:before="120" w:after="0"/>
        <w:jc w:val="both"/>
        <w:rPr>
          <w:rFonts w:ascii="Times New Roman" w:hAnsi="Times New Roman"/>
          <w:sz w:val="20"/>
        </w:rPr>
      </w:pPr>
      <w:r>
        <w:rPr>
          <w:rFonts w:ascii="Times New Roman" w:hAnsi="Times New Roman"/>
          <w:sz w:val="20"/>
        </w:rPr>
        <w:t xml:space="preserve">In the normal course of business operations the Company has certain commitments for capital expenditures related to the maintenance and acquisition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COMMITMENTS AND CONTINGENCIES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Key inputs to production </w:t>
      </w:r>
    </w:p>
    <w:p>
      <w:pPr>
        <w:pStyle w:val="TextBody"/>
        <w:bidi w:val="0"/>
        <w:spacing w:before="120" w:after="0"/>
        <w:jc w:val="both"/>
        <w:rPr>
          <w:rFonts w:ascii="Times New Roman" w:hAnsi="Times New Roman"/>
          <w:sz w:val="20"/>
        </w:rPr>
      </w:pPr>
      <w:r>
        <w:rPr>
          <w:rFonts w:ascii="Times New Roman" w:hAnsi="Times New Roman"/>
          <w:sz w:val="20"/>
        </w:rPr>
        <w:t xml:space="preserve">Historically, the Company secured key raw materials under annual and multi-year supply agreements to support its integrated steel operations and cross-border business. Beginning in March 2025 and continuing into 2026, U.S. tariffs of up to 50% on Canadian steel and derivative products, imposed under Section 232 of the Trade Expansion Act of 1962, fundamentally altered the Company’s access to its primary export market and disrupted established North American trade flows and pricing. As a result, the Company’s blast furnace and coke-making operations became commercially and technically unviable, and production was permanently halted. The Company’s ongoing transition to EAF steelmaking, which had been planned as a gradual, multi-year process through 2027, became the sole remaining production pathway. The Company issued notices asserting that certain raw material and other supply agreements had been frustrated. </w:t>
      </w:r>
    </w:p>
    <w:p>
      <w:pPr>
        <w:pStyle w:val="TextBody"/>
        <w:bidi w:val="0"/>
        <w:spacing w:before="120" w:after="0"/>
        <w:jc w:val="left"/>
        <w:rPr>
          <w:rFonts w:ascii="Times New Roman" w:hAnsi="Times New Roman"/>
          <w:i/>
          <w:sz w:val="20"/>
        </w:rPr>
      </w:pPr>
      <w:r>
        <w:rPr>
          <w:rFonts w:ascii="Times New Roman" w:hAnsi="Times New Roman"/>
          <w:i/>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in the ordinary course of business, the Company is a defendant or party to various pending or threatened legal proceedings. Although the outcome of such matters cannot be predicted with certainty, management currently believes that the resolution of these ordinary course proceedings, to the extent not covered by insurance or otherwise provided for, will not have a material impact on the Company’s condensed interim consolidated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initiated and is responding to legal proceedings relating to certain supply agreements, including proceedings arising from the Company’s position that certain agreements have been frustrated as a result of the unprecedented U.S. trade measures described above. The Company’s position is that these external governmental actions destroyed the essential purpose of those agreements, rendering continued performance radically different from what was originally contemplated and commercially impossible. The Company has claimed various legal remedies and asserted various legal defenses, including frustration and related doctrines, and intends to vigorously pursue and defend its position. Management continues to monitor these proceedings and will recognize provisions where a present obligation exists and a reliable estimate of loss can be made. While management believes that it has valid legal remedies and defenses to these claims, an adverse outcome in certain matters could have a material adverse effect on the Company’s consolidated financial condition or results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CAPITAL STOCK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66"/>
        <w:gridCol w:w="283"/>
        <w:gridCol w:w="60"/>
        <w:gridCol w:w="1350"/>
        <w:gridCol w:w="60"/>
        <w:gridCol w:w="283"/>
        <w:gridCol w:w="223"/>
        <w:gridCol w:w="1067"/>
        <w:gridCol w:w="63"/>
      </w:tblGrid>
      <w:tr>
        <w:trPr/>
        <w:tc>
          <w:tcPr>
            <w:tcW w:w="436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10"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 issued</w:t>
              <w:br/>
              <w:t>and</w:t>
              <w:br/>
              <w:t>outstanding</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pPr>
            <w:r>
              <w:rPr/>
              <w:t>Stated</w:t>
              <w:br/>
              <w:t>capital value</w:t>
            </w:r>
          </w:p>
        </w:tc>
        <w:tc>
          <w:tcPr>
            <w:tcW w:w="63" w:type="dxa"/>
            <w:tcBorders/>
            <w:vAlign w:val="bottom"/>
          </w:tcPr>
          <w:p>
            <w:pPr>
              <w:pStyle w:val="TableContents"/>
              <w:bidi w:val="0"/>
              <w:spacing w:before="0" w:after="283"/>
              <w:jc w:val="left"/>
              <w:rPr/>
            </w:pPr>
            <w:r>
              <w:rPr/>
              <w:t> </w:t>
            </w:r>
          </w:p>
        </w:tc>
      </w:tr>
      <w:tr>
        <w:trPr/>
        <w:tc>
          <w:tcPr>
            <w:tcW w:w="4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104,933,802</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975.5</w:t>
            </w:r>
          </w:p>
        </w:tc>
        <w:tc>
          <w:tcPr>
            <w:tcW w:w="63" w:type="dxa"/>
            <w:tcBorders/>
            <w:shd w:fill="CCEEFF" w:val="clear"/>
            <w:vAlign w:val="bottom"/>
          </w:tcPr>
          <w:p>
            <w:pPr>
              <w:pStyle w:val="TableContents"/>
              <w:bidi w:val="0"/>
              <w:spacing w:before="0" w:after="283"/>
              <w:jc w:val="left"/>
              <w:rPr/>
            </w:pPr>
            <w:r>
              <w:rPr/>
              <w:t> </w:t>
            </w:r>
          </w:p>
        </w:tc>
      </w:tr>
      <w:tr>
        <w:trPr/>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capital stock</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454,817</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436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March 31, 2026</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105,388,619</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980.2</w:t>
            </w:r>
          </w:p>
        </w:tc>
        <w:tc>
          <w:tcPr>
            <w:tcW w:w="63" w:type="dxa"/>
            <w:tcBorders/>
            <w:shd w:fill="CCEEFF" w:val="clear"/>
            <w:vAlign w:val="bottom"/>
          </w:tcPr>
          <w:p>
            <w:pPr>
              <w:pStyle w:val="TableContents"/>
              <w:bidi w:val="0"/>
              <w:spacing w:before="0" w:after="283"/>
              <w:jc w:val="left"/>
              <w:rPr/>
            </w:pPr>
            <w:r>
              <w:rPr/>
              <w:t> </w:t>
            </w:r>
          </w:p>
        </w:tc>
      </w:tr>
      <w:tr>
        <w:trPr/>
        <w:tc>
          <w:tcPr>
            <w:tcW w:w="436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During the three month period ended March 31, 2026, the Company issued 454,817 common shares upon exercise of Deferred Share Units (“DSUs”), Restricted Share Units (“RSUs”) and Performance Share Units (“PSUs”) under the Omnibus Plan. Refer to Note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23.</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COMMON SHARE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6"/>
        <w:gridCol w:w="300"/>
        <w:gridCol w:w="193"/>
        <w:gridCol w:w="911"/>
        <w:gridCol w:w="155"/>
        <w:gridCol w:w="261"/>
        <w:gridCol w:w="199"/>
        <w:gridCol w:w="802"/>
        <w:gridCol w:w="158"/>
      </w:tblGrid>
      <w:tr>
        <w:trPr/>
        <w:tc>
          <w:tcPr>
            <w:tcW w:w="4776"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00"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8"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millions)</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w:t>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11"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(24.5</w:t>
            </w:r>
          </w:p>
        </w:tc>
        <w:tc>
          <w:tcPr>
            <w:tcW w:w="158"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change in fair value of warrants (i)</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(39.1</w:t>
            </w:r>
          </w:p>
        </w:tc>
        <w:tc>
          <w:tcPr>
            <w:tcW w:w="158"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 (diluted)</w:t>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11"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b/>
              </w:rPr>
            </w:pPr>
            <w:r>
              <w:rPr>
                <w:b/>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(63.6</w:t>
            </w:r>
          </w:p>
        </w:tc>
        <w:tc>
          <w:tcPr>
            <w:tcW w:w="158"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millions)</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(ii)</w:t>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108.8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108.5</w:t>
            </w:r>
          </w:p>
        </w:tc>
        <w:tc>
          <w:tcPr>
            <w:tcW w:w="158"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Dilutive effect of warrants, restricted share units and performance share units (i) (ii)</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24.2</w:t>
            </w:r>
          </w:p>
        </w:tc>
        <w:tc>
          <w:tcPr>
            <w:tcW w:w="158"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76" w:type="dxa"/>
            <w:tcBorders/>
          </w:tcPr>
          <w:p>
            <w:pPr>
              <w:pStyle w:val="TableContents"/>
              <w:bidi w:val="0"/>
              <w:spacing w:before="0" w:after="0"/>
              <w:jc w:val="left"/>
              <w:rPr>
                <w:rFonts w:ascii="Times New Roman" w:hAnsi="Times New Roman"/>
                <w:sz w:val="20"/>
              </w:rPr>
            </w:pPr>
            <w:r>
              <w:rPr>
                <w:rFonts w:ascii="Times New Roman" w:hAnsi="Times New Roman"/>
                <w:sz w:val="20"/>
              </w:rPr>
              <w:t>Dilutive weighted average common shares outstanding</w:t>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108.8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132.7</w:t>
            </w:r>
          </w:p>
        </w:tc>
        <w:tc>
          <w:tcPr>
            <w:tcW w:w="158" w:type="dxa"/>
            <w:tcBorders/>
            <w:vAlign w:val="bottom"/>
          </w:tcPr>
          <w:p>
            <w:pPr>
              <w:pStyle w:val="TableContents"/>
              <w:bidi w:val="0"/>
              <w:spacing w:before="0" w:after="283"/>
              <w:jc w:val="left"/>
              <w:rPr/>
            </w:pPr>
            <w:r>
              <w:rPr/>
              <w:t> </w:t>
            </w:r>
          </w:p>
        </w:tc>
      </w:tr>
      <w:tr>
        <w:trPr/>
        <w:tc>
          <w:tcPr>
            <w:tcW w:w="4776"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common share:</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776"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w:t>
            </w:r>
          </w:p>
        </w:tc>
        <w:tc>
          <w:tcPr>
            <w:tcW w:w="30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911" w:type="dxa"/>
            <w:tcBorders/>
            <w:vAlign w:val="bottom"/>
          </w:tcPr>
          <w:p>
            <w:pPr>
              <w:pStyle w:val="TableContents"/>
              <w:bidi w:val="0"/>
              <w:spacing w:before="0" w:after="283"/>
              <w:jc w:val="right"/>
              <w:rPr>
                <w:b/>
              </w:rPr>
            </w:pPr>
            <w:r>
              <w:rPr>
                <w:b/>
              </w:rPr>
              <w:t>(1.46</w:t>
            </w:r>
          </w:p>
        </w:tc>
        <w:tc>
          <w:tcPr>
            <w:tcW w:w="155" w:type="dxa"/>
            <w:tcBorders/>
            <w:vAlign w:val="bottom"/>
          </w:tcPr>
          <w:p>
            <w:pPr>
              <w:pStyle w:val="TableContents"/>
              <w:bidi w:val="0"/>
              <w:spacing w:before="0" w:after="283"/>
              <w:jc w:val="left"/>
              <w:rPr>
                <w:b/>
              </w:rPr>
            </w:pPr>
            <w:r>
              <w:rPr>
                <w:b/>
              </w:rPr>
              <w:t>) </w:t>
            </w:r>
          </w:p>
        </w:tc>
        <w:tc>
          <w:tcPr>
            <w:tcW w:w="26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(0.23</w:t>
            </w:r>
          </w:p>
        </w:tc>
        <w:tc>
          <w:tcPr>
            <w:tcW w:w="158" w:type="dxa"/>
            <w:tcBorders/>
            <w:vAlign w:val="bottom"/>
          </w:tcPr>
          <w:p>
            <w:pPr>
              <w:pStyle w:val="TableContents"/>
              <w:bidi w:val="0"/>
              <w:spacing w:before="0" w:after="283"/>
              <w:jc w:val="left"/>
              <w:rPr/>
            </w:pPr>
            <w:r>
              <w:rPr/>
              <w:t>) </w:t>
            </w:r>
          </w:p>
        </w:tc>
      </w:tr>
      <w:tr>
        <w:trPr/>
        <w:tc>
          <w:tcPr>
            <w:tcW w:w="47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30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911" w:type="dxa"/>
            <w:tcBorders/>
            <w:shd w:fill="CCEEFF" w:val="clear"/>
            <w:vAlign w:val="bottom"/>
          </w:tcPr>
          <w:p>
            <w:pPr>
              <w:pStyle w:val="TableContents"/>
              <w:bidi w:val="0"/>
              <w:spacing w:before="0" w:after="283"/>
              <w:jc w:val="right"/>
              <w:rPr>
                <w:b/>
              </w:rPr>
            </w:pPr>
            <w:r>
              <w:rPr>
                <w:b/>
              </w:rPr>
              <w:t>(1.46</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(0.48</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computation of basic and diluted net loss per common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at March 31, 2026, 24,178,999 IPO Warrants remain outstanding (March 31, 2025 – 24,178,999) and 6,768,953 LETL Warrants (March 31, 2025 – nil). For the purposes of determining diluted net loss per common share, net loss for the three month period ended March 31, 2026 was not adjusted as the IPO and LETL Warrants were determined to be anti-dilutive. For the purposes of determining diluted net loss per common share, net loss for the three month period ended March 31, 2025 was adjusted for the change in the fair value of the warrants in the amount of $39.1 million (US $27.3 million) as the warrants were determined to be dilutive.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June 18, 2024 the Board of Directors granted 569,536 and 953,783 RSUs and PSUs, respectively, to various employees of the Company under the Omnibus Plan for the twelve month period ended March 31, 2025 (“FY2025 Plan”). On March 11, 2025, the Board of Directors granted 565,016 and 1,042,775 RSUs and PSUs, respectively, to various employees of the Company under the Omnibus Plan for the year ended December 31, 2025 (“CY2025 Plan”). For the purposes of determining diluted net loss per share, the RSUs and PSUs considered in determining diluted net loss per share for the three month period ended March 31, 2026 is 220,005 common shares (March 31, 2025 – 419,185 common shares). The RSUs and PSUs were determined to be anti-dilutive.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the total weighted average common shares issued and outstanding is 105,002,061 (March 31, 2025 – 104,897,691). </w:t>
      </w:r>
    </w:p>
    <w:p>
      <w:pPr>
        <w:pStyle w:val="TextBody"/>
        <w:bidi w:val="0"/>
        <w:spacing w:before="120" w:after="0"/>
        <w:jc w:val="both"/>
        <w:rPr>
          <w:rFonts w:ascii="Times New Roman" w:hAnsi="Times New Roman"/>
          <w:sz w:val="20"/>
        </w:rPr>
      </w:pPr>
      <w:r>
        <w:rPr>
          <w:rFonts w:ascii="Times New Roman" w:hAnsi="Times New Roman"/>
          <w:sz w:val="20"/>
        </w:rPr>
        <w:t xml:space="preserve">The Company issued earnout rights and Replacement LTIP awards in connection with the Company’s merger transaction from fiscal 2022. For the three month period ended March 31, 2026, 655,453 weighted average earnout rights have been included in the calculation of basic and diluted net loss per common share (March 31, 2025 – 687,116). Replacement LTIP awards are included within the weighted average common shares outstanding, as the Replacement LTIP Awards are fully vested and exercisable for a nominal price. For the three month period ended March 31, 2026, 2,515,266 weighted average Replacement LTIP awards have been included in the calculation of basic and diluted net loss per common share (March 31, 2025 – 2,454,347). Refer to Notes 28 and 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NET LOSS PER COMMON SHARE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 w:hAnsi="Times New Roman"/>
          <w:sz w:val="20"/>
        </w:rPr>
        <w:t xml:space="preserve">The Company also routinely grants DSUs to Directors of the Company under its Omnibus Equity Incentive Plan (“Omnibus Plan”). DSUs as vested to various Directors of the Company in respect of their annual retainers. The DSUs recognized under the Omnibus Plan are included within the weighted average common shares outstanding, as the units are exercisable for no consideration. For the three month period ended March 31, 2026, 642,563 weighted average DSUs have been included in the calculation of basic and diluted net loss per common share (March 31, 2025 – 481,432). Refer to Note 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CHANGE IN NON-CASH OPERATING WORKING CAPITAL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21"/>
        <w:gridCol w:w="338"/>
        <w:gridCol w:w="214"/>
        <w:gridCol w:w="861"/>
        <w:gridCol w:w="155"/>
        <w:gridCol w:w="299"/>
        <w:gridCol w:w="199"/>
        <w:gridCol w:w="809"/>
        <w:gridCol w:w="159"/>
      </w:tblGrid>
      <w:tr>
        <w:trPr/>
        <w:tc>
          <w:tcPr>
            <w:tcW w:w="4721"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38"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159" w:type="dxa"/>
            <w:tcBorders/>
            <w:vAlign w:val="bottom"/>
          </w:tcPr>
          <w:p>
            <w:pPr>
              <w:pStyle w:val="TableContents"/>
              <w:bidi w:val="0"/>
              <w:spacing w:before="0" w:after="283"/>
              <w:jc w:val="left"/>
              <w:rPr/>
            </w:pPr>
            <w:r>
              <w:rPr/>
              <w:t> </w:t>
            </w:r>
          </w:p>
        </w:tc>
      </w:tr>
      <w:tr>
        <w:trPr/>
        <w:tc>
          <w:tcPr>
            <w:tcW w:w="47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861" w:type="dxa"/>
            <w:tcBorders/>
            <w:shd w:fill="CCEEFF" w:val="clear"/>
            <w:vAlign w:val="bottom"/>
          </w:tcPr>
          <w:p>
            <w:pPr>
              <w:pStyle w:val="TableContents"/>
              <w:bidi w:val="0"/>
              <w:spacing w:before="0" w:after="283"/>
              <w:jc w:val="right"/>
              <w:rPr>
                <w:b/>
              </w:rPr>
            </w:pPr>
            <w:r>
              <w:rPr>
                <w:b/>
              </w:rPr>
              <w:t>30.7</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11.2</w:t>
            </w:r>
          </w:p>
        </w:tc>
        <w:tc>
          <w:tcPr>
            <w:tcW w:w="159" w:type="dxa"/>
            <w:tcBorders/>
            <w:shd w:fill="CCEEFF" w:val="clear"/>
            <w:vAlign w:val="bottom"/>
          </w:tcPr>
          <w:p>
            <w:pPr>
              <w:pStyle w:val="TableContents"/>
              <w:bidi w:val="0"/>
              <w:spacing w:before="0" w:after="283"/>
              <w:jc w:val="left"/>
              <w:rPr/>
            </w:pPr>
            <w:r>
              <w:rPr/>
              <w:t> </w:t>
            </w:r>
          </w:p>
        </w:tc>
      </w:tr>
      <w:tr>
        <w:trPr/>
        <w:tc>
          <w:tcPr>
            <w:tcW w:w="47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(2.5</w:t>
            </w:r>
          </w:p>
        </w:tc>
        <w:tc>
          <w:tcPr>
            <w:tcW w:w="155" w:type="dxa"/>
            <w:tcBorders/>
            <w:vAlign w:val="bottom"/>
          </w:tcPr>
          <w:p>
            <w:pPr>
              <w:pStyle w:val="TableContents"/>
              <w:bidi w:val="0"/>
              <w:spacing w:before="0" w:after="283"/>
              <w:jc w:val="left"/>
              <w:rPr>
                <w:b/>
              </w:rPr>
            </w:pPr>
            <w:r>
              <w:rPr>
                <w:b/>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(15.1</w:t>
            </w:r>
          </w:p>
        </w:tc>
        <w:tc>
          <w:tcPr>
            <w:tcW w:w="159" w:type="dxa"/>
            <w:tcBorders/>
            <w:vAlign w:val="bottom"/>
          </w:tcPr>
          <w:p>
            <w:pPr>
              <w:pStyle w:val="TableContents"/>
              <w:bidi w:val="0"/>
              <w:spacing w:before="0" w:after="283"/>
              <w:jc w:val="left"/>
              <w:rPr/>
            </w:pPr>
            <w:r>
              <w:rPr/>
              <w:t>) </w:t>
            </w:r>
          </w:p>
        </w:tc>
      </w:tr>
      <w:tr>
        <w:trPr/>
        <w:tc>
          <w:tcPr>
            <w:tcW w:w="47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3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5.8</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47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85.6</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185.1</w:t>
            </w:r>
          </w:p>
        </w:tc>
        <w:tc>
          <w:tcPr>
            <w:tcW w:w="159" w:type="dxa"/>
            <w:tcBorders/>
            <w:vAlign w:val="bottom"/>
          </w:tcPr>
          <w:p>
            <w:pPr>
              <w:pStyle w:val="TableContents"/>
              <w:bidi w:val="0"/>
              <w:spacing w:before="0" w:after="283"/>
              <w:jc w:val="left"/>
              <w:rPr/>
            </w:pPr>
            <w:r>
              <w:rPr/>
              <w:t> </w:t>
            </w:r>
          </w:p>
        </w:tc>
      </w:tr>
      <w:tr>
        <w:trPr/>
        <w:tc>
          <w:tcPr>
            <w:tcW w:w="47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0.2</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13.0</w:t>
            </w:r>
          </w:p>
        </w:tc>
        <w:tc>
          <w:tcPr>
            <w:tcW w:w="159" w:type="dxa"/>
            <w:tcBorders/>
            <w:shd w:fill="CCEEFF" w:val="clear"/>
            <w:vAlign w:val="bottom"/>
          </w:tcPr>
          <w:p>
            <w:pPr>
              <w:pStyle w:val="TableContents"/>
              <w:bidi w:val="0"/>
              <w:spacing w:before="0" w:after="283"/>
              <w:jc w:val="left"/>
              <w:rPr/>
            </w:pPr>
            <w:r>
              <w:rPr/>
              <w:t> </w:t>
            </w:r>
          </w:p>
        </w:tc>
      </w:tr>
      <w:tr>
        <w:trPr/>
        <w:tc>
          <w:tcPr>
            <w:tcW w:w="47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(10.0</w:t>
            </w:r>
          </w:p>
        </w:tc>
        <w:tc>
          <w:tcPr>
            <w:tcW w:w="155" w:type="dxa"/>
            <w:tcBorders/>
            <w:vAlign w:val="bottom"/>
          </w:tcPr>
          <w:p>
            <w:pPr>
              <w:pStyle w:val="TableContents"/>
              <w:bidi w:val="0"/>
              <w:spacing w:before="0" w:after="283"/>
              <w:jc w:val="left"/>
              <w:rPr>
                <w:b/>
              </w:rPr>
            </w:pPr>
            <w:r>
              <w:rPr>
                <w:b/>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(30.0</w:t>
            </w:r>
          </w:p>
        </w:tc>
        <w:tc>
          <w:tcPr>
            <w:tcW w:w="159" w:type="dxa"/>
            <w:tcBorders/>
            <w:vAlign w:val="bottom"/>
          </w:tcPr>
          <w:p>
            <w:pPr>
              <w:pStyle w:val="TableContents"/>
              <w:bidi w:val="0"/>
              <w:spacing w:before="0" w:after="283"/>
              <w:jc w:val="left"/>
              <w:rPr/>
            </w:pPr>
            <w:r>
              <w:rPr/>
              <w:t>) </w:t>
            </w:r>
          </w:p>
        </w:tc>
      </w:tr>
      <w:tr>
        <w:trPr/>
        <w:tc>
          <w:tcPr>
            <w:tcW w:w="47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b/>
              </w:rPr>
            </w:pPr>
            <w:r>
              <w:rPr>
                <w:b/>
              </w:rPr>
              <w:t>) </w:t>
            </w:r>
          </w:p>
        </w:tc>
        <w:tc>
          <w:tcPr>
            <w:tcW w:w="29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21"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21"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861" w:type="dxa"/>
            <w:tcBorders/>
            <w:vAlign w:val="bottom"/>
          </w:tcPr>
          <w:p>
            <w:pPr>
              <w:pStyle w:val="TableContents"/>
              <w:bidi w:val="0"/>
              <w:spacing w:before="0" w:after="283"/>
              <w:jc w:val="right"/>
              <w:rPr>
                <w:b/>
              </w:rPr>
            </w:pPr>
            <w:r>
              <w:rPr>
                <w:b/>
              </w:rPr>
              <w:t>107.0</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165.4</w:t>
            </w:r>
          </w:p>
        </w:tc>
        <w:tc>
          <w:tcPr>
            <w:tcW w:w="159" w:type="dxa"/>
            <w:tcBorders/>
            <w:vAlign w:val="bottom"/>
          </w:tcPr>
          <w:p>
            <w:pPr>
              <w:pStyle w:val="TableContents"/>
              <w:bidi w:val="0"/>
              <w:spacing w:before="0" w:after="283"/>
              <w:jc w:val="left"/>
              <w:rPr/>
            </w:pPr>
            <w:r>
              <w:rPr/>
              <w:t> </w:t>
            </w:r>
          </w:p>
        </w:tc>
      </w:tr>
      <w:tr>
        <w:trPr/>
        <w:tc>
          <w:tcPr>
            <w:tcW w:w="4721"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cash, restricted cash, accounts receivable, accounts payable and accrued liabilities and other current liabilities approximates their carrying value due to the short-term nature of these instruments. The fair value of the Revolving Credit Facility, disclosed in Note 12 approximates the respective carrying value due to variable interest rates.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financing arrangement included in other long-term liabilities approximates the carrying value due to prevailing interest rates and the risk characteristics of the instrument.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various government funding are estimated based on a discounted cash flow model applying current rates offered to the Company for financial instruments subject to similar risk and maturities. The carrying value of government funding generally approximate its fair value.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Notes at March 31, 2026 is $435.1 million (December 31, 2025 - $400.0 million). </w:t>
      </w:r>
    </w:p>
    <w:p>
      <w:pPr>
        <w:pStyle w:val="TextBody"/>
        <w:bidi w:val="0"/>
        <w:spacing w:before="120" w:after="0"/>
        <w:jc w:val="both"/>
        <w:rPr>
          <w:rFonts w:ascii="Times New Roman" w:hAnsi="Times New Roman"/>
          <w:sz w:val="20"/>
        </w:rPr>
      </w:pPr>
      <w:r>
        <w:rPr>
          <w:rFonts w:ascii="Times New Roman" w:hAnsi="Times New Roman"/>
          <w:sz w:val="20"/>
        </w:rPr>
        <w:t xml:space="preserve">The fair values of the IPO Warrant liability, earnout liability and the share-based payment compensation liability are classified as Level 1 and are calculated using the quoted market price of the Company’s common shares at the end of each reporting period.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derivative asset included in other non-current assets is classified as Level 2 and is calculated using a binomial tree/lattice approach based on the Hull-White single factor interest rate term structure model.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LETL Warrant liability is classified as Level 2 and is calculated using a modified Black-Scholes call option pricing model.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FINANCIAL INSTRUMENTS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Financial risk management </w:t>
      </w:r>
    </w:p>
    <w:p>
      <w:pPr>
        <w:pStyle w:val="TextBody"/>
        <w:bidi w:val="0"/>
        <w:spacing w:before="120" w:after="0"/>
        <w:jc w:val="both"/>
        <w:rPr>
          <w:rFonts w:ascii="Times New Roman" w:hAnsi="Times New Roman"/>
          <w:sz w:val="20"/>
        </w:rPr>
      </w:pPr>
      <w:r>
        <w:rPr>
          <w:rFonts w:ascii="Times New Roman" w:hAnsi="Times New Roman"/>
          <w:sz w:val="20"/>
        </w:rPr>
        <w:t xml:space="preserve">The Company’s activities expose it to a variety of financial risks including credit risk, liquidity risk, interest rate risk and market risk. The Company may use derivative financial instruments to hedge certain of these risk exposures. The use of derivatives is based on established practices and parameters, which are subject to the oversight of the Board of Directors. The Company does not utilize derivative financial instruments for trading or speculative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both"/>
        <w:rPr>
          <w:rFonts w:ascii="Times New Roman" w:hAnsi="Times New Roman"/>
          <w:sz w:val="20"/>
        </w:rPr>
      </w:pPr>
      <w:r>
        <w:rPr>
          <w:rFonts w:ascii="Times New Roman" w:hAnsi="Times New Roman"/>
          <w:sz w:val="20"/>
        </w:rPr>
        <w:t xml:space="preserve">Credit risk is the risk of financial loss to the Company if a customer or counterparty to a financial instrument fails to meet its contractual obligations, and arises primarily from the Company’s receivables from customers. The Company has an established credit policy under which each new customer is analyzed individually for creditworthiness before the Company’s standard payment and delivery terms and conditions are offered. The Company’s review includes a review of the potential customer’s financial information, external credit ratings and bank and supplier references. Credit limits are established for each new customer and customers that fail to meet the Company’s credit requirements may transact with the Company only on a prepayment basis. </w:t>
      </w:r>
    </w:p>
    <w:p>
      <w:pPr>
        <w:pStyle w:val="TextBody"/>
        <w:bidi w:val="0"/>
        <w:spacing w:before="120" w:after="0"/>
        <w:jc w:val="both"/>
        <w:rPr>
          <w:rFonts w:ascii="Times New Roman" w:hAnsi="Times New Roman"/>
          <w:sz w:val="20"/>
        </w:rPr>
      </w:pPr>
      <w:r>
        <w:rPr>
          <w:rFonts w:ascii="Times New Roman" w:hAnsi="Times New Roman"/>
          <w:sz w:val="20"/>
        </w:rPr>
        <w:t xml:space="preserve">The maximum credit exposure at March 31, 2026 is the carrying amount of accounts receivable of $158.4 million (December 31, 2025 - $192.7 million). At March 31, 2026, there was one customer account greater than 10% of the carrying amount of accounts receivable. At December 31, 2025, there was one customer account greater than 10% of the carrying amount of accounts receivable. As at March 31, 2026, $9.5 million, or 6.0% (December 31, 2025 - $9.3 million, or 5.4%), of accounts receivable were more than 90 days old. </w:t>
      </w:r>
    </w:p>
    <w:p>
      <w:pPr>
        <w:pStyle w:val="TextBody"/>
        <w:bidi w:val="0"/>
        <w:spacing w:before="120" w:after="0"/>
        <w:jc w:val="both"/>
        <w:rPr>
          <w:rFonts w:ascii="Times New Roman" w:hAnsi="Times New Roman"/>
          <w:sz w:val="20"/>
        </w:rPr>
      </w:pPr>
      <w:r>
        <w:rPr>
          <w:rFonts w:ascii="Times New Roman" w:hAnsi="Times New Roman"/>
          <w:sz w:val="20"/>
        </w:rPr>
        <w:t xml:space="preserve">The Company establishes an allowance for doubtful accounts that represents its estimate of losses in respect of accounts receivable. The main components of this allowance are a specific provision that relates to individual exposures and a provision for expected losses that have been incurred but not yet identified. The allowance for doubtful accounts at March 31, 2026 was $8.2 million (December 31, 2025 - $9.0 million), as disclosed in Note 9. </w:t>
      </w:r>
    </w:p>
    <w:p>
      <w:pPr>
        <w:pStyle w:val="TextBody"/>
        <w:bidi w:val="0"/>
        <w:spacing w:before="120" w:after="0"/>
        <w:jc w:val="both"/>
        <w:rPr>
          <w:rFonts w:ascii="Times New Roman" w:hAnsi="Times New Roman"/>
          <w:sz w:val="20"/>
        </w:rPr>
      </w:pPr>
      <w:r>
        <w:rPr>
          <w:rFonts w:ascii="Times New Roman" w:hAnsi="Times New Roman"/>
          <w:sz w:val="20"/>
        </w:rPr>
        <w:t xml:space="preserve">The Company may be exposed to certain losses in the event of non-performance by counterparties to derivative financial instruments such as commodity price contracts and foreign exchange contracts. The Company mitigates this risk by entering into transactions with highly rated major financial institutions. </w:t>
      </w:r>
    </w:p>
    <w:p>
      <w:pPr>
        <w:pStyle w:val="TextBody"/>
        <w:bidi w:val="0"/>
        <w:spacing w:before="240" w:after="0"/>
        <w:jc w:val="left"/>
        <w:rPr>
          <w:rFonts w:ascii="Times New Roman" w:hAnsi="Times New Roman"/>
          <w:b/>
          <w:sz w:val="20"/>
        </w:rPr>
      </w:pPr>
      <w:r>
        <w:rPr>
          <w:rFonts w:ascii="Times New Roman" w:hAnsi="Times New Roman"/>
          <w:b/>
          <w:sz w:val="20"/>
        </w:rPr>
        <w:t xml:space="preserve">Liquidity risk </w:t>
      </w:r>
    </w:p>
    <w:p>
      <w:pPr>
        <w:pStyle w:val="TextBody"/>
        <w:bidi w:val="0"/>
        <w:spacing w:before="120" w:after="0"/>
        <w:jc w:val="both"/>
        <w:rPr>
          <w:rFonts w:ascii="Times New Roman" w:hAnsi="Times New Roman"/>
          <w:sz w:val="20"/>
        </w:rPr>
      </w:pPr>
      <w:r>
        <w:rPr>
          <w:rFonts w:ascii="Times New Roman" w:hAnsi="Times New Roman"/>
          <w:sz w:val="20"/>
        </w:rPr>
        <w:t xml:space="preserve">Liquidity risk is the risk that the Company will not be able to meet its financial obligations as they come due. The Company manages liquidity risk by maintaining borrowing capacity under its Revolving Credit Facility and governmental loans. The Company continuously monitors and reviews actual and forecasted cash flows to ensure adequate liquidity and anticipate liquidity requirements. There have been no changes to the Company’s objectives and processes for capital management as described in Note 6 to the December 31, 2025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Market risk </w:t>
      </w:r>
    </w:p>
    <w:p>
      <w:pPr>
        <w:pStyle w:val="TextBody"/>
        <w:bidi w:val="0"/>
        <w:spacing w:before="120" w:after="0"/>
        <w:jc w:val="both"/>
        <w:rPr>
          <w:rFonts w:ascii="Times New Roman" w:hAnsi="Times New Roman"/>
          <w:sz w:val="20"/>
        </w:rPr>
      </w:pPr>
      <w:r>
        <w:rPr>
          <w:rFonts w:ascii="Times New Roman" w:hAnsi="Times New Roman"/>
          <w:sz w:val="20"/>
        </w:rPr>
        <w:t xml:space="preserve">Market risk is the risk that changes in market prices, such as foreign exchange rates, interest rates and commodity prices, will affect the Company’s income or the value of its holdings of financial instruments. The objective of market risk management is to manage and control market risk exposures within acceptable parameters, while optimizing the return on risk. During the three month periods ended March 31, 2026 and 2025, the Company was not a party to agreements to hedge the commodity price risk associated with the revenue on the sale of steel. When the Company is party to hedging agreements, these activities are carried out under the oversight of the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FINANCIAL INSTRUMENTS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Currency risk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exposed to currency risk on purchases, labour costs and pension and other post retirement employment benefits liabilities that are denominated in Canadian dollars. The prices for steel products sold in Canada are derived mainly from price levels in the US market in US dollars converted into Canadian dollars at the prevailing exchange rates. As a result, a stronger US dollar relative to the Canadian dollar increases the Company’s Canadian dollar selling prices for sales within Canada. </w:t>
      </w:r>
    </w:p>
    <w:p>
      <w:pPr>
        <w:pStyle w:val="TextBody"/>
        <w:bidi w:val="0"/>
        <w:spacing w:before="120" w:after="0"/>
        <w:jc w:val="both"/>
        <w:rPr>
          <w:rFonts w:ascii="Times New Roman" w:hAnsi="Times New Roman"/>
          <w:sz w:val="20"/>
        </w:rPr>
      </w:pPr>
      <w:r>
        <w:rPr>
          <w:rFonts w:ascii="Times New Roman" w:hAnsi="Times New Roman"/>
          <w:sz w:val="20"/>
        </w:rPr>
        <w:t xml:space="preserve">The Company’s Canadian dollar denominated financial instruments as at March 31, 2026 and December 31, 2025,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0"/>
        <w:gridCol w:w="360"/>
        <w:gridCol w:w="193"/>
        <w:gridCol w:w="878"/>
        <w:gridCol w:w="155"/>
        <w:gridCol w:w="317"/>
        <w:gridCol w:w="251"/>
        <w:gridCol w:w="1121"/>
        <w:gridCol w:w="160"/>
      </w:tblGrid>
      <w:tr>
        <w:trPr/>
        <w:tc>
          <w:tcPr>
            <w:tcW w:w="432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at,</w:t>
            </w:r>
          </w:p>
        </w:tc>
        <w:tc>
          <w:tcPr>
            <w:tcW w:w="360"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160" w:type="dxa"/>
            <w:tcBorders/>
            <w:vAlign w:val="bottom"/>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b/>
              </w:rPr>
            </w:pPr>
            <w:r>
              <w:rPr>
                <w:b/>
              </w:rPr>
              <w:t>$</w:t>
            </w:r>
          </w:p>
        </w:tc>
        <w:tc>
          <w:tcPr>
            <w:tcW w:w="878" w:type="dxa"/>
            <w:tcBorders/>
            <w:shd w:fill="CCEEFF" w:val="clear"/>
            <w:vAlign w:val="bottom"/>
          </w:tcPr>
          <w:p>
            <w:pPr>
              <w:pStyle w:val="TableContents"/>
              <w:bidi w:val="0"/>
              <w:spacing w:before="0" w:after="283"/>
              <w:jc w:val="right"/>
              <w:rPr>
                <w:b/>
              </w:rPr>
            </w:pPr>
            <w:r>
              <w:rPr>
                <w:b/>
              </w:rPr>
              <w:t>59.0</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54.9</w:t>
            </w:r>
          </w:p>
        </w:tc>
        <w:tc>
          <w:tcPr>
            <w:tcW w:w="160" w:type="dxa"/>
            <w:tcBorders/>
            <w:shd w:fill="CCEEFF" w:val="clear"/>
            <w:vAlign w:val="bottom"/>
          </w:tcPr>
          <w:p>
            <w:pPr>
              <w:pStyle w:val="TableContents"/>
              <w:bidi w:val="0"/>
              <w:spacing w:before="0" w:after="283"/>
              <w:jc w:val="left"/>
              <w:rPr/>
            </w:pPr>
            <w:r>
              <w:rPr/>
              <w:t> </w:t>
            </w:r>
          </w:p>
        </w:tc>
      </w:tr>
      <w:tr>
        <w:trPr/>
        <w:tc>
          <w:tcPr>
            <w:tcW w:w="432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0.1</w:t>
            </w:r>
          </w:p>
        </w:tc>
        <w:tc>
          <w:tcPr>
            <w:tcW w:w="160" w:type="dxa"/>
            <w:tcBorders/>
            <w:vAlign w:val="bottom"/>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107.9</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120.6</w:t>
            </w:r>
          </w:p>
        </w:tc>
        <w:tc>
          <w:tcPr>
            <w:tcW w:w="160" w:type="dxa"/>
            <w:tcBorders/>
            <w:shd w:fill="CCEEFF" w:val="clear"/>
            <w:vAlign w:val="bottom"/>
          </w:tcPr>
          <w:p>
            <w:pPr>
              <w:pStyle w:val="TableContents"/>
              <w:bidi w:val="0"/>
              <w:spacing w:before="0" w:after="283"/>
              <w:jc w:val="left"/>
              <w:rPr/>
            </w:pPr>
            <w:r>
              <w:rPr/>
              <w:t> </w:t>
            </w:r>
          </w:p>
        </w:tc>
      </w:tr>
      <w:tr>
        <w:trPr/>
        <w:tc>
          <w:tcPr>
            <w:tcW w:w="4320" w:type="dxa"/>
            <w:tcBorders/>
          </w:tcPr>
          <w:p>
            <w:pPr>
              <w:pStyle w:val="TableContents"/>
              <w:bidi w:val="0"/>
              <w:spacing w:before="0" w:after="0"/>
              <w:jc w:val="left"/>
              <w:rPr>
                <w:rFonts w:ascii="Times New Roman" w:hAnsi="Times New Roman"/>
                <w:sz w:val="20"/>
              </w:rPr>
            </w:pPr>
            <w:r>
              <w:rPr>
                <w:rFonts w:ascii="Times New Roman" w:hAnsi="Times New Roman"/>
                <w:sz w:val="20"/>
              </w:rPr>
              <w:t>Bank indebtedness</w:t>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(67.4</w:t>
            </w:r>
          </w:p>
        </w:tc>
        <w:tc>
          <w:tcPr>
            <w:tcW w:w="155" w:type="dxa"/>
            <w:tcBorders/>
            <w:vAlign w:val="bottom"/>
          </w:tcPr>
          <w:p>
            <w:pPr>
              <w:pStyle w:val="TableContents"/>
              <w:bidi w:val="0"/>
              <w:spacing w:before="0" w:after="283"/>
              <w:jc w:val="left"/>
              <w:rPr>
                <w:b/>
              </w:rPr>
            </w:pPr>
            <w:r>
              <w:rPr>
                <w:b/>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(152.9</w:t>
            </w:r>
          </w:p>
        </w:tc>
        <w:tc>
          <w:tcPr>
            <w:tcW w:w="160" w:type="dxa"/>
            <w:tcBorders/>
            <w:vAlign w:val="bottom"/>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(89.8</w:t>
            </w:r>
          </w:p>
        </w:tc>
        <w:tc>
          <w:tcPr>
            <w:tcW w:w="155" w:type="dxa"/>
            <w:tcBorders/>
            <w:shd w:fill="CCEEFF" w:val="clear"/>
            <w:vAlign w:val="bottom"/>
          </w:tcPr>
          <w:p>
            <w:pPr>
              <w:pStyle w:val="TableContents"/>
              <w:bidi w:val="0"/>
              <w:spacing w:before="0" w:after="283"/>
              <w:jc w:val="left"/>
              <w:rPr>
                <w:b/>
              </w:rPr>
            </w:pPr>
            <w:r>
              <w:rPr>
                <w:b/>
              </w:rPr>
              <w:t>) </w:t>
            </w:r>
          </w:p>
        </w:tc>
        <w:tc>
          <w:tcPr>
            <w:tcW w:w="3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(120.8</w:t>
            </w:r>
          </w:p>
        </w:tc>
        <w:tc>
          <w:tcPr>
            <w:tcW w:w="160" w:type="dxa"/>
            <w:tcBorders/>
            <w:shd w:fill="CCEEFF" w:val="clear"/>
            <w:vAlign w:val="bottom"/>
          </w:tcPr>
          <w:p>
            <w:pPr>
              <w:pStyle w:val="TableContents"/>
              <w:bidi w:val="0"/>
              <w:spacing w:before="0" w:after="283"/>
              <w:jc w:val="left"/>
              <w:rPr/>
            </w:pPr>
            <w:r>
              <w:rPr/>
              <w:t>) </w:t>
            </w:r>
          </w:p>
        </w:tc>
      </w:tr>
      <w:tr>
        <w:trPr/>
        <w:tc>
          <w:tcPr>
            <w:tcW w:w="4320"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loans</w:t>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(271.5</w:t>
            </w:r>
          </w:p>
        </w:tc>
        <w:tc>
          <w:tcPr>
            <w:tcW w:w="155" w:type="dxa"/>
            <w:tcBorders/>
            <w:vAlign w:val="bottom"/>
          </w:tcPr>
          <w:p>
            <w:pPr>
              <w:pStyle w:val="TableContents"/>
              <w:bidi w:val="0"/>
              <w:spacing w:before="0" w:after="283"/>
              <w:jc w:val="left"/>
              <w:rPr>
                <w:b/>
              </w:rPr>
            </w:pPr>
            <w:r>
              <w:rPr>
                <w:b/>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(206.3</w:t>
            </w:r>
          </w:p>
        </w:tc>
        <w:tc>
          <w:tcPr>
            <w:tcW w:w="160" w:type="dxa"/>
            <w:tcBorders/>
            <w:vAlign w:val="bottom"/>
          </w:tcPr>
          <w:p>
            <w:pPr>
              <w:pStyle w:val="TableContents"/>
              <w:bidi w:val="0"/>
              <w:spacing w:before="0" w:after="283"/>
              <w:jc w:val="left"/>
              <w:rPr/>
            </w:pPr>
            <w:r>
              <w:rPr/>
              <w:t>) </w:t>
            </w:r>
          </w:p>
        </w:tc>
      </w:tr>
      <w:tr>
        <w:trPr/>
        <w:tc>
          <w:tcPr>
            <w:tcW w:w="43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(123.7</w:t>
            </w:r>
          </w:p>
        </w:tc>
        <w:tc>
          <w:tcPr>
            <w:tcW w:w="155" w:type="dxa"/>
            <w:tcBorders/>
            <w:shd w:fill="CCEEFF" w:val="clear"/>
            <w:vAlign w:val="bottom"/>
          </w:tcPr>
          <w:p>
            <w:pPr>
              <w:pStyle w:val="TableContents"/>
              <w:bidi w:val="0"/>
              <w:spacing w:before="0" w:after="283"/>
              <w:jc w:val="left"/>
              <w:rPr>
                <w:b/>
              </w:rPr>
            </w:pPr>
            <w:r>
              <w:rPr>
                <w:b/>
              </w:rPr>
              <w:t>) </w:t>
            </w:r>
          </w:p>
        </w:tc>
        <w:tc>
          <w:tcPr>
            <w:tcW w:w="31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(32.1</w:t>
            </w:r>
          </w:p>
        </w:tc>
        <w:tc>
          <w:tcPr>
            <w:tcW w:w="160" w:type="dxa"/>
            <w:tcBorders/>
            <w:shd w:fill="CCEEFF" w:val="clear"/>
            <w:vAlign w:val="bottom"/>
          </w:tcPr>
          <w:p>
            <w:pPr>
              <w:pStyle w:val="TableContents"/>
              <w:bidi w:val="0"/>
              <w:spacing w:before="0" w:after="283"/>
              <w:jc w:val="left"/>
              <w:rPr/>
            </w:pPr>
            <w:r>
              <w:rPr/>
              <w:t>) </w:t>
            </w:r>
          </w:p>
        </w:tc>
      </w:tr>
      <w:tr>
        <w:trPr/>
        <w:tc>
          <w:tcPr>
            <w:tcW w:w="432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20" w:type="dxa"/>
            <w:tcBorders/>
          </w:tcPr>
          <w:p>
            <w:pPr>
              <w:pStyle w:val="TableContents"/>
              <w:bidi w:val="0"/>
              <w:spacing w:before="0" w:after="0"/>
              <w:jc w:val="left"/>
              <w:rPr>
                <w:rFonts w:ascii="Times New Roman" w:hAnsi="Times New Roman"/>
                <w:sz w:val="20"/>
              </w:rPr>
            </w:pPr>
            <w:r>
              <w:rPr>
                <w:rFonts w:ascii="Times New Roman" w:hAnsi="Times New Roman"/>
                <w:sz w:val="20"/>
              </w:rPr>
              <w:t>Net Canadian dollar denominated financial instruments</w:t>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878" w:type="dxa"/>
            <w:tcBorders/>
            <w:vAlign w:val="bottom"/>
          </w:tcPr>
          <w:p>
            <w:pPr>
              <w:pStyle w:val="TableContents"/>
              <w:bidi w:val="0"/>
              <w:spacing w:before="0" w:after="283"/>
              <w:jc w:val="right"/>
              <w:rPr>
                <w:b/>
              </w:rPr>
            </w:pPr>
            <w:r>
              <w:rPr>
                <w:b/>
              </w:rPr>
              <w:t>(385.5</w:t>
            </w:r>
          </w:p>
        </w:tc>
        <w:tc>
          <w:tcPr>
            <w:tcW w:w="155" w:type="dxa"/>
            <w:tcBorders/>
            <w:vAlign w:val="bottom"/>
          </w:tcPr>
          <w:p>
            <w:pPr>
              <w:pStyle w:val="TableContents"/>
              <w:bidi w:val="0"/>
              <w:spacing w:before="0" w:after="283"/>
              <w:jc w:val="left"/>
              <w:rPr>
                <w:b/>
              </w:rPr>
            </w:pPr>
            <w:r>
              <w:rPr>
                <w:b/>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(336.5</w:t>
            </w:r>
          </w:p>
        </w:tc>
        <w:tc>
          <w:tcPr>
            <w:tcW w:w="160" w:type="dxa"/>
            <w:tcBorders/>
            <w:vAlign w:val="bottom"/>
          </w:tcPr>
          <w:p>
            <w:pPr>
              <w:pStyle w:val="TableContents"/>
              <w:bidi w:val="0"/>
              <w:spacing w:before="0" w:after="283"/>
              <w:jc w:val="left"/>
              <w:rPr/>
            </w:pPr>
            <w:r>
              <w:rPr/>
              <w:t>) </w:t>
            </w:r>
          </w:p>
        </w:tc>
      </w:tr>
      <w:tr>
        <w:trPr/>
        <w:tc>
          <w:tcPr>
            <w:tcW w:w="4320"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$0.01 decrease (or increase) in the US dollar relative to the Canadian dollar for the three month period ended March 31, 2026 would not have decreased (or increased) income (loss) from operations (March 31, 2025 - $0.2 million). </w:t>
      </w:r>
    </w:p>
    <w:p>
      <w:pPr>
        <w:pStyle w:val="TextBody"/>
        <w:bidi w:val="0"/>
        <w:spacing w:before="24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Interest rate risk is the risk that the value of the Company’s assets and liabilities will be affected by a change in interest rates. The Company’s interest rate risk mainly arises from the interest rate impact on its banking facilities and debt. The Company may manage interest rate risk through the periodic use of interest rate swaps. </w:t>
      </w:r>
    </w:p>
    <w:p>
      <w:pPr>
        <w:pStyle w:val="TextBody"/>
        <w:bidi w:val="0"/>
        <w:spacing w:before="240" w:after="0"/>
        <w:jc w:val="both"/>
        <w:rPr>
          <w:rFonts w:ascii="Times New Roman" w:hAnsi="Times New Roman"/>
          <w:sz w:val="20"/>
        </w:rPr>
      </w:pPr>
      <w:r>
        <w:rPr>
          <w:rFonts w:ascii="Times New Roman" w:hAnsi="Times New Roman"/>
          <w:sz w:val="20"/>
        </w:rPr>
        <w:t xml:space="preserve">For the three month period ended March 31, 2026, a one percent increase (or decrease) in interest rates would have decreased (or increased) net income (loss) by $0.4 million (March 31, 2025 – approximately nil). </w:t>
      </w:r>
    </w:p>
    <w:p>
      <w:pPr>
        <w:pStyle w:val="TextBody"/>
        <w:bidi w:val="0"/>
        <w:spacing w:before="240" w:after="0"/>
        <w:jc w:val="left"/>
        <w:rPr>
          <w:rFonts w:ascii="Times New Roman" w:hAnsi="Times New Roman"/>
          <w:b/>
          <w:sz w:val="20"/>
        </w:rPr>
      </w:pPr>
      <w:r>
        <w:rPr>
          <w:rFonts w:ascii="Times New Roman" w:hAnsi="Times New Roman"/>
          <w:b/>
          <w:sz w:val="20"/>
        </w:rPr>
        <w:t xml:space="preserve">Commodity price risk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subject to price risk from fluctuations in the market prices of commodities, including scrap, electricity, and natural gas. The Company enters into supply agreements for certain of these commodities as disclosed in Note 21. To manage risks associated with future variability in cash flows attributable to certain commodity purchases, the Company may use derivative instruments with maturities of 12 months or less to hedge the commodity price risk associated with the revenue on the sale of steel. At March 31, 2026 and 2025, the Company had no commodity-based swap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OTHER INCOME </w:t>
            </w:r>
          </w:p>
        </w:tc>
      </w:tr>
    </w:tbl>
    <w:p>
      <w:pPr>
        <w:pStyle w:val="TextBody"/>
        <w:bidi w:val="0"/>
        <w:spacing w:before="120" w:after="0"/>
        <w:jc w:val="both"/>
        <w:rPr>
          <w:rFonts w:ascii="Times New Roman" w:hAnsi="Times New Roman"/>
          <w:sz w:val="20"/>
        </w:rPr>
      </w:pPr>
      <w:r>
        <w:rPr>
          <w:rFonts w:ascii="Times New Roman" w:hAnsi="Times New Roman"/>
          <w:sz w:val="20"/>
        </w:rPr>
        <w:t xml:space="preserve">During the three month period ended March 31, 2026, the Company recognized other income of $0.1 million. During the three month period ended March 31, 2025, the Company recognized other income of $50.0 million from insurance proceeds.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27.</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IPO WARRANT LIABILITY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at March 31, 2026, 24,178,999 IPO Warrants remain outstanding with an estimated fair value of US $0.10 per IPO Warrant based on the market price of the IPO Warrants, for which the Company recognized a liability of $3.4 million (US $2.4 million) (December 31, 2025 - $2.5 million; US $1.8 million). For the three month period ended March 31, 2026, a loss of $0.8 million on change in the fair value of the IPO Warrant liability is presented in the condensed interim consolidated statements of net loss (March 31, 2025 - gain of $39.1 million). The IPO Warrants will expire on October 19,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28.</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EARNOUT LIABILITY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at March 31, 2026, 655,453 earnout rights remain outstanding with an estimated fair value of US $4.13 per unit based on the market price of the Company’s common shares, for which an earnout liability of $3.8 million (US $2.7 million) (December 31, 2025 - $3.7 million; US $2.7 million) was recognized in the condensed interim consolidated statements of financial position. During the year ended December 31, 2025, 75,000 earnout rights were settled for common shares. Change in the fair value of the earnout liability for the three month period ended March 31, 2026 of nil is presented in the condensed interim consolidated statements of net loss (March 31, 2025 – gain of $4.4 million). </w:t>
      </w:r>
    </w:p>
    <w:p>
      <w:pPr>
        <w:pStyle w:val="TextBody"/>
        <w:bidi w:val="0"/>
        <w:spacing w:before="240" w:after="0"/>
        <w:jc w:val="both"/>
        <w:rPr>
          <w:rFonts w:ascii="Times New Roman" w:hAnsi="Times New Roman"/>
          <w:sz w:val="20"/>
        </w:rPr>
      </w:pPr>
      <w:r>
        <w:rPr>
          <w:rFonts w:ascii="Times New Roman" w:hAnsi="Times New Roman"/>
          <w:sz w:val="20"/>
        </w:rPr>
        <w:t xml:space="preserve">Continuity of earnout rights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2"/>
        <w:gridCol w:w="316"/>
        <w:gridCol w:w="100"/>
        <w:gridCol w:w="1374"/>
        <w:gridCol w:w="60"/>
        <w:gridCol w:w="316"/>
        <w:gridCol w:w="94"/>
        <w:gridCol w:w="1263"/>
        <w:gridCol w:w="160"/>
      </w:tblGrid>
      <w:tr>
        <w:trPr/>
        <w:tc>
          <w:tcPr>
            <w:tcW w:w="407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w:t>
              <w:br/>
              <w:t>2026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6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0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b/>
              </w:rPr>
            </w:pPr>
            <w:r>
              <w:rPr>
                <w:b/>
              </w:rPr>
              <w:t>655,453</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719,547</w:t>
            </w:r>
          </w:p>
        </w:tc>
        <w:tc>
          <w:tcPr>
            <w:tcW w:w="160" w:type="dxa"/>
            <w:tcBorders/>
            <w:vAlign w:val="bottom"/>
          </w:tcPr>
          <w:p>
            <w:pPr>
              <w:pStyle w:val="TableContents"/>
              <w:bidi w:val="0"/>
              <w:spacing w:before="0" w:after="283"/>
              <w:jc w:val="left"/>
              <w:rPr/>
            </w:pPr>
            <w:r>
              <w:rPr/>
              <w:t> </w:t>
            </w:r>
          </w:p>
        </w:tc>
      </w:tr>
      <w:tr>
        <w:trPr/>
        <w:tc>
          <w:tcPr>
            <w:tcW w:w="4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10,906</w:t>
            </w:r>
          </w:p>
        </w:tc>
        <w:tc>
          <w:tcPr>
            <w:tcW w:w="160" w:type="dxa"/>
            <w:tcBorders/>
            <w:shd w:fill="CCEEFF" w:val="clear"/>
            <w:vAlign w:val="bottom"/>
          </w:tcPr>
          <w:p>
            <w:pPr>
              <w:pStyle w:val="TableContents"/>
              <w:bidi w:val="0"/>
              <w:spacing w:before="0" w:after="283"/>
              <w:jc w:val="left"/>
              <w:rPr/>
            </w:pPr>
            <w:r>
              <w:rPr/>
              <w:t> </w:t>
            </w:r>
          </w:p>
        </w:tc>
      </w:tr>
      <w:tr>
        <w:trPr/>
        <w:tc>
          <w:tcPr>
            <w:tcW w:w="4072"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(75,000</w:t>
            </w:r>
          </w:p>
        </w:tc>
        <w:tc>
          <w:tcPr>
            <w:tcW w:w="160" w:type="dxa"/>
            <w:tcBorders/>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0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1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b/>
              </w:rPr>
            </w:pPr>
            <w:r>
              <w:rPr>
                <w:b/>
              </w:rPr>
              <w:t>655,453</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655,453</w:t>
            </w:r>
          </w:p>
        </w:tc>
        <w:tc>
          <w:tcPr>
            <w:tcW w:w="160" w:type="dxa"/>
            <w:tcBorders/>
            <w:shd w:fill="CCEEFF" w:val="clear"/>
            <w:vAlign w:val="bottom"/>
          </w:tcPr>
          <w:p>
            <w:pPr>
              <w:pStyle w:val="TableContents"/>
              <w:bidi w:val="0"/>
              <w:spacing w:before="0" w:after="283"/>
              <w:jc w:val="left"/>
              <w:rPr/>
            </w:pPr>
            <w:r>
              <w:rPr/>
              <w:t> </w:t>
            </w:r>
          </w:p>
        </w:tc>
      </w:tr>
      <w:tr>
        <w:trPr/>
        <w:tc>
          <w:tcPr>
            <w:tcW w:w="4072"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29.</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SHARE-BASED PAYMENT COMPENSATION LIABILITY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Replacement Long Term Incentive Plan (“LTIP”) Awards </w:t>
      </w:r>
    </w:p>
    <w:p>
      <w:pPr>
        <w:pStyle w:val="TextBody"/>
        <w:bidi w:val="0"/>
        <w:spacing w:before="120" w:after="0"/>
        <w:jc w:val="both"/>
        <w:rPr>
          <w:rFonts w:ascii="Times New Roman" w:hAnsi="Times New Roman"/>
          <w:sz w:val="20"/>
        </w:rPr>
      </w:pPr>
      <w:r>
        <w:rPr>
          <w:rFonts w:ascii="Times New Roman" w:hAnsi="Times New Roman"/>
          <w:sz w:val="20"/>
        </w:rPr>
        <w:t xml:space="preserve">As at March 31, 2026, 2,515,266 Replacement LTIP Awards remain outstanding with an estimated fair value of US $4.13 per unit based on the market price of the Company’s common shares, for which the Company recognized a liability of $14.5 million (US $10.4 million) (December 31, 2025 - $14.1 million; US $10.3 million) in share-based payment compensation liability in the condensed interim consolidated statements of financial position. Loss on change in the fair value of the share-based payment compensation liability for the three month period ended March 31, 2026 of $0.1 million is presented in the condensed interim consolidated statements of net loss (March 31, 2025 – gain of $15.4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29.</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SHARE-BASED PAYMENT COMPENSATION LIABILITY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Continuity of Replacement LTIP units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82"/>
        <w:gridCol w:w="274"/>
        <w:gridCol w:w="92"/>
        <w:gridCol w:w="1527"/>
        <w:gridCol w:w="60"/>
        <w:gridCol w:w="274"/>
        <w:gridCol w:w="78"/>
        <w:gridCol w:w="1305"/>
        <w:gridCol w:w="63"/>
      </w:tblGrid>
      <w:tr>
        <w:trPr/>
        <w:tc>
          <w:tcPr>
            <w:tcW w:w="4082"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63"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7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7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b/>
              </w:rPr>
            </w:pPr>
            <w:r>
              <w:rPr>
                <w:b/>
              </w:rPr>
              <w:t>2,515,266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2,474,422</w:t>
            </w:r>
          </w:p>
        </w:tc>
        <w:tc>
          <w:tcPr>
            <w:tcW w:w="63" w:type="dxa"/>
            <w:tcBorders/>
            <w:vAlign w:val="bottom"/>
          </w:tcPr>
          <w:p>
            <w:pPr>
              <w:pStyle w:val="TableContents"/>
              <w:bidi w:val="0"/>
              <w:spacing w:before="0" w:after="283"/>
              <w:jc w:val="left"/>
              <w:rPr/>
            </w:pPr>
            <w:r>
              <w:rPr/>
              <w:t> </w:t>
            </w:r>
          </w:p>
        </w:tc>
      </w:tr>
      <w:tr>
        <w:trPr/>
        <w:tc>
          <w:tcPr>
            <w:tcW w:w="40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27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40,844</w:t>
            </w:r>
          </w:p>
        </w:tc>
        <w:tc>
          <w:tcPr>
            <w:tcW w:w="63" w:type="dxa"/>
            <w:tcBorders/>
            <w:shd w:fill="CCEEFF" w:val="cle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7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b/>
              </w:rPr>
            </w:pPr>
            <w:r>
              <w:rPr>
                <w:b/>
              </w:rPr>
              <w:t>2,515,266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2,515,266</w:t>
            </w:r>
          </w:p>
        </w:tc>
        <w:tc>
          <w:tcPr>
            <w:tcW w:w="63"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30.</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KEY MANAGEMENT PERSONNEL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Company’s key management personnel, and persons connected with them, are also considered to be related parties for disclosure purposes. Key management personnel are defined as those individuals having authority and responsibility for planning, directing and controlling the activities of the Company and include the executive leadership team (ELT) and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Remuneration of the Company’s Board of Directors and ELT for the respective periods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1"/>
        <w:gridCol w:w="376"/>
        <w:gridCol w:w="288"/>
        <w:gridCol w:w="816"/>
        <w:gridCol w:w="60"/>
        <w:gridCol w:w="376"/>
        <w:gridCol w:w="302"/>
        <w:gridCol w:w="694"/>
        <w:gridCol w:w="62"/>
      </w:tblGrid>
      <w:tr>
        <w:trPr/>
        <w:tc>
          <w:tcPr>
            <w:tcW w:w="4781"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Three month period ended</w:t>
            </w:r>
          </w:p>
        </w:tc>
        <w:tc>
          <w:tcPr>
            <w:tcW w:w="376"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March 31,</w:t>
              <w:br/>
              <w:t>2025</w:t>
            </w:r>
          </w:p>
        </w:tc>
        <w:tc>
          <w:tcPr>
            <w:tcW w:w="62"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37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816" w:type="dxa"/>
            <w:tcBorders/>
            <w:shd w:fill="CCEEFF" w:val="clear"/>
            <w:vAlign w:val="bottom"/>
          </w:tcPr>
          <w:p>
            <w:pPr>
              <w:pStyle w:val="TableContents"/>
              <w:bidi w:val="0"/>
              <w:spacing w:before="0" w:after="283"/>
              <w:jc w:val="right"/>
              <w:rPr>
                <w:b/>
              </w:rPr>
            </w:pPr>
            <w:r>
              <w:rPr>
                <w:b/>
              </w:rPr>
              <w:t>2.1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2.3</w:t>
            </w:r>
          </w:p>
        </w:tc>
        <w:tc>
          <w:tcPr>
            <w:tcW w:w="62" w:type="dxa"/>
            <w:tcBorders/>
            <w:shd w:fill="CCEEFF" w:val="clear"/>
            <w:vAlign w:val="bottom"/>
          </w:tcPr>
          <w:p>
            <w:pPr>
              <w:pStyle w:val="TableContents"/>
              <w:bidi w:val="0"/>
              <w:spacing w:before="0" w:after="283"/>
              <w:jc w:val="left"/>
              <w:rPr/>
            </w:pPr>
            <w:r>
              <w:rPr/>
              <w:t> </w:t>
            </w:r>
          </w:p>
        </w:tc>
      </w:tr>
      <w:tr>
        <w:trPr/>
        <w:tc>
          <w:tcPr>
            <w:tcW w:w="4781" w:type="dxa"/>
            <w:tcBorders/>
          </w:tcPr>
          <w:p>
            <w:pPr>
              <w:pStyle w:val="TableContents"/>
              <w:bidi w:val="0"/>
              <w:spacing w:before="0" w:after="0"/>
              <w:jc w:val="left"/>
              <w:rPr>
                <w:rFonts w:ascii="Times New Roman" w:hAnsi="Times New Roman"/>
                <w:sz w:val="20"/>
              </w:rPr>
            </w:pPr>
            <w:r>
              <w:rPr>
                <w:rFonts w:ascii="Times New Roman" w:hAnsi="Times New Roman"/>
                <w:sz w:val="20"/>
              </w:rPr>
              <w:t>Director fees</w:t>
            </w:r>
          </w:p>
        </w:tc>
        <w:tc>
          <w:tcPr>
            <w:tcW w:w="376"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0.4</w:t>
            </w:r>
          </w:p>
        </w:tc>
        <w:tc>
          <w:tcPr>
            <w:tcW w:w="62" w:type="dxa"/>
            <w:tcBorders/>
            <w:vAlign w:val="bottom"/>
          </w:tcPr>
          <w:p>
            <w:pPr>
              <w:pStyle w:val="TableContents"/>
              <w:bidi w:val="0"/>
              <w:spacing w:before="0" w:after="283"/>
              <w:jc w:val="left"/>
              <w:rPr/>
            </w:pPr>
            <w:r>
              <w:rPr/>
              <w:t> </w:t>
            </w:r>
          </w:p>
        </w:tc>
      </w:tr>
      <w:tr>
        <w:trPr/>
        <w:tc>
          <w:tcPr>
            <w:tcW w:w="4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 (Note 31)</w:t>
            </w:r>
          </w:p>
        </w:tc>
        <w:tc>
          <w:tcPr>
            <w:tcW w:w="37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b/>
              </w:rPr>
            </w:pPr>
            <w:r>
              <w:rPr>
                <w:b/>
              </w:rPr>
              <w:t>0.7</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0.5</w:t>
            </w:r>
          </w:p>
        </w:tc>
        <w:tc>
          <w:tcPr>
            <w:tcW w:w="62" w:type="dxa"/>
            <w:tcBorders/>
            <w:shd w:fill="CCEEFF" w:val="clear"/>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b/>
              </w:rPr>
            </w:pPr>
            <w:r>
              <w:rPr>
                <w:b/>
              </w:rPr>
              <w:t>$</w:t>
            </w:r>
          </w:p>
        </w:tc>
        <w:tc>
          <w:tcPr>
            <w:tcW w:w="816" w:type="dxa"/>
            <w:tcBorders/>
            <w:vAlign w:val="bottom"/>
          </w:tcPr>
          <w:p>
            <w:pPr>
              <w:pStyle w:val="TableContents"/>
              <w:bidi w:val="0"/>
              <w:spacing w:before="0" w:after="283"/>
              <w:jc w:val="right"/>
              <w:rPr>
                <w:b/>
              </w:rPr>
            </w:pPr>
            <w:r>
              <w:rPr>
                <w:b/>
              </w:rPr>
              <w:t>2.8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4781"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Long-term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On October 19, 2021, the Company approved an Omnibus Equity Incentive Plan (“Omnibus Plan”) that would allow the Company to grant various awards to its employees. Under the terms of the Omnibus Plan, the maximum number of common shares that may be awarded is 8.8 million common shares. The awards issuable under the Plan consists of RSUs, DSUs, PSUs and stock options. </w:t>
      </w:r>
    </w:p>
    <w:p>
      <w:pPr>
        <w:pStyle w:val="TextBody"/>
        <w:bidi w:val="0"/>
        <w:spacing w:before="240" w:after="0"/>
        <w:jc w:val="left"/>
        <w:rPr>
          <w:rFonts w:ascii="Times New Roman" w:hAnsi="Times New Roman"/>
          <w:i/>
          <w:sz w:val="20"/>
        </w:rPr>
      </w:pPr>
      <w:r>
        <w:rPr>
          <w:rFonts w:ascii="Times New Roman" w:hAnsi="Times New Roman"/>
          <w:i/>
          <w:sz w:val="20"/>
        </w:rPr>
        <w:t xml:space="preserve">Deferred share units </w:t>
      </w:r>
    </w:p>
    <w:p>
      <w:pPr>
        <w:pStyle w:val="TextBody"/>
        <w:bidi w:val="0"/>
        <w:spacing w:before="120" w:after="0"/>
        <w:jc w:val="both"/>
        <w:rPr>
          <w:rFonts w:ascii="Times New Roman" w:hAnsi="Times New Roman"/>
          <w:sz w:val="20"/>
        </w:rPr>
      </w:pPr>
      <w:r>
        <w:rPr>
          <w:rFonts w:ascii="Times New Roman" w:hAnsi="Times New Roman"/>
          <w:sz w:val="20"/>
        </w:rPr>
        <w:t xml:space="preserve">Under the terms of the Omnibus Plan, DSUs may be issued to members of the Board of Directors as may be designated by the Board of Directors from time-to-time in satisfaction of all or a portion of Director fees. The number of DSUs to be issued in satisfaction of a payment of Director fees shall be equal to the amount of the Director fees divided by the given day volume weighted average price of the Company’s common shares preceding the grant date. DSUs are equity-settled share-based payments measured at fair value at the date of grant and expensed immediately as the underlying services have been rendered. The grant date fair value is approximated by the price of the Company’s common shares on the date of grant. DSUs do not have an exercise price and become exercisable for one common share of the Company upon the retirement of the Director, or in the event of incapacity. </w:t>
      </w:r>
    </w:p>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the Company recorded a share-based payment compensation expense of $0.7 million in administrative and selling expense on the condensed interim consolidated statements of net loss and contributed deficit on the condensed interim consolidated statements of financial position (March 31, 2025 - $0.3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SHARE-BASED COMPENSATION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Continuity of deferred share units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93"/>
        <w:gridCol w:w="350"/>
        <w:gridCol w:w="112"/>
        <w:gridCol w:w="1507"/>
        <w:gridCol w:w="155"/>
        <w:gridCol w:w="308"/>
        <w:gridCol w:w="94"/>
        <w:gridCol w:w="1273"/>
        <w:gridCol w:w="63"/>
      </w:tblGrid>
      <w:tr>
        <w:trPr/>
        <w:tc>
          <w:tcPr>
            <w:tcW w:w="3893"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93"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March 31, 2026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35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sz w:val="4"/>
                <w:szCs w:val="4"/>
              </w:rPr>
            </w:pPr>
            <w:r>
              <w:rPr>
                <w:sz w:val="4"/>
                <w:szCs w:val="4"/>
              </w:rPr>
            </w:r>
          </w:p>
        </w:tc>
        <w:tc>
          <w:tcPr>
            <w:tcW w:w="15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27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35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b/>
              </w:rPr>
            </w:pPr>
            <w:r>
              <w:rPr>
                <w:b/>
              </w:rPr>
              <w:t>705,674</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480,481</w:t>
            </w:r>
          </w:p>
        </w:tc>
        <w:tc>
          <w:tcPr>
            <w:tcW w:w="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5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b/>
              </w:rPr>
            </w:pPr>
            <w:r>
              <w:rPr>
                <w:b/>
              </w:rPr>
              <w:t>70,425</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218,069</w:t>
            </w:r>
          </w:p>
        </w:tc>
        <w:tc>
          <w:tcPr>
            <w:tcW w:w="63" w:type="dxa"/>
            <w:tcBorders/>
            <w:shd w:fill="CCEEFF" w:val="clear"/>
            <w:vAlign w:val="bottom"/>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w:t>
            </w:r>
          </w:p>
        </w:tc>
        <w:tc>
          <w:tcPr>
            <w:tcW w:w="35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b/>
              </w:rPr>
            </w:pPr>
            <w:r>
              <w:rPr>
                <w:b/>
              </w:rPr>
              <w:t>2,764</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7,124</w:t>
            </w:r>
          </w:p>
        </w:tc>
        <w:tc>
          <w:tcPr>
            <w:tcW w:w="63" w:type="dxa"/>
            <w:tcBorders/>
            <w:vAlign w:val="bottom"/>
          </w:tcPr>
          <w:p>
            <w:pPr>
              <w:pStyle w:val="TableContents"/>
              <w:bidi w:val="0"/>
              <w:spacing w:before="0" w:after="283"/>
              <w:jc w:val="left"/>
              <w:rPr/>
            </w:pPr>
            <w:r>
              <w:rPr/>
              <w:t> </w:t>
            </w:r>
          </w:p>
        </w:tc>
      </w:tr>
      <w:tr>
        <w:trPr/>
        <w:tc>
          <w:tcPr>
            <w:tcW w:w="3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35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b/>
              </w:rPr>
            </w:pPr>
            <w:r>
              <w:rPr>
                <w:b/>
              </w:rPr>
              <w:t>(64,642</w:t>
            </w:r>
          </w:p>
        </w:tc>
        <w:tc>
          <w:tcPr>
            <w:tcW w:w="155" w:type="dxa"/>
            <w:tcBorders/>
            <w:shd w:fill="CCEEFF" w:val="clear"/>
            <w:vAlign w:val="bottom"/>
          </w:tcPr>
          <w:p>
            <w:pPr>
              <w:pStyle w:val="TableContents"/>
              <w:bidi w:val="0"/>
              <w:spacing w:before="0" w:after="283"/>
              <w:jc w:val="left"/>
              <w:rPr>
                <w:b/>
              </w:rPr>
            </w:pPr>
            <w:r>
              <w:rPr>
                <w:b/>
              </w:rPr>
              <w:t>) </w:t>
            </w:r>
          </w:p>
        </w:tc>
        <w:tc>
          <w:tcPr>
            <w:tcW w:w="30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5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93"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5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b/>
              </w:rPr>
            </w:pPr>
            <w:r>
              <w:rPr>
                <w:b/>
              </w:rPr>
              <w:t>714,221</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705,674</w:t>
            </w:r>
          </w:p>
        </w:tc>
        <w:tc>
          <w:tcPr>
            <w:tcW w:w="63" w:type="dxa"/>
            <w:tcBorders/>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5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RSUs and PSUs </w:t>
      </w:r>
    </w:p>
    <w:p>
      <w:pPr>
        <w:pStyle w:val="TextBody"/>
        <w:bidi w:val="0"/>
        <w:spacing w:before="120" w:after="0"/>
        <w:jc w:val="both"/>
        <w:rPr>
          <w:rFonts w:ascii="Times New Roman" w:hAnsi="Times New Roman"/>
          <w:sz w:val="20"/>
        </w:rPr>
      </w:pPr>
      <w:r>
        <w:rPr>
          <w:rFonts w:ascii="Times New Roman" w:hAnsi="Times New Roman"/>
          <w:sz w:val="20"/>
        </w:rPr>
        <w:t xml:space="preserve">Under the terms of the Omnibus Plan, RSUs and PSUs may be issued to employees of the Company as may be designed by the Board of Directors in order to retain and motivate employees. RSUs and PSUs are equity-settled share-based payments measured at fair value at the date of grant and expensed over the vesting period. The grant date fair value takes into account any non-vesting conditions. The subsequent recognition of the grant date fair value over the vesting period involves the Company’s estimation of the RSUs and PSUs that will eventually vest and adjusts for the likelihood of achieving service conditions and performance conditions. RSUs and PSUs do not have an exercise price and become exercisable for one common share of the Company on the vesting date. Holders of RSUs and PSUs are also entitled to dividend equivalents when dividends are declared to common shareholders. The price of the Company’s common shares on the grant date is used to approximate the grant date fair value of each unit of RSUs and PSUs. </w:t>
      </w:r>
    </w:p>
    <w:p>
      <w:pPr>
        <w:pStyle w:val="TextBody"/>
        <w:bidi w:val="0"/>
        <w:spacing w:before="240" w:after="0"/>
        <w:jc w:val="left"/>
        <w:rPr>
          <w:rFonts w:ascii="Times New Roman" w:hAnsi="Times New Roman"/>
          <w:i/>
          <w:sz w:val="20"/>
        </w:rPr>
      </w:pPr>
      <w:r>
        <w:rPr>
          <w:rFonts w:ascii="Times New Roman" w:hAnsi="Times New Roman"/>
          <w:i/>
          <w:sz w:val="20"/>
        </w:rPr>
        <w:t xml:space="preserve">FY2024 Plan </w:t>
      </w:r>
    </w:p>
    <w:p>
      <w:pPr>
        <w:pStyle w:val="TextBody"/>
        <w:bidi w:val="0"/>
        <w:spacing w:before="120" w:after="0"/>
        <w:jc w:val="both"/>
        <w:rPr>
          <w:rFonts w:ascii="Times New Roman" w:hAnsi="Times New Roman"/>
          <w:sz w:val="20"/>
        </w:rPr>
      </w:pPr>
      <w:r>
        <w:rPr>
          <w:rFonts w:ascii="Times New Roman" w:hAnsi="Times New Roman"/>
          <w:sz w:val="20"/>
        </w:rPr>
        <w:t xml:space="preserve">On March 31, 2023 the Board of Directors approved a grant of 457,935 and 404,211 units of RSUs and PSUs, respectively, to various employees of the Company under the Omnibus Plan for the fiscal year ended March 31, 2024, with a grant date fair value of US $7.62 per award based on the market price of the Company’s common shares. The RSUs and PSUs vested on March 31, 2026, and as a result, 390,175 units were settled in common shares of which 203,163 shares were sold for $1.2 million to settle withholding taxes and the remaining 187,012 shares issued to plan participants. </w:t>
      </w:r>
    </w:p>
    <w:p>
      <w:pPr>
        <w:pStyle w:val="TextBody"/>
        <w:bidi w:val="0"/>
        <w:spacing w:before="240" w:after="0"/>
        <w:jc w:val="left"/>
        <w:rPr>
          <w:rFonts w:ascii="Times New Roman" w:hAnsi="Times New Roman"/>
          <w:i/>
          <w:sz w:val="20"/>
        </w:rPr>
      </w:pPr>
      <w:r>
        <w:rPr>
          <w:rFonts w:ascii="Times New Roman" w:hAnsi="Times New Roman"/>
          <w:i/>
          <w:sz w:val="20"/>
        </w:rPr>
        <w:t xml:space="preserve">FY2025 Plan </w:t>
      </w:r>
    </w:p>
    <w:p>
      <w:pPr>
        <w:pStyle w:val="TextBody"/>
        <w:bidi w:val="0"/>
        <w:spacing w:before="120" w:after="0"/>
        <w:jc w:val="both"/>
        <w:rPr>
          <w:rFonts w:ascii="Times New Roman" w:hAnsi="Times New Roman"/>
          <w:sz w:val="20"/>
        </w:rPr>
      </w:pPr>
      <w:r>
        <w:rPr>
          <w:rFonts w:ascii="Times New Roman" w:hAnsi="Times New Roman"/>
          <w:sz w:val="20"/>
        </w:rPr>
        <w:t xml:space="preserve">On June 18, 2024, the Board of Directors approved a grant of 569,536 and 953,783 units of RSUs and PSUs, respectively, to various employees of the Company under the Omnibus Plan for the twelve month period ended March 31, 2025. The RSUs and PSUs will vest on March 31, 2027 (the “Vesting Date”) upon the achievement of specific service conditions. Vesting of PSUs is further subject to satisfaction of a performance condition related to Total Shareholder Return (“TSR”). Under terms of the plan, upon the TSR reaching specified target thresholds of 25%, 50%, 75% as compared its peer group, eligible employees will receive PSUs in accordance with the Omnibus Plan. TSR is calculated as the sum of (a) 20-day volume weighted average price of the common shares as at March 31, 2027, less (b) 20-day volume weighted average price of the common shares as at April 1, 2024, plus (c) cumulative reinvested dividends from April 1, 2024 to March 31, 2027, divided by the 20-day volume weighted average price of the common shares converted to Canadian dollars as at April 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SHARE-BASED COMPENSATION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grant date fair value of RSUs of US $10.21 per award is based on the market price of the Company’s common shares. The grant date fair value of PSUs of US $18.47 per award is estimated using a Monte-Carlo simulation which takes into account the market value of the shares of the Company and its peer group along with a wide range of possible share price outcomes. The Monte-Carlo simulation was performed on the grant date, September 4, 2024, and used the following to estimate the fair value of the PSUs: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82"/>
        <w:gridCol w:w="421"/>
        <w:gridCol w:w="140"/>
        <w:gridCol w:w="573"/>
        <w:gridCol w:w="323"/>
      </w:tblGrid>
      <w:tr>
        <w:trPr/>
        <w:tc>
          <w:tcPr>
            <w:tcW w:w="5482"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share price</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13.81</w:t>
            </w:r>
          </w:p>
        </w:tc>
        <w:tc>
          <w:tcPr>
            <w:tcW w:w="323"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20-day VWAP as at April 1, 2024</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10.72</w:t>
            </w:r>
          </w:p>
        </w:tc>
        <w:tc>
          <w:tcPr>
            <w:tcW w:w="323" w:type="dxa"/>
            <w:tcBorders/>
            <w:vAlign w:val="bottom"/>
          </w:tcPr>
          <w:p>
            <w:pPr>
              <w:pStyle w:val="TableContents"/>
              <w:bidi w:val="0"/>
              <w:spacing w:before="0" w:after="283"/>
              <w:jc w:val="left"/>
              <w:rPr/>
            </w:pPr>
            <w:r>
              <w:rPr/>
              <w:t> </w:t>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3.0</w:t>
            </w:r>
          </w:p>
        </w:tc>
        <w:tc>
          <w:tcPr>
            <w:tcW w:w="323"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share expected volatility</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41.03</w:t>
            </w:r>
          </w:p>
        </w:tc>
        <w:tc>
          <w:tcPr>
            <w:tcW w:w="323" w:type="dxa"/>
            <w:tcBorders/>
            <w:vAlign w:val="bottom"/>
          </w:tcPr>
          <w:p>
            <w:pPr>
              <w:pStyle w:val="TableContents"/>
              <w:bidi w:val="0"/>
              <w:spacing w:before="0" w:after="283"/>
              <w:jc w:val="left"/>
              <w:rPr>
                <w:b/>
              </w:rPr>
            </w:pPr>
            <w:r>
              <w:rPr>
                <w:b/>
              </w:rPr>
              <w:t>% </w:t>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risk-free interest rate</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3.09</w:t>
            </w:r>
          </w:p>
        </w:tc>
        <w:tc>
          <w:tcPr>
            <w:tcW w:w="323"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total grant date fair value determined for the RSUs and PSUs are recognized on a straight-line basis over the vesting period. </w:t>
      </w:r>
    </w:p>
    <w:p>
      <w:pPr>
        <w:pStyle w:val="TextBody"/>
        <w:bidi w:val="0"/>
        <w:spacing w:before="240" w:after="0"/>
        <w:jc w:val="left"/>
        <w:rPr>
          <w:rFonts w:ascii="Times New Roman" w:hAnsi="Times New Roman"/>
          <w:i/>
          <w:sz w:val="20"/>
        </w:rPr>
      </w:pPr>
      <w:r>
        <w:rPr>
          <w:rFonts w:ascii="Times New Roman" w:hAnsi="Times New Roman"/>
          <w:i/>
          <w:sz w:val="20"/>
        </w:rPr>
        <w:t xml:space="preserve">CY2025 Plan </w:t>
      </w:r>
    </w:p>
    <w:p>
      <w:pPr>
        <w:pStyle w:val="TextBody"/>
        <w:bidi w:val="0"/>
        <w:spacing w:before="120" w:after="0"/>
        <w:jc w:val="both"/>
        <w:rPr>
          <w:rFonts w:ascii="Times New Roman" w:hAnsi="Times New Roman"/>
          <w:sz w:val="20"/>
        </w:rPr>
      </w:pPr>
      <w:r>
        <w:rPr>
          <w:rFonts w:ascii="Times New Roman" w:hAnsi="Times New Roman"/>
          <w:sz w:val="20"/>
        </w:rPr>
        <w:t xml:space="preserve">On March 11, 2025, the Board of Directors approved a grant of 565,016 and 1,042,775 units of RSUs and PSUs, respectively, to various employees of the Company under the Omnibus Plan for the fiscal year ended December 31, 2025. The RSUs and PSUs will vest on March 10, 2028 (the “Vesting Date”) upon the achievement of specific service conditions. Vesting of PSUs is further subject to satisfaction of a performance condition related to Total Shareholder Return (“TSR”). Under terms of the plan, upon the TSR reaching specified target thresholds of 25%, 50%, 75% as compared its peer group, eligible employees will receive PSUs in accordance with the Omnibus Plan. TSR is calculated as the sum of (a) 20-day volume weighted average price of the common shares as at December 31, 2027, less (b) 20-day volume weighted average price of the common shares as at January 1, 2025, plus (c) cumulative reinvested dividends from January 1, 2025 to December 31, 2027, divided by the 20-day volume weighted average price of the common shares converted to Canadian dollars as at January 1, 2025. </w:t>
      </w:r>
    </w:p>
    <w:p>
      <w:pPr>
        <w:pStyle w:val="TextBody"/>
        <w:bidi w:val="0"/>
        <w:spacing w:before="120" w:after="0"/>
        <w:jc w:val="both"/>
        <w:rPr>
          <w:rFonts w:ascii="Times New Roman" w:hAnsi="Times New Roman"/>
          <w:sz w:val="20"/>
        </w:rPr>
      </w:pPr>
      <w:r>
        <w:rPr>
          <w:rFonts w:ascii="Times New Roman" w:hAnsi="Times New Roman"/>
          <w:sz w:val="20"/>
        </w:rPr>
        <w:t xml:space="preserve">The grant date fair value of RSUs of US $4.58 per award is based on the market price of the Company’s common shares. The grant date fair value of PSUs of US $2.00 per award is estimated using a Monte-Carlo simulation which takes into account the market value of the shares of the Company and its peer group along with a wide range of possible share price outcomes. The Monte-Carlo simulation was performed on the grant date, August 21, 2025, and used the following to estimate the fair value of the PSUs: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82"/>
        <w:gridCol w:w="421"/>
        <w:gridCol w:w="140"/>
        <w:gridCol w:w="573"/>
        <w:gridCol w:w="323"/>
      </w:tblGrid>
      <w:tr>
        <w:trPr/>
        <w:tc>
          <w:tcPr>
            <w:tcW w:w="5482"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share price</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6.36</w:t>
            </w:r>
          </w:p>
        </w:tc>
        <w:tc>
          <w:tcPr>
            <w:tcW w:w="323"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20-day VWAP as at January 1, 2025</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14.04</w:t>
            </w:r>
          </w:p>
        </w:tc>
        <w:tc>
          <w:tcPr>
            <w:tcW w:w="323" w:type="dxa"/>
            <w:tcBorders/>
            <w:vAlign w:val="bottom"/>
          </w:tcPr>
          <w:p>
            <w:pPr>
              <w:pStyle w:val="TableContents"/>
              <w:bidi w:val="0"/>
              <w:spacing w:before="0" w:after="283"/>
              <w:jc w:val="left"/>
              <w:rPr/>
            </w:pPr>
            <w:r>
              <w:rPr/>
              <w:t> </w:t>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3.0</w:t>
            </w:r>
          </w:p>
        </w:tc>
        <w:tc>
          <w:tcPr>
            <w:tcW w:w="323" w:type="dxa"/>
            <w:tcBorders/>
            <w:shd w:fill="CCEEFF" w:val="clear"/>
            <w:vAlign w:val="bottom"/>
          </w:tcPr>
          <w:p>
            <w:pPr>
              <w:pStyle w:val="TableContents"/>
              <w:bidi w:val="0"/>
              <w:spacing w:before="0" w:after="283"/>
              <w:jc w:val="left"/>
              <w:rPr/>
            </w:pPr>
            <w:r>
              <w:rPr/>
              <w:t> </w:t>
            </w:r>
          </w:p>
        </w:tc>
      </w:tr>
      <w:tr>
        <w:trPr/>
        <w:tc>
          <w:tcPr>
            <w:tcW w:w="54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share expected volatility</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43.94</w:t>
            </w:r>
          </w:p>
        </w:tc>
        <w:tc>
          <w:tcPr>
            <w:tcW w:w="323" w:type="dxa"/>
            <w:tcBorders/>
            <w:vAlign w:val="bottom"/>
          </w:tcPr>
          <w:p>
            <w:pPr>
              <w:pStyle w:val="TableContents"/>
              <w:bidi w:val="0"/>
              <w:spacing w:before="0" w:after="283"/>
              <w:jc w:val="left"/>
              <w:rPr>
                <w:b/>
              </w:rPr>
            </w:pPr>
            <w:r>
              <w:rPr>
                <w:b/>
              </w:rPr>
              <w:t>% </w:t>
            </w:r>
          </w:p>
        </w:tc>
      </w:tr>
      <w:tr>
        <w:trPr/>
        <w:tc>
          <w:tcPr>
            <w:tcW w:w="54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Expected risk-free interest rate</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2.62</w:t>
            </w:r>
          </w:p>
        </w:tc>
        <w:tc>
          <w:tcPr>
            <w:tcW w:w="323" w:type="dxa"/>
            <w:tcBorders/>
            <w:shd w:fill="CCEEFF" w:val="clear"/>
            <w:vAlign w:val="bottom"/>
          </w:tcPr>
          <w:p>
            <w:pPr>
              <w:pStyle w:val="TableContents"/>
              <w:bidi w:val="0"/>
              <w:spacing w:before="0" w:after="283"/>
              <w:jc w:val="left"/>
              <w:rPr>
                <w:b/>
              </w:rPr>
            </w:pPr>
            <w:r>
              <w:rPr>
                <w:b/>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total grant date fair value determined for the RSUs and PSUs are recognized on a straight-line basis over the vesting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ALGOMA STEEL GROUP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Condensed Interim Consolidated Financial Statements (Unaudited) </w:t>
      </w:r>
    </w:p>
    <w:p>
      <w:pPr>
        <w:pStyle w:val="TextBody"/>
        <w:bidi w:val="0"/>
        <w:spacing w:before="0" w:after="0"/>
        <w:jc w:val="left"/>
        <w:rPr>
          <w:rFonts w:ascii="Times New Roman" w:hAnsi="Times New Roman"/>
          <w:b/>
          <w:sz w:val="20"/>
        </w:rPr>
      </w:pPr>
      <w:r>
        <w:rPr>
          <w:rFonts w:ascii="Times New Roman" w:hAnsi="Times New Roman"/>
          <w:b/>
          <w:sz w:val="20"/>
        </w:rPr>
        <w:t xml:space="preserve">Tabular amounts expressed in millions of Canadian dollars except for share and per share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SHARE-BASED COMPENSATION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Continuity of RSUs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3"/>
        <w:gridCol w:w="269"/>
        <w:gridCol w:w="83"/>
        <w:gridCol w:w="1363"/>
        <w:gridCol w:w="155"/>
        <w:gridCol w:w="224"/>
        <w:gridCol w:w="78"/>
        <w:gridCol w:w="1301"/>
        <w:gridCol w:w="159"/>
      </w:tblGrid>
      <w:tr>
        <w:trPr/>
        <w:tc>
          <w:tcPr>
            <w:tcW w:w="412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1,195,401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1,037,229</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565,016</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 net of cancellations</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(15,733</w:t>
            </w:r>
          </w:p>
        </w:tc>
        <w:tc>
          <w:tcPr>
            <w:tcW w:w="155" w:type="dxa"/>
            <w:tcBorders/>
            <w:vAlign w:val="bottom"/>
          </w:tcPr>
          <w:p>
            <w:pPr>
              <w:pStyle w:val="TableContents"/>
              <w:bidi w:val="0"/>
              <w:spacing w:before="0" w:after="283"/>
              <w:jc w:val="left"/>
              <w:rPr>
                <w:b/>
              </w:rPr>
            </w:pPr>
            <w:r>
              <w:rPr>
                <w:b/>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(406,844</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(349,076</w:t>
            </w:r>
          </w:p>
        </w:tc>
        <w:tc>
          <w:tcPr>
            <w:tcW w:w="155" w:type="dxa"/>
            <w:tcBorders/>
            <w:shd w:fill="CCEEFF" w:val="clear"/>
            <w:vAlign w:val="bottom"/>
          </w:tcPr>
          <w:p>
            <w:pPr>
              <w:pStyle w:val="TableContents"/>
              <w:bidi w:val="0"/>
              <w:spacing w:before="0" w:after="283"/>
              <w:jc w:val="left"/>
              <w:rPr>
                <w:b/>
              </w:rPr>
            </w:pPr>
            <w:r>
              <w:rPr>
                <w:b/>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830,592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1,195,401</w:t>
            </w:r>
          </w:p>
        </w:tc>
        <w:tc>
          <w:tcPr>
            <w:tcW w:w="159" w:type="dxa"/>
            <w:tcBorders/>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Continuity of PSUs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3"/>
        <w:gridCol w:w="269"/>
        <w:gridCol w:w="83"/>
        <w:gridCol w:w="1363"/>
        <w:gridCol w:w="155"/>
        <w:gridCol w:w="224"/>
        <w:gridCol w:w="78"/>
        <w:gridCol w:w="1301"/>
        <w:gridCol w:w="159"/>
      </w:tblGrid>
      <w:tr>
        <w:trPr/>
        <w:tc>
          <w:tcPr>
            <w:tcW w:w="412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w:t>
            </w:r>
            <w:r>
              <w:rPr/>
              <w:br/>
            </w:r>
            <w:r>
              <w:rPr>
                <w:b/>
              </w:rPr>
              <w:t>March 31,</w:t>
              <w:br/>
              <w:t>2026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pPr>
            <w:r>
              <w:rPr/>
              <w:t>Year ended</w:t>
              <w:br/>
              <w:t>December 31,</w:t>
              <w:br/>
              <w:t>2025</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units)</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Opening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1,170,381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1,049,039</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1,042,775</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Dividend equivalents and other adjustments, net of cancellations</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(921,434</w:t>
            </w:r>
          </w:p>
        </w:tc>
        <w:tc>
          <w:tcPr>
            <w:tcW w:w="159" w:type="dxa"/>
            <w:tcBorders/>
            <w:vAlign w:val="bottom"/>
          </w:tcPr>
          <w:p>
            <w:pPr>
              <w:pStyle w:val="TableContents"/>
              <w:bidi w:val="0"/>
              <w:spacing w:before="0" w:after="283"/>
              <w:jc w:val="left"/>
              <w:rPr/>
            </w:pPr>
            <w:r>
              <w:rPr/>
              <w:t>) </w:t>
            </w:r>
          </w:p>
        </w:tc>
      </w:tr>
      <w:tr>
        <w:trPr/>
        <w:tc>
          <w:tcPr>
            <w:tcW w:w="4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settled</w:t>
            </w:r>
          </w:p>
        </w:tc>
        <w:tc>
          <w:tcPr>
            <w:tcW w:w="26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b/>
              </w:rPr>
            </w:pPr>
            <w:r>
              <w:rPr>
                <w:b/>
              </w:rPr>
              <w:t>(41,099</w:t>
            </w:r>
          </w:p>
        </w:tc>
        <w:tc>
          <w:tcPr>
            <w:tcW w:w="155" w:type="dxa"/>
            <w:tcBorders/>
            <w:shd w:fill="CCEEFF" w:val="clear"/>
            <w:vAlign w:val="bottom"/>
          </w:tcPr>
          <w:p>
            <w:pPr>
              <w:pStyle w:val="TableContents"/>
              <w:bidi w:val="0"/>
              <w:spacing w:before="0" w:after="283"/>
              <w:jc w:val="left"/>
              <w:rPr>
                <w:b/>
              </w:rPr>
            </w:pPr>
            <w:r>
              <w:rPr>
                <w:b/>
              </w:rPr>
              <w:t>) </w:t>
            </w:r>
          </w:p>
        </w:tc>
        <w:tc>
          <w:tcPr>
            <w:tcW w:w="22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3" w:type="dxa"/>
            <w:tcBorders/>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b/>
              </w:rPr>
            </w:pPr>
            <w:r>
              <w:rPr>
                <w:b/>
              </w:rPr>
              <w:t>1,129,282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1,170,381</w:t>
            </w:r>
          </w:p>
        </w:tc>
        <w:tc>
          <w:tcPr>
            <w:tcW w:w="159" w:type="dxa"/>
            <w:tcBorders/>
            <w:vAlign w:val="bottom"/>
          </w:tcPr>
          <w:p>
            <w:pPr>
              <w:pStyle w:val="TableContents"/>
              <w:bidi w:val="0"/>
              <w:spacing w:before="0" w:after="283"/>
              <w:jc w:val="left"/>
              <w:rPr/>
            </w:pPr>
            <w:r>
              <w:rPr/>
              <w:t> </w:t>
            </w:r>
          </w:p>
        </w:tc>
      </w:tr>
      <w:tr>
        <w:trPr/>
        <w:tc>
          <w:tcPr>
            <w:tcW w:w="412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the three month period ended March 31, 2026, the Company recorded share-based payment compensation expense of $2.1 million in administrative and selling expenses on the condensed interim consolidated statements of net loss and contributed deficit on the condensed interim consolidated statements of financial position (March 31, 2025 - $3.3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32.</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DIVIDENDS </w:t>
            </w:r>
          </w:p>
        </w:tc>
      </w:tr>
    </w:tbl>
    <w:p>
      <w:pPr>
        <w:pStyle w:val="TextBody"/>
        <w:bidi w:val="0"/>
        <w:spacing w:before="120" w:after="0"/>
        <w:jc w:val="both"/>
        <w:rPr>
          <w:rFonts w:ascii="Times New Roman" w:hAnsi="Times New Roman"/>
          <w:sz w:val="20"/>
        </w:rPr>
      </w:pPr>
      <w:r>
        <w:rPr>
          <w:rFonts w:ascii="Times New Roman" w:hAnsi="Times New Roman"/>
          <w:sz w:val="20"/>
        </w:rPr>
        <w:t xml:space="preserve">During the three month period ended March 31, 2026, the Company did not pay ordinary dividends to shareholders. On March 11, 2025, the Board of Directors declared a dividend of US $0.05 per common share for shareholders of record at market close on March 21, 2025. At March 31, 2025, a dividend payable of $7.5 million (US $5.2 million) was recorded as a distribution though retained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 w:name="WINGDINGS 3">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32239</Words>
  <Characters>176988</Characters>
  <CharactersWithSpaces>214590</CharactersWithSpaces>
  <Paragraphs>10122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