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2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381000</wp:posOffset>
            </wp:positionH>
            <wp:positionV relativeFrom="page">
              <wp:posOffset>163830</wp:posOffset>
            </wp:positionV>
            <wp:extent cx="67868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86880" cy="8255"/>
                    </a:xfrm>
                    <a:prstGeom prst="rect">
                      <a:avLst/>
                    </a:prstGeom>
                    <a:noFill/>
                  </pic:spPr>
                </pic:pic>
              </a:graphicData>
            </a:graphic>
          </wp:anchor>
        </w:drawing>
        <w:t>UNITED STATES</w:t>
      </w:r>
    </w:p>
    <w:p>
      <w:pPr>
        <w:spacing w:after="0" w:line="3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ind w:left="426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273050</wp:posOffset>
            </wp:positionV>
            <wp:extent cx="67868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868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31"/>
          <w:szCs w:val="31"/>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67868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868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left="2580" w:right="800"/>
        <w:spacing w:after="0" w:line="252"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2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For the month of May 2026</w:t>
      </w:r>
    </w:p>
    <w:p>
      <w:pPr>
        <w:spacing w:after="0" w:line="18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Commission File Number 001-40924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296545</wp:posOffset>
            </wp:positionV>
            <wp:extent cx="6786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68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42"/>
          <w:szCs w:val="42"/>
          <w:b w:val="1"/>
          <w:bCs w:val="1"/>
          <w:color w:val="auto"/>
        </w:rPr>
        <w:t>ALGOMA STEEL GROUP INC.</w:t>
      </w:r>
    </w:p>
    <w:p>
      <w:pPr>
        <w:spacing w:after="0" w:line="5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6786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688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N/A</w:t>
      </w:r>
    </w:p>
    <w:p>
      <w:pPr>
        <w:spacing w:after="0" w:line="2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4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105 West Street</w:t>
      </w:r>
    </w:p>
    <w:p>
      <w:pPr>
        <w:spacing w:after="0" w:line="3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Sault Ste. Marie, Ontario</w:t>
      </w:r>
    </w:p>
    <w:p>
      <w:pPr>
        <w:spacing w:after="0" w:line="1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P6A 7B4, Canada</w:t>
      </w:r>
    </w:p>
    <w:p>
      <w:pPr>
        <w:spacing w:after="0" w:line="14"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(705) 945-2351</w:t>
      </w:r>
    </w:p>
    <w:p>
      <w:pPr>
        <w:spacing w:after="0" w:line="8"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6786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8688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11" w:lineRule="exact"/>
        <w:rPr>
          <w:sz w:val="24"/>
          <w:szCs w:val="24"/>
          <w:color w:val="auto"/>
        </w:rPr>
      </w:pPr>
    </w:p>
    <w:p>
      <w:pPr>
        <w:ind w:left="4080"/>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319405</wp:posOffset>
            </wp:positionV>
            <wp:extent cx="6786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86880" cy="8255"/>
                    </a:xfrm>
                    <a:prstGeom prst="rect">
                      <a:avLst/>
                    </a:prstGeom>
                    <a:noFill/>
                  </pic:spPr>
                </pic:pic>
              </a:graphicData>
            </a:graphic>
          </wp:anchor>
        </w:drawing>
      </w:r>
    </w:p>
    <w:p>
      <w:pPr>
        <w:sectPr>
          <w:pgSz w:w="11900" w:h="16838" w:orient="portrait"/>
          <w:cols w:equalWidth="0" w:num="1">
            <w:col w:w="9859"/>
          </w:cols>
          <w:pgMar w:left="600" w:top="276" w:right="1440" w:bottom="1440" w:gutter="0" w:footer="0" w:header="0"/>
        </w:sectPr>
      </w:pPr>
    </w:p>
    <w:bookmarkStart w:id="1" w:name="page2"/>
    <w:bookmarkEnd w:id="1"/>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INCORPORATION BY REFERENCE</w:t>
      </w:r>
    </w:p>
    <w:p>
      <w:pPr>
        <w:spacing w:after="0" w:line="2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Exhibit 99.1 of this Form 6-K is incorporated by reference into the Registration Statement on Form S-8 (Commission File No. 333-264063) and the Registration Statement on Form F-10 (Commission File No. 333-288748) of the Registrant, Algoma Steel Group Inc.</w:t>
      </w:r>
    </w:p>
    <w:p>
      <w:pPr>
        <w:spacing w:after="0" w:line="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0320"/>
          </w:cols>
          <w:pgMar w:left="600" w:top="263" w:right="9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700" w:type="dxa"/>
            <w:vAlign w:val="bottom"/>
          </w:tcPr>
          <w:p>
            <w:pPr>
              <w:jc w:val="center"/>
              <w:ind w:left="259"/>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96"/>
        </w:trPr>
        <w:tc>
          <w:tcPr>
            <w:tcW w:w="1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060" w:type="dxa"/>
            <w:vAlign w:val="bottom"/>
          </w:tcPr>
          <w:p>
            <w:pPr>
              <w:spacing w:after="0"/>
              <w:rPr>
                <w:sz w:val="24"/>
                <w:szCs w:val="24"/>
                <w:color w:val="auto"/>
              </w:rPr>
            </w:pPr>
          </w:p>
        </w:tc>
        <w:tc>
          <w:tcPr>
            <w:tcW w:w="470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7"/>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5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rPr>
              <w:t>Notice of Annual Meeting of Shareholders and Management Information Circular.</w:t>
            </w:r>
          </w:p>
        </w:tc>
      </w:tr>
      <w:tr>
        <w:trPr>
          <w:trHeight w:val="242"/>
        </w:trPr>
        <w:tc>
          <w:tcPr>
            <w:tcW w:w="1760" w:type="dxa"/>
            <w:vAlign w:val="bottom"/>
          </w:tcPr>
          <w:p>
            <w:pPr>
              <w:spacing w:after="0"/>
              <w:rPr>
                <w:sz w:val="20"/>
                <w:szCs w:val="20"/>
                <w:color w:val="auto"/>
              </w:rPr>
            </w:pPr>
            <w:r>
              <w:rPr>
                <w:rFonts w:ascii="Times New Roman" w:cs="Times New Roman" w:eastAsia="Times New Roman" w:hAnsi="Times New Roman"/>
                <w:sz w:val="17"/>
                <w:szCs w:val="17"/>
                <w:color w:val="auto"/>
              </w:rPr>
              <w:t>99.2</w:t>
            </w:r>
          </w:p>
        </w:tc>
        <w:tc>
          <w:tcPr>
            <w:tcW w:w="5760" w:type="dxa"/>
            <w:vAlign w:val="bottom"/>
            <w:gridSpan w:val="2"/>
          </w:tcPr>
          <w:p>
            <w:pPr>
              <w:spacing w:after="0"/>
              <w:rPr>
                <w:sz w:val="20"/>
                <w:szCs w:val="20"/>
                <w:color w:val="auto"/>
              </w:rPr>
            </w:pPr>
            <w:r>
              <w:rPr>
                <w:rFonts w:ascii="Times New Roman" w:cs="Times New Roman" w:eastAsia="Times New Roman" w:hAnsi="Times New Roman"/>
                <w:sz w:val="17"/>
                <w:szCs w:val="17"/>
                <w:color w:val="0000EE"/>
              </w:rPr>
              <w:t>Form of Proxy.</w:t>
            </w:r>
          </w:p>
        </w:tc>
      </w:tr>
      <w:tr>
        <w:trPr>
          <w:trHeight w:val="373"/>
        </w:trPr>
        <w:tc>
          <w:tcPr>
            <w:tcW w:w="1760" w:type="dxa"/>
            <w:vAlign w:val="bottom"/>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700" w:type="dxa"/>
            <w:vAlign w:val="bottom"/>
          </w:tcPr>
          <w:p>
            <w:pPr>
              <w:jc w:val="right"/>
              <w:ind w:right="2059"/>
              <w:spacing w:after="0"/>
              <w:rPr>
                <w:sz w:val="20"/>
                <w:szCs w:val="20"/>
                <w:color w:val="auto"/>
              </w:rPr>
            </w:pPr>
            <w:r>
              <w:rPr>
                <w:rFonts w:ascii="Times New Roman" w:cs="Times New Roman" w:eastAsia="Times New Roman" w:hAnsi="Times New Roman"/>
                <w:sz w:val="17"/>
                <w:szCs w:val="17"/>
                <w:color w:val="auto"/>
              </w:rPr>
              <w:t>3</w:t>
            </w:r>
          </w:p>
        </w:tc>
      </w:tr>
    </w:tbl>
    <w:p>
      <w:pPr>
        <w:jc w:val="right"/>
        <w:ind w:right="2059"/>
        <w:spacing w:after="0"/>
        <w:rPr>
          <w:sz w:val="20"/>
          <w:szCs w:val="20"/>
          <w:color w:val="auto"/>
        </w:rPr>
        <w:sectPr>
          <w:pgSz w:w="11900" w:h="16838" w:orient="portrait"/>
          <w:cols w:equalWidth="0" w:num="1">
            <w:col w:w="9859"/>
          </w:cols>
          <w:pgMar w:left="600" w:top="263" w:right="1440"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3" w:name="page4"/>
    <w:bookmarkEnd w:id="3"/>
    <w:p>
      <w:pPr>
        <w:ind w:left="47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SIGNATURES</w:t>
      </w:r>
    </w:p>
    <w:p>
      <w:pPr>
        <w:spacing w:after="0" w:line="22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auto"/>
        </w:rPr>
        <w:t>Algoma Steel Group Inc.</w:t>
      </w:r>
    </w:p>
    <w:p>
      <w:pPr>
        <w:spacing w:after="0" w:line="265" w:lineRule="exact"/>
        <w:rPr>
          <w:sz w:val="20"/>
          <w:szCs w:val="20"/>
          <w:color w:val="auto"/>
        </w:rPr>
      </w:pPr>
    </w:p>
    <w:p>
      <w:pPr>
        <w:spacing w:after="0"/>
        <w:tabs>
          <w:tab w:leader="none" w:pos="3600" w:val="left"/>
          <w:tab w:leader="none" w:pos="4060" w:val="left"/>
        </w:tabs>
        <w:rPr>
          <w:sz w:val="20"/>
          <w:szCs w:val="20"/>
          <w:color w:val="auto"/>
        </w:rPr>
      </w:pPr>
      <w:r>
        <w:rPr>
          <w:rFonts w:ascii="Times New Roman" w:cs="Times New Roman" w:eastAsia="Times New Roman" w:hAnsi="Times New Roman"/>
          <w:sz w:val="17"/>
          <w:szCs w:val="17"/>
          <w:color w:val="auto"/>
        </w:rPr>
        <w:t>Date: May 22, 2026</w:t>
      </w:r>
      <w:r>
        <w:rPr>
          <w:sz w:val="20"/>
          <w:szCs w:val="20"/>
          <w:color w:val="auto"/>
        </w:rPr>
        <w:tab/>
      </w:r>
      <w:r>
        <w:rPr>
          <w:rFonts w:ascii="Times New Roman" w:cs="Times New Roman" w:eastAsia="Times New Roman" w:hAnsi="Times New Roman"/>
          <w:sz w:val="17"/>
          <w:szCs w:val="17"/>
          <w:color w:val="auto"/>
        </w:rPr>
        <w:t>By: </w:t>
        <w:tab/>
        <w:t>/s/ John Naccarato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20320</wp:posOffset>
            </wp:positionV>
            <wp:extent cx="420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Name: John Naccarato</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Title: Vice President Strategy and Chief Legal Officer</w:t>
      </w:r>
    </w:p>
    <w:p>
      <w:pPr>
        <w:spacing w:after="0" w:line="1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9960"/>
          </w:cols>
          <w:pgMar w:left="600" w:top="263" w:right="133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158115</wp:posOffset>
            </wp:positionV>
            <wp:extent cx="2179320" cy="5657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793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8"/>
          <w:szCs w:val="28"/>
          <w:color w:val="003445"/>
        </w:rPr>
        <w:t>ALGOMA STEEL GROUP INC.</w:t>
      </w:r>
    </w:p>
    <w:p>
      <w:pPr>
        <w:spacing w:after="0" w:line="49" w:lineRule="exact"/>
        <w:rPr>
          <w:sz w:val="20"/>
          <w:szCs w:val="20"/>
          <w:color w:val="auto"/>
        </w:rPr>
      </w:pPr>
    </w:p>
    <w:p>
      <w:pPr>
        <w:ind w:right="2780"/>
        <w:spacing w:after="0" w:line="271" w:lineRule="auto"/>
        <w:rPr>
          <w:sz w:val="20"/>
          <w:szCs w:val="20"/>
          <w:color w:val="auto"/>
        </w:rPr>
      </w:pPr>
      <w:r>
        <w:rPr>
          <w:rFonts w:ascii="Arial" w:cs="Arial" w:eastAsia="Arial" w:hAnsi="Arial"/>
          <w:sz w:val="31"/>
          <w:szCs w:val="31"/>
          <w:b w:val="1"/>
          <w:bCs w:val="1"/>
          <w:color w:val="003445"/>
        </w:rPr>
        <w:t>NOTICE OF ANNUAL MEETING OF SHAREHOLDERS AND MANAGEMENT INFORMATION CIRCULAR</w:t>
      </w:r>
    </w:p>
    <w:p>
      <w:pPr>
        <w:spacing w:after="0"/>
        <w:rPr>
          <w:sz w:val="20"/>
          <w:szCs w:val="20"/>
          <w:color w:val="auto"/>
        </w:rPr>
      </w:pPr>
      <w:r>
        <w:rPr>
          <w:rFonts w:ascii="Arial" w:cs="Arial" w:eastAsia="Arial" w:hAnsi="Arial"/>
          <w:sz w:val="19"/>
          <w:szCs w:val="19"/>
          <w:color w:val="809AA2"/>
        </w:rPr>
        <w:t>ANNUAL MEETING OF SHAREHOLDERS TO BE HELD ON JUNE 23, 2026</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809AA2"/>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023100" cy="638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3100" cy="6388100"/>
                    </a:xfrm>
                    <a:prstGeom prst="rect">
                      <a:avLst/>
                    </a:prstGeom>
                    <a:noFill/>
                  </pic:spPr>
                </pic:pic>
              </a:graphicData>
            </a:graphic>
          </wp:anchor>
        </w:drawing>
      </w:r>
    </w:p>
    <w:p>
      <w:pPr>
        <w:sectPr>
          <w:pgSz w:w="11900" w:h="16838" w:orient="portrait"/>
          <w:cols w:equalWidth="0" w:num="1">
            <w:col w:w="10680"/>
          </w:cols>
          <w:pgMar w:left="600" w:top="118" w:right="619" w:bottom="1440" w:gutter="0" w:footer="0" w:header="0"/>
        </w:sectPr>
      </w:pPr>
    </w:p>
    <w:bookmarkStart w:id="5" w:name="page6"/>
    <w:bookmarkEnd w:id="5"/>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of Contents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Notice of Annual Meeting of Shareholders</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i</w:t>
            </w:r>
          </w:p>
        </w:tc>
      </w:tr>
      <w:tr>
        <w:trPr>
          <w:trHeight w:val="262"/>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Letter to Shareholders</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i</w:t>
            </w:r>
          </w:p>
        </w:tc>
      </w:tr>
      <w:tr>
        <w:trPr>
          <w:trHeight w:val="262"/>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Management Information Circular</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262"/>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Attending and Voting at the Meeting</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254"/>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General</w:t>
            </w:r>
          </w:p>
        </w:tc>
        <w:tc>
          <w:tcPr>
            <w:tcW w:w="25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Instructions for Logging-In and Voting at the Virtual Meeting</w:t>
            </w:r>
          </w:p>
        </w:tc>
        <w:tc>
          <w:tcPr>
            <w:tcW w:w="25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Registered Shareholders</w:t>
            </w:r>
          </w:p>
        </w:tc>
        <w:tc>
          <w:tcPr>
            <w:tcW w:w="250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Non-Registered Shareholders</w:t>
            </w:r>
          </w:p>
        </w:tc>
        <w:tc>
          <w:tcPr>
            <w:tcW w:w="25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Submitting Questions</w:t>
            </w:r>
          </w:p>
        </w:tc>
        <w:tc>
          <w:tcPr>
            <w:tcW w:w="25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Revocation of Proxies</w:t>
            </w:r>
          </w:p>
        </w:tc>
        <w:tc>
          <w:tcPr>
            <w:tcW w:w="25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Notice to United States Shareholders</w:t>
            </w:r>
          </w:p>
        </w:tc>
        <w:tc>
          <w:tcPr>
            <w:tcW w:w="25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70"/>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Voting and Exercise of Discretion by Proxies</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10</w:t>
            </w:r>
          </w:p>
        </w:tc>
      </w:tr>
      <w:tr>
        <w:trPr>
          <w:trHeight w:val="254"/>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Voting of Proxies</w:t>
            </w:r>
          </w:p>
        </w:tc>
        <w:tc>
          <w:tcPr>
            <w:tcW w:w="25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Quorum</w:t>
            </w:r>
          </w:p>
        </w:tc>
        <w:tc>
          <w:tcPr>
            <w:tcW w:w="25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70"/>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Information for Beneficial Holders of Securities</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11</w:t>
            </w:r>
          </w:p>
        </w:tc>
      </w:tr>
      <w:tr>
        <w:trPr>
          <w:trHeight w:val="262"/>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Voting Securities and Principal Holders Thereof</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13</w:t>
            </w:r>
          </w:p>
        </w:tc>
      </w:tr>
      <w:tr>
        <w:trPr>
          <w:trHeight w:val="254"/>
        </w:trPr>
        <w:tc>
          <w:tcPr>
            <w:tcW w:w="1100" w:type="dxa"/>
            <w:vAlign w:val="bottom"/>
            <w:gridSpan w:val="2"/>
          </w:tcPr>
          <w:p>
            <w:pPr>
              <w:ind w:left="520"/>
              <w:spacing w:after="0"/>
              <w:rPr>
                <w:sz w:val="20"/>
                <w:szCs w:val="20"/>
                <w:color w:val="auto"/>
              </w:rPr>
            </w:pPr>
            <w:r>
              <w:rPr>
                <w:rFonts w:ascii="Arial" w:cs="Arial" w:eastAsia="Arial" w:hAnsi="Arial"/>
                <w:sz w:val="17"/>
                <w:szCs w:val="17"/>
                <w:color w:val="auto"/>
              </w:rPr>
              <w:t>Shares</w:t>
            </w:r>
          </w:p>
        </w:tc>
        <w:tc>
          <w:tcPr>
            <w:tcW w:w="7040" w:type="dxa"/>
            <w:vAlign w:val="bottom"/>
          </w:tcPr>
          <w:p>
            <w:pPr>
              <w:spacing w:after="0"/>
              <w:rPr>
                <w:sz w:val="22"/>
                <w:szCs w:val="22"/>
                <w:color w:val="auto"/>
              </w:rPr>
            </w:pPr>
          </w:p>
        </w:tc>
        <w:tc>
          <w:tcPr>
            <w:tcW w:w="25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Preferred Shares</w:t>
            </w:r>
          </w:p>
        </w:tc>
        <w:tc>
          <w:tcPr>
            <w:tcW w:w="25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Eligibility for Voting</w:t>
            </w:r>
          </w:p>
        </w:tc>
        <w:tc>
          <w:tcPr>
            <w:tcW w:w="25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Principal Shareholders</w:t>
            </w:r>
          </w:p>
        </w:tc>
        <w:tc>
          <w:tcPr>
            <w:tcW w:w="25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Voting Results</w:t>
            </w:r>
          </w:p>
        </w:tc>
        <w:tc>
          <w:tcPr>
            <w:tcW w:w="25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70"/>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Matters to be Considered at the Meeting</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15</w:t>
            </w:r>
          </w:p>
        </w:tc>
      </w:tr>
      <w:tr>
        <w:trPr>
          <w:trHeight w:val="273"/>
        </w:trPr>
        <w:tc>
          <w:tcPr>
            <w:tcW w:w="860" w:type="dxa"/>
            <w:vAlign w:val="bottom"/>
          </w:tcPr>
          <w:p>
            <w:pPr>
              <w:ind w:left="580"/>
              <w:spacing w:after="0"/>
              <w:rPr>
                <w:sz w:val="20"/>
                <w:szCs w:val="20"/>
                <w:color w:val="auto"/>
              </w:rPr>
            </w:pPr>
            <w:r>
              <w:rPr>
                <w:rFonts w:ascii="Arial" w:cs="Arial" w:eastAsia="Arial" w:hAnsi="Arial"/>
                <w:sz w:val="19"/>
                <w:szCs w:val="19"/>
                <w:color w:val="auto"/>
                <w:w w:val="74"/>
              </w:rPr>
              <w:t>1. </w:t>
            </w:r>
          </w:p>
        </w:tc>
        <w:tc>
          <w:tcPr>
            <w:tcW w:w="240" w:type="dxa"/>
            <w:vAlign w:val="bottom"/>
          </w:tcPr>
          <w:p>
            <w:pPr>
              <w:ind w:left="60"/>
              <w:spacing w:after="0"/>
              <w:rPr>
                <w:sz w:val="20"/>
                <w:szCs w:val="20"/>
                <w:color w:val="auto"/>
              </w:rPr>
            </w:pPr>
            <w:r>
              <w:rPr>
                <w:rFonts w:ascii="Arial" w:cs="Arial" w:eastAsia="Arial" w:hAnsi="Arial"/>
                <w:sz w:val="19"/>
                <w:szCs w:val="19"/>
                <w:color w:val="auto"/>
                <w:w w:val="83"/>
              </w:rPr>
              <w:t> </w:t>
            </w:r>
          </w:p>
        </w:tc>
        <w:tc>
          <w:tcPr>
            <w:tcW w:w="7040" w:type="dxa"/>
            <w:vAlign w:val="bottom"/>
          </w:tcPr>
          <w:p>
            <w:pPr>
              <w:ind w:left="20"/>
              <w:spacing w:after="0"/>
              <w:rPr>
                <w:sz w:val="20"/>
                <w:szCs w:val="20"/>
                <w:color w:val="auto"/>
              </w:rPr>
            </w:pPr>
            <w:r>
              <w:rPr>
                <w:rFonts w:ascii="Arial" w:cs="Arial" w:eastAsia="Arial" w:hAnsi="Arial"/>
                <w:sz w:val="19"/>
                <w:szCs w:val="19"/>
                <w:color w:val="auto"/>
              </w:rPr>
              <w:t> Financial Statements</w:t>
            </w:r>
          </w:p>
        </w:tc>
        <w:tc>
          <w:tcPr>
            <w:tcW w:w="25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75"/>
        </w:trPr>
        <w:tc>
          <w:tcPr>
            <w:tcW w:w="860" w:type="dxa"/>
            <w:vAlign w:val="bottom"/>
          </w:tcPr>
          <w:p>
            <w:pPr>
              <w:ind w:left="580"/>
              <w:spacing w:after="0"/>
              <w:rPr>
                <w:sz w:val="20"/>
                <w:szCs w:val="20"/>
                <w:color w:val="auto"/>
              </w:rPr>
            </w:pPr>
            <w:r>
              <w:rPr>
                <w:rFonts w:ascii="Arial" w:cs="Arial" w:eastAsia="Arial" w:hAnsi="Arial"/>
                <w:sz w:val="19"/>
                <w:szCs w:val="19"/>
                <w:color w:val="auto"/>
                <w:w w:val="74"/>
              </w:rPr>
              <w:t>2. </w:t>
            </w:r>
          </w:p>
        </w:tc>
        <w:tc>
          <w:tcPr>
            <w:tcW w:w="240" w:type="dxa"/>
            <w:vAlign w:val="bottom"/>
          </w:tcPr>
          <w:p>
            <w:pPr>
              <w:ind w:left="60"/>
              <w:spacing w:after="0"/>
              <w:rPr>
                <w:sz w:val="20"/>
                <w:szCs w:val="20"/>
                <w:color w:val="auto"/>
              </w:rPr>
            </w:pPr>
            <w:r>
              <w:rPr>
                <w:rFonts w:ascii="Arial" w:cs="Arial" w:eastAsia="Arial" w:hAnsi="Arial"/>
                <w:sz w:val="19"/>
                <w:szCs w:val="19"/>
                <w:color w:val="auto"/>
                <w:w w:val="83"/>
              </w:rPr>
              <w:t> </w:t>
            </w:r>
          </w:p>
        </w:tc>
        <w:tc>
          <w:tcPr>
            <w:tcW w:w="7040" w:type="dxa"/>
            <w:vAlign w:val="bottom"/>
          </w:tcPr>
          <w:p>
            <w:pPr>
              <w:ind w:left="20"/>
              <w:spacing w:after="0"/>
              <w:rPr>
                <w:sz w:val="20"/>
                <w:szCs w:val="20"/>
                <w:color w:val="auto"/>
              </w:rPr>
            </w:pPr>
            <w:r>
              <w:rPr>
                <w:rFonts w:ascii="Arial" w:cs="Arial" w:eastAsia="Arial" w:hAnsi="Arial"/>
                <w:sz w:val="19"/>
                <w:szCs w:val="19"/>
                <w:color w:val="auto"/>
              </w:rPr>
              <w:t> Election of Directors</w:t>
            </w:r>
          </w:p>
        </w:tc>
        <w:tc>
          <w:tcPr>
            <w:tcW w:w="25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75"/>
        </w:trPr>
        <w:tc>
          <w:tcPr>
            <w:tcW w:w="860" w:type="dxa"/>
            <w:vAlign w:val="bottom"/>
          </w:tcPr>
          <w:p>
            <w:pPr>
              <w:ind w:left="580"/>
              <w:spacing w:after="0"/>
              <w:rPr>
                <w:sz w:val="20"/>
                <w:szCs w:val="20"/>
                <w:color w:val="auto"/>
              </w:rPr>
            </w:pPr>
            <w:r>
              <w:rPr>
                <w:rFonts w:ascii="Arial" w:cs="Arial" w:eastAsia="Arial" w:hAnsi="Arial"/>
                <w:sz w:val="19"/>
                <w:szCs w:val="19"/>
                <w:color w:val="auto"/>
                <w:w w:val="74"/>
              </w:rPr>
              <w:t>3. </w:t>
            </w:r>
          </w:p>
        </w:tc>
        <w:tc>
          <w:tcPr>
            <w:tcW w:w="240" w:type="dxa"/>
            <w:vAlign w:val="bottom"/>
          </w:tcPr>
          <w:p>
            <w:pPr>
              <w:ind w:left="60"/>
              <w:spacing w:after="0"/>
              <w:rPr>
                <w:sz w:val="20"/>
                <w:szCs w:val="20"/>
                <w:color w:val="auto"/>
              </w:rPr>
            </w:pPr>
            <w:r>
              <w:rPr>
                <w:rFonts w:ascii="Arial" w:cs="Arial" w:eastAsia="Arial" w:hAnsi="Arial"/>
                <w:sz w:val="19"/>
                <w:szCs w:val="19"/>
                <w:color w:val="auto"/>
                <w:w w:val="83"/>
              </w:rPr>
              <w:t> </w:t>
            </w:r>
          </w:p>
        </w:tc>
        <w:tc>
          <w:tcPr>
            <w:tcW w:w="7040" w:type="dxa"/>
            <w:vAlign w:val="bottom"/>
          </w:tcPr>
          <w:p>
            <w:pPr>
              <w:ind w:left="20"/>
              <w:spacing w:after="0"/>
              <w:rPr>
                <w:sz w:val="20"/>
                <w:szCs w:val="20"/>
                <w:color w:val="auto"/>
              </w:rPr>
            </w:pPr>
            <w:r>
              <w:rPr>
                <w:rFonts w:ascii="Arial" w:cs="Arial" w:eastAsia="Arial" w:hAnsi="Arial"/>
                <w:sz w:val="19"/>
                <w:szCs w:val="19"/>
                <w:color w:val="auto"/>
              </w:rPr>
              <w:t> Appointment of Auditors</w:t>
            </w:r>
          </w:p>
        </w:tc>
        <w:tc>
          <w:tcPr>
            <w:tcW w:w="25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75"/>
        </w:trPr>
        <w:tc>
          <w:tcPr>
            <w:tcW w:w="860" w:type="dxa"/>
            <w:vAlign w:val="bottom"/>
          </w:tcPr>
          <w:p>
            <w:pPr>
              <w:ind w:left="580"/>
              <w:spacing w:after="0"/>
              <w:rPr>
                <w:sz w:val="20"/>
                <w:szCs w:val="20"/>
                <w:color w:val="auto"/>
              </w:rPr>
            </w:pPr>
            <w:r>
              <w:rPr>
                <w:rFonts w:ascii="Arial" w:cs="Arial" w:eastAsia="Arial" w:hAnsi="Arial"/>
                <w:sz w:val="19"/>
                <w:szCs w:val="19"/>
                <w:color w:val="auto"/>
                <w:w w:val="74"/>
              </w:rPr>
              <w:t>4. </w:t>
            </w:r>
          </w:p>
        </w:tc>
        <w:tc>
          <w:tcPr>
            <w:tcW w:w="240" w:type="dxa"/>
            <w:vAlign w:val="bottom"/>
          </w:tcPr>
          <w:p>
            <w:pPr>
              <w:ind w:left="60"/>
              <w:spacing w:after="0"/>
              <w:rPr>
                <w:sz w:val="20"/>
                <w:szCs w:val="20"/>
                <w:color w:val="auto"/>
              </w:rPr>
            </w:pPr>
            <w:r>
              <w:rPr>
                <w:rFonts w:ascii="Arial" w:cs="Arial" w:eastAsia="Arial" w:hAnsi="Arial"/>
                <w:sz w:val="19"/>
                <w:szCs w:val="19"/>
                <w:color w:val="auto"/>
                <w:w w:val="83"/>
              </w:rPr>
              <w:t> </w:t>
            </w:r>
          </w:p>
        </w:tc>
        <w:tc>
          <w:tcPr>
            <w:tcW w:w="7040" w:type="dxa"/>
            <w:vAlign w:val="bottom"/>
          </w:tcPr>
          <w:p>
            <w:pPr>
              <w:ind w:left="20"/>
              <w:spacing w:after="0"/>
              <w:rPr>
                <w:sz w:val="20"/>
                <w:szCs w:val="20"/>
                <w:color w:val="auto"/>
              </w:rPr>
            </w:pPr>
            <w:r>
              <w:rPr>
                <w:rFonts w:ascii="Arial" w:cs="Arial" w:eastAsia="Arial" w:hAnsi="Arial"/>
                <w:sz w:val="19"/>
                <w:szCs w:val="19"/>
                <w:color w:val="auto"/>
              </w:rPr>
              <w:t> Advisory Vote on Approach to Executive Compensation</w:t>
            </w:r>
          </w:p>
        </w:tc>
        <w:tc>
          <w:tcPr>
            <w:tcW w:w="25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64"/>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Compensation</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30</w:t>
            </w:r>
          </w:p>
        </w:tc>
      </w:tr>
      <w:tr>
        <w:trPr>
          <w:trHeight w:val="254"/>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Compensation Letter to Shareholders</w:t>
            </w:r>
          </w:p>
        </w:tc>
        <w:tc>
          <w:tcPr>
            <w:tcW w:w="25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Compensation Governance</w:t>
            </w:r>
          </w:p>
        </w:tc>
        <w:tc>
          <w:tcPr>
            <w:tcW w:w="25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Compensation Discussion and Analysis</w:t>
            </w:r>
          </w:p>
        </w:tc>
        <w:tc>
          <w:tcPr>
            <w:tcW w:w="250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Compensation – Named Executive Officers</w:t>
            </w:r>
          </w:p>
        </w:tc>
        <w:tc>
          <w:tcPr>
            <w:tcW w:w="25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Employment Agreements – Named Executive Officers</w:t>
            </w:r>
          </w:p>
        </w:tc>
        <w:tc>
          <w:tcPr>
            <w:tcW w:w="25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62"/>
        </w:trPr>
        <w:tc>
          <w:tcPr>
            <w:tcW w:w="8140" w:type="dxa"/>
            <w:vAlign w:val="bottom"/>
            <w:gridSpan w:val="3"/>
          </w:tcPr>
          <w:p>
            <w:pPr>
              <w:ind w:left="520"/>
              <w:spacing w:after="0"/>
              <w:rPr>
                <w:sz w:val="20"/>
                <w:szCs w:val="20"/>
                <w:color w:val="auto"/>
              </w:rPr>
            </w:pPr>
            <w:r>
              <w:rPr>
                <w:rFonts w:ascii="Arial" w:cs="Arial" w:eastAsia="Arial" w:hAnsi="Arial"/>
                <w:sz w:val="17"/>
                <w:szCs w:val="17"/>
                <w:color w:val="auto"/>
              </w:rPr>
              <w:t>Compensation – Directors</w:t>
            </w:r>
          </w:p>
        </w:tc>
        <w:tc>
          <w:tcPr>
            <w:tcW w:w="250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70"/>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72</w:t>
            </w:r>
          </w:p>
        </w:tc>
      </w:tr>
      <w:tr>
        <w:trPr>
          <w:trHeight w:val="262"/>
        </w:trPr>
        <w:tc>
          <w:tcPr>
            <w:tcW w:w="8140" w:type="dxa"/>
            <w:vAlign w:val="bottom"/>
            <w:gridSpan w:val="3"/>
          </w:tcPr>
          <w:p>
            <w:pPr>
              <w:spacing w:after="0"/>
              <w:rPr>
                <w:sz w:val="20"/>
                <w:szCs w:val="20"/>
                <w:color w:val="auto"/>
              </w:rPr>
            </w:pPr>
            <w:r>
              <w:rPr>
                <w:rFonts w:ascii="Arial" w:cs="Arial" w:eastAsia="Arial" w:hAnsi="Arial"/>
                <w:sz w:val="17"/>
                <w:szCs w:val="17"/>
                <w:b w:val="1"/>
                <w:bCs w:val="1"/>
                <w:color w:val="auto"/>
              </w:rPr>
              <w:t>Statement of Governance Practices</w:t>
            </w:r>
          </w:p>
        </w:tc>
        <w:tc>
          <w:tcPr>
            <w:tcW w:w="2500" w:type="dxa"/>
            <w:vAlign w:val="bottom"/>
          </w:tcPr>
          <w:p>
            <w:pPr>
              <w:jc w:val="right"/>
              <w:spacing w:after="0"/>
              <w:rPr>
                <w:sz w:val="20"/>
                <w:szCs w:val="20"/>
                <w:color w:val="auto"/>
              </w:rPr>
            </w:pPr>
            <w:r>
              <w:rPr>
                <w:rFonts w:ascii="Arial" w:cs="Arial" w:eastAsia="Arial" w:hAnsi="Arial"/>
                <w:sz w:val="17"/>
                <w:szCs w:val="17"/>
                <w:b w:val="1"/>
                <w:bCs w:val="1"/>
                <w:color w:val="auto"/>
              </w:rPr>
              <w:t>72</w:t>
            </w:r>
          </w:p>
        </w:tc>
      </w:tr>
    </w:tbl>
    <w:p>
      <w:pPr>
        <w:sectPr>
          <w:pgSz w:w="11900" w:h="16838" w:orient="portrait"/>
          <w:cols w:equalWidth="0" w:num="1">
            <w:col w:w="10640"/>
          </w:cols>
          <w:pgMar w:left="600" w:top="255" w:right="65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180" w:type="dxa"/>
            <w:vAlign w:val="bottom"/>
          </w:tcPr>
          <w:p>
            <w:pPr>
              <w:ind w:left="520"/>
              <w:spacing w:after="0"/>
              <w:rPr>
                <w:sz w:val="20"/>
                <w:szCs w:val="20"/>
                <w:color w:val="auto"/>
              </w:rPr>
            </w:pPr>
            <w:r>
              <w:rPr>
                <w:rFonts w:ascii="Arial" w:cs="Arial" w:eastAsia="Arial" w:hAnsi="Arial"/>
                <w:sz w:val="17"/>
                <w:szCs w:val="17"/>
                <w:color w:val="auto"/>
              </w:rPr>
              <w:t>Overall Approach</w:t>
            </w:r>
          </w:p>
        </w:tc>
        <w:tc>
          <w:tcPr>
            <w:tcW w:w="246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Nasdaq Corporate Governance</w:t>
            </w:r>
          </w:p>
        </w:tc>
        <w:tc>
          <w:tcPr>
            <w:tcW w:w="24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Canadian Corporate Governance</w:t>
            </w:r>
          </w:p>
        </w:tc>
        <w:tc>
          <w:tcPr>
            <w:tcW w:w="24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Governance Highlights</w:t>
            </w:r>
          </w:p>
        </w:tc>
        <w:tc>
          <w:tcPr>
            <w:tcW w:w="246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Composition of Board of Directors and Independence</w:t>
            </w:r>
          </w:p>
        </w:tc>
        <w:tc>
          <w:tcPr>
            <w:tcW w:w="24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Nomination of Directors</w:t>
            </w:r>
          </w:p>
        </w:tc>
        <w:tc>
          <w:tcPr>
            <w:tcW w:w="24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Term Limits</w:t>
            </w:r>
          </w:p>
        </w:tc>
        <w:tc>
          <w:tcPr>
            <w:tcW w:w="246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Board Assessments</w:t>
            </w:r>
          </w:p>
        </w:tc>
        <w:tc>
          <w:tcPr>
            <w:tcW w:w="246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Mandate of the Board</w:t>
            </w:r>
          </w:p>
        </w:tc>
        <w:tc>
          <w:tcPr>
            <w:tcW w:w="246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Position Descriptions</w:t>
            </w:r>
          </w:p>
        </w:tc>
        <w:tc>
          <w:tcPr>
            <w:tcW w:w="24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Orientation and Continuing Education</w:t>
            </w:r>
          </w:p>
        </w:tc>
        <w:tc>
          <w:tcPr>
            <w:tcW w:w="246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Ethical Business Conduct</w:t>
            </w:r>
          </w:p>
        </w:tc>
        <w:tc>
          <w:tcPr>
            <w:tcW w:w="246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Whistleblower Policy</w:t>
            </w:r>
          </w:p>
        </w:tc>
        <w:tc>
          <w:tcPr>
            <w:tcW w:w="246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Insider Trading Policy</w:t>
            </w:r>
          </w:p>
        </w:tc>
        <w:tc>
          <w:tcPr>
            <w:tcW w:w="246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Disclosure and Confidential Information Policy</w:t>
            </w:r>
          </w:p>
        </w:tc>
        <w:tc>
          <w:tcPr>
            <w:tcW w:w="246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Share Ownership Guidelines</w:t>
            </w:r>
          </w:p>
        </w:tc>
        <w:tc>
          <w:tcPr>
            <w:tcW w:w="2460" w:type="dxa"/>
            <w:vAlign w:val="bottom"/>
          </w:tcPr>
          <w:p>
            <w:pPr>
              <w:jc w:val="right"/>
              <w:spacing w:after="0"/>
              <w:rPr>
                <w:sz w:val="20"/>
                <w:szCs w:val="20"/>
                <w:color w:val="auto"/>
              </w:rPr>
            </w:pPr>
            <w:r>
              <w:rPr>
                <w:rFonts w:ascii="Arial" w:cs="Arial" w:eastAsia="Arial" w:hAnsi="Arial"/>
                <w:sz w:val="17"/>
                <w:szCs w:val="17"/>
                <w:color w:val="auto"/>
              </w:rPr>
              <w:t>78</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Clawback Policy</w:t>
            </w:r>
          </w:p>
        </w:tc>
        <w:tc>
          <w:tcPr>
            <w:tcW w:w="246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Inclusion and Representation</w:t>
            </w:r>
          </w:p>
        </w:tc>
        <w:tc>
          <w:tcPr>
            <w:tcW w:w="246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Conflicts of Interest</w:t>
            </w:r>
          </w:p>
        </w:tc>
        <w:tc>
          <w:tcPr>
            <w:tcW w:w="246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Committees of the Board</w:t>
            </w:r>
          </w:p>
        </w:tc>
        <w:tc>
          <w:tcPr>
            <w:tcW w:w="2460" w:type="dxa"/>
            <w:vAlign w:val="bottom"/>
          </w:tcPr>
          <w:p>
            <w:pPr>
              <w:jc w:val="right"/>
              <w:spacing w:after="0"/>
              <w:rPr>
                <w:sz w:val="20"/>
                <w:szCs w:val="20"/>
                <w:color w:val="auto"/>
              </w:rPr>
            </w:pPr>
            <w:r>
              <w:rPr>
                <w:rFonts w:ascii="Arial" w:cs="Arial" w:eastAsia="Arial" w:hAnsi="Arial"/>
                <w:sz w:val="17"/>
                <w:szCs w:val="17"/>
                <w:color w:val="auto"/>
              </w:rPr>
              <w:t>81</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Board Interlocks</w:t>
            </w:r>
          </w:p>
        </w:tc>
        <w:tc>
          <w:tcPr>
            <w:tcW w:w="246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Succession Planning</w:t>
            </w:r>
          </w:p>
        </w:tc>
        <w:tc>
          <w:tcPr>
            <w:tcW w:w="246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Sustainability</w:t>
            </w:r>
          </w:p>
        </w:tc>
        <w:tc>
          <w:tcPr>
            <w:tcW w:w="246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Cyber Security</w:t>
            </w:r>
          </w:p>
        </w:tc>
        <w:tc>
          <w:tcPr>
            <w:tcW w:w="246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Shareholder Engagement</w:t>
            </w:r>
          </w:p>
        </w:tc>
        <w:tc>
          <w:tcPr>
            <w:tcW w:w="246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Risk Oversight</w:t>
            </w:r>
          </w:p>
        </w:tc>
        <w:tc>
          <w:tcPr>
            <w:tcW w:w="2460" w:type="dxa"/>
            <w:vAlign w:val="bottom"/>
          </w:tcPr>
          <w:p>
            <w:pPr>
              <w:jc w:val="right"/>
              <w:spacing w:after="0"/>
              <w:rPr>
                <w:sz w:val="20"/>
                <w:szCs w:val="20"/>
                <w:color w:val="auto"/>
              </w:rPr>
            </w:pPr>
            <w:r>
              <w:rPr>
                <w:rFonts w:ascii="Arial" w:cs="Arial" w:eastAsia="Arial" w:hAnsi="Arial"/>
                <w:sz w:val="17"/>
                <w:szCs w:val="17"/>
                <w:color w:val="auto"/>
              </w:rPr>
              <w:t>89</w:t>
            </w:r>
          </w:p>
        </w:tc>
      </w:tr>
      <w:tr>
        <w:trPr>
          <w:trHeight w:val="270"/>
        </w:trPr>
        <w:tc>
          <w:tcPr>
            <w:tcW w:w="8180" w:type="dxa"/>
            <w:vAlign w:val="bottom"/>
          </w:tcPr>
          <w:p>
            <w:pPr>
              <w:spacing w:after="0"/>
              <w:rPr>
                <w:sz w:val="20"/>
                <w:szCs w:val="20"/>
                <w:color w:val="auto"/>
              </w:rPr>
            </w:pPr>
            <w:r>
              <w:rPr>
                <w:rFonts w:ascii="Arial" w:cs="Arial" w:eastAsia="Arial" w:hAnsi="Arial"/>
                <w:sz w:val="17"/>
                <w:szCs w:val="17"/>
                <w:b w:val="1"/>
                <w:bCs w:val="1"/>
                <w:color w:val="auto"/>
              </w:rPr>
              <w:t>Equity Incentive Plans</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90</w:t>
            </w:r>
          </w:p>
        </w:tc>
      </w:tr>
      <w:tr>
        <w:trPr>
          <w:trHeight w:val="254"/>
        </w:trPr>
        <w:tc>
          <w:tcPr>
            <w:tcW w:w="8180" w:type="dxa"/>
            <w:vAlign w:val="bottom"/>
          </w:tcPr>
          <w:p>
            <w:pPr>
              <w:ind w:left="520"/>
              <w:spacing w:after="0"/>
              <w:rPr>
                <w:sz w:val="20"/>
                <w:szCs w:val="20"/>
                <w:color w:val="auto"/>
              </w:rPr>
            </w:pPr>
            <w:r>
              <w:rPr>
                <w:rFonts w:ascii="Arial" w:cs="Arial" w:eastAsia="Arial" w:hAnsi="Arial"/>
                <w:sz w:val="17"/>
                <w:szCs w:val="17"/>
                <w:color w:val="auto"/>
              </w:rPr>
              <w:t>Omnibus Incentive Plan</w:t>
            </w:r>
          </w:p>
        </w:tc>
        <w:tc>
          <w:tcPr>
            <w:tcW w:w="246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62"/>
        </w:trPr>
        <w:tc>
          <w:tcPr>
            <w:tcW w:w="8180" w:type="dxa"/>
            <w:vAlign w:val="bottom"/>
          </w:tcPr>
          <w:p>
            <w:pPr>
              <w:ind w:left="520"/>
              <w:spacing w:after="0"/>
              <w:rPr>
                <w:sz w:val="20"/>
                <w:szCs w:val="20"/>
                <w:color w:val="auto"/>
              </w:rPr>
            </w:pPr>
            <w:r>
              <w:rPr>
                <w:rFonts w:ascii="Arial" w:cs="Arial" w:eastAsia="Arial" w:hAnsi="Arial"/>
                <w:sz w:val="17"/>
                <w:szCs w:val="17"/>
                <w:color w:val="auto"/>
              </w:rPr>
              <w:t>Legacy Incentive Plan</w:t>
            </w:r>
          </w:p>
        </w:tc>
        <w:tc>
          <w:tcPr>
            <w:tcW w:w="246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70"/>
        </w:trPr>
        <w:tc>
          <w:tcPr>
            <w:tcW w:w="8180" w:type="dxa"/>
            <w:vAlign w:val="bottom"/>
          </w:tcPr>
          <w:p>
            <w:pPr>
              <w:spacing w:after="0"/>
              <w:rPr>
                <w:sz w:val="20"/>
                <w:szCs w:val="20"/>
                <w:color w:val="auto"/>
              </w:rPr>
            </w:pPr>
            <w:r>
              <w:rPr>
                <w:rFonts w:ascii="Arial" w:cs="Arial" w:eastAsia="Arial" w:hAnsi="Arial"/>
                <w:sz w:val="17"/>
                <w:szCs w:val="17"/>
                <w:b w:val="1"/>
                <w:bCs w:val="1"/>
                <w:color w:val="auto"/>
              </w:rPr>
              <w:t>Directors’ and Officers’ Insurance and Indemnification</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97</w:t>
            </w:r>
          </w:p>
        </w:tc>
      </w:tr>
      <w:tr>
        <w:trPr>
          <w:trHeight w:val="262"/>
        </w:trPr>
        <w:tc>
          <w:tcPr>
            <w:tcW w:w="8180" w:type="dxa"/>
            <w:vAlign w:val="bottom"/>
          </w:tcPr>
          <w:p>
            <w:pPr>
              <w:spacing w:after="0"/>
              <w:rPr>
                <w:sz w:val="20"/>
                <w:szCs w:val="20"/>
                <w:color w:val="auto"/>
              </w:rPr>
            </w:pPr>
            <w:r>
              <w:rPr>
                <w:rFonts w:ascii="Arial" w:cs="Arial" w:eastAsia="Arial" w:hAnsi="Arial"/>
                <w:sz w:val="17"/>
                <w:szCs w:val="17"/>
                <w:b w:val="1"/>
                <w:bCs w:val="1"/>
                <w:color w:val="auto"/>
              </w:rPr>
              <w:t>Indebtedness of Directors and Officers</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97</w:t>
            </w:r>
          </w:p>
        </w:tc>
      </w:tr>
      <w:tr>
        <w:trPr>
          <w:trHeight w:val="262"/>
        </w:trPr>
        <w:tc>
          <w:tcPr>
            <w:tcW w:w="8180" w:type="dxa"/>
            <w:vAlign w:val="bottom"/>
          </w:tcPr>
          <w:p>
            <w:pPr>
              <w:spacing w:after="0"/>
              <w:rPr>
                <w:sz w:val="20"/>
                <w:szCs w:val="20"/>
                <w:color w:val="auto"/>
              </w:rPr>
            </w:pPr>
            <w:r>
              <w:rPr>
                <w:rFonts w:ascii="Arial" w:cs="Arial" w:eastAsia="Arial" w:hAnsi="Arial"/>
                <w:sz w:val="17"/>
                <w:szCs w:val="17"/>
                <w:b w:val="1"/>
                <w:bCs w:val="1"/>
                <w:color w:val="auto"/>
              </w:rPr>
              <w:t>Interests of Certain Persons or Companies in Matters to be Acted Upon</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98</w:t>
            </w:r>
          </w:p>
        </w:tc>
      </w:tr>
      <w:tr>
        <w:trPr>
          <w:trHeight w:val="262"/>
        </w:trPr>
        <w:tc>
          <w:tcPr>
            <w:tcW w:w="8180" w:type="dxa"/>
            <w:vAlign w:val="bottom"/>
          </w:tcPr>
          <w:p>
            <w:pPr>
              <w:spacing w:after="0"/>
              <w:rPr>
                <w:sz w:val="20"/>
                <w:szCs w:val="20"/>
                <w:color w:val="auto"/>
              </w:rPr>
            </w:pPr>
            <w:r>
              <w:rPr>
                <w:rFonts w:ascii="Arial" w:cs="Arial" w:eastAsia="Arial" w:hAnsi="Arial"/>
                <w:sz w:val="17"/>
                <w:szCs w:val="17"/>
                <w:b w:val="1"/>
                <w:bCs w:val="1"/>
                <w:color w:val="auto"/>
              </w:rPr>
              <w:t>Interest of Informed Persons in Material Transactions</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98</w:t>
            </w:r>
          </w:p>
        </w:tc>
      </w:tr>
      <w:tr>
        <w:trPr>
          <w:trHeight w:val="262"/>
        </w:trPr>
        <w:tc>
          <w:tcPr>
            <w:tcW w:w="8180" w:type="dxa"/>
            <w:vAlign w:val="bottom"/>
          </w:tcPr>
          <w:p>
            <w:pPr>
              <w:spacing w:after="0"/>
              <w:rPr>
                <w:sz w:val="20"/>
                <w:szCs w:val="20"/>
                <w:color w:val="auto"/>
              </w:rPr>
            </w:pPr>
            <w:r>
              <w:rPr>
                <w:rFonts w:ascii="Arial" w:cs="Arial" w:eastAsia="Arial" w:hAnsi="Arial"/>
                <w:sz w:val="17"/>
                <w:szCs w:val="17"/>
                <w:b w:val="1"/>
                <w:bCs w:val="1"/>
                <w:color w:val="auto"/>
              </w:rPr>
              <w:t>Other Business</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98</w:t>
            </w:r>
          </w:p>
        </w:tc>
      </w:tr>
      <w:tr>
        <w:trPr>
          <w:trHeight w:val="262"/>
        </w:trPr>
        <w:tc>
          <w:tcPr>
            <w:tcW w:w="8180" w:type="dxa"/>
            <w:vAlign w:val="bottom"/>
          </w:tcPr>
          <w:p>
            <w:pPr>
              <w:spacing w:after="0"/>
              <w:rPr>
                <w:sz w:val="20"/>
                <w:szCs w:val="20"/>
                <w:color w:val="auto"/>
              </w:rPr>
            </w:pPr>
            <w:r>
              <w:rPr>
                <w:rFonts w:ascii="Arial" w:cs="Arial" w:eastAsia="Arial" w:hAnsi="Arial"/>
                <w:sz w:val="17"/>
                <w:szCs w:val="17"/>
                <w:b w:val="1"/>
                <w:bCs w:val="1"/>
                <w:color w:val="auto"/>
              </w:rPr>
              <w:t>Additional Information</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98</w:t>
            </w:r>
          </w:p>
        </w:tc>
      </w:tr>
      <w:tr>
        <w:trPr>
          <w:trHeight w:val="262"/>
        </w:trPr>
        <w:tc>
          <w:tcPr>
            <w:tcW w:w="8180" w:type="dxa"/>
            <w:vAlign w:val="bottom"/>
          </w:tcPr>
          <w:p>
            <w:pPr>
              <w:spacing w:after="0"/>
              <w:rPr>
                <w:sz w:val="20"/>
                <w:szCs w:val="20"/>
                <w:color w:val="auto"/>
              </w:rPr>
            </w:pPr>
            <w:r>
              <w:rPr>
                <w:rFonts w:ascii="Arial" w:cs="Arial" w:eastAsia="Arial" w:hAnsi="Arial"/>
                <w:sz w:val="17"/>
                <w:szCs w:val="17"/>
                <w:b w:val="1"/>
                <w:bCs w:val="1"/>
                <w:color w:val="auto"/>
              </w:rPr>
              <w:t>Approval of Directors</w:t>
            </w:r>
          </w:p>
        </w:tc>
        <w:tc>
          <w:tcPr>
            <w:tcW w:w="2460" w:type="dxa"/>
            <w:vAlign w:val="bottom"/>
          </w:tcPr>
          <w:p>
            <w:pPr>
              <w:jc w:val="right"/>
              <w:spacing w:after="0"/>
              <w:rPr>
                <w:sz w:val="20"/>
                <w:szCs w:val="20"/>
                <w:color w:val="auto"/>
              </w:rPr>
            </w:pPr>
            <w:r>
              <w:rPr>
                <w:rFonts w:ascii="Arial" w:cs="Arial" w:eastAsia="Arial" w:hAnsi="Arial"/>
                <w:sz w:val="17"/>
                <w:szCs w:val="17"/>
                <w:b w:val="1"/>
                <w:bCs w:val="1"/>
                <w:color w:val="auto"/>
              </w:rPr>
              <w:t>99</w:t>
            </w:r>
          </w:p>
        </w:tc>
      </w:tr>
    </w:tbl>
    <w:p>
      <w:pPr>
        <w:sectPr>
          <w:pgSz w:w="11900" w:h="16838" w:orient="portrait"/>
          <w:cols w:equalWidth="0" w:num="1">
            <w:col w:w="10640"/>
          </w:cols>
          <w:pgMar w:left="600" w:top="267" w:right="659" w:bottom="1440" w:gutter="0" w:footer="0" w:header="0"/>
        </w:sectPr>
      </w:pPr>
    </w:p>
    <w:bookmarkStart w:id="7" w:name="page8"/>
    <w:bookmarkEnd w:id="7"/>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Notice of Annual Meeting of Shareholders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b w:val="1"/>
          <w:bCs w:val="1"/>
          <w:color w:val="auto"/>
        </w:rPr>
        <w:t xml:space="preserve">NOTICE IS HEREBY GIVEN </w:t>
      </w:r>
      <w:r>
        <w:rPr>
          <w:rFonts w:ascii="Arial" w:cs="Arial" w:eastAsia="Arial" w:hAnsi="Arial"/>
          <w:sz w:val="19"/>
          <w:szCs w:val="19"/>
          <w:color w:val="auto"/>
        </w:rPr>
        <w:t>that an annual meeting (the “</w:t>
      </w:r>
      <w:r>
        <w:rPr>
          <w:rFonts w:ascii="Arial" w:cs="Arial" w:eastAsia="Arial" w:hAnsi="Arial"/>
          <w:sz w:val="19"/>
          <w:szCs w:val="19"/>
          <w:b w:val="1"/>
          <w:bCs w:val="1"/>
          <w:color w:val="auto"/>
        </w:rPr>
        <w:t>Meeting</w:t>
      </w:r>
      <w:r>
        <w:rPr>
          <w:rFonts w:ascii="Arial" w:cs="Arial" w:eastAsia="Arial" w:hAnsi="Arial"/>
          <w:sz w:val="19"/>
          <w:szCs w:val="19"/>
          <w:color w:val="auto"/>
        </w:rPr>
        <w:t>”) of shareholders of Algoma Steel Group Inc.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Company</w:t>
      </w:r>
      <w:r>
        <w:rPr>
          <w:rFonts w:ascii="Arial" w:cs="Arial" w:eastAsia="Arial" w:hAnsi="Arial"/>
          <w:sz w:val="19"/>
          <w:szCs w:val="19"/>
          <w:color w:val="auto"/>
        </w:rPr>
        <w:t xml:space="preserve">”) will be held in a virtual-only format via live audio webcast on June 23, 2026 at 10:00 a.m. (Canada/Eastern Standard time) via the TSX Trust Virtual Meeting Platform at URL: </w:t>
      </w:r>
      <w:r>
        <w:rPr>
          <w:rFonts w:ascii="Arial" w:cs="Arial" w:eastAsia="Arial" w:hAnsi="Arial"/>
          <w:sz w:val="19"/>
          <w:szCs w:val="19"/>
          <w:u w:val="single" w:color="auto"/>
          <w:color w:val="0000FF"/>
        </w:rPr>
        <w:t>https://virtual-meetings.tsxtrust.com/en/1896/</w:t>
      </w:r>
      <w:r>
        <w:rPr>
          <w:rFonts w:ascii="Arial" w:cs="Arial" w:eastAsia="Arial" w:hAnsi="Arial"/>
          <w:sz w:val="19"/>
          <w:szCs w:val="19"/>
          <w:color w:val="auto"/>
        </w:rPr>
        <w:t>, Meeting ID: 1896 and Password: algoma2026 (case sensitive).</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The Meeting will be held for the following purposes:</w:t>
      </w:r>
    </w:p>
    <w:p>
      <w:pPr>
        <w:spacing w:after="0" w:line="199" w:lineRule="exact"/>
        <w:rPr>
          <w:sz w:val="20"/>
          <w:szCs w:val="20"/>
          <w:color w:val="auto"/>
        </w:rPr>
      </w:pPr>
    </w:p>
    <w:p>
      <w:pPr>
        <w:ind w:left="520" w:hanging="520"/>
        <w:spacing w:after="0" w:line="271" w:lineRule="auto"/>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 xml:space="preserve">TO RECEIVE </w:t>
      </w:r>
      <w:r>
        <w:rPr>
          <w:rFonts w:ascii="Arial" w:cs="Arial" w:eastAsia="Arial" w:hAnsi="Arial"/>
          <w:sz w:val="19"/>
          <w:szCs w:val="19"/>
          <w:color w:val="auto"/>
        </w:rPr>
        <w:t>the financial statements of the Company and the auditors’ report thereon, for the twelve-month period</w:t>
      </w:r>
      <w:r>
        <w:rPr>
          <w:rFonts w:ascii="Arial" w:cs="Arial" w:eastAsia="Arial" w:hAnsi="Arial"/>
          <w:sz w:val="19"/>
          <w:szCs w:val="19"/>
          <w:b w:val="1"/>
          <w:bCs w:val="1"/>
          <w:color w:val="auto"/>
        </w:rPr>
        <w:t xml:space="preserve"> </w:t>
      </w:r>
      <w:r>
        <w:rPr>
          <w:rFonts w:ascii="Arial" w:cs="Arial" w:eastAsia="Arial" w:hAnsi="Arial"/>
          <w:sz w:val="19"/>
          <w:szCs w:val="19"/>
          <w:color w:val="auto"/>
        </w:rPr>
        <w:t>ended December 31, 2025;</w:t>
      </w:r>
    </w:p>
    <w:p>
      <w:pPr>
        <w:spacing w:after="0" w:line="135" w:lineRule="exact"/>
        <w:rPr>
          <w:rFonts w:ascii="Arial" w:cs="Arial" w:eastAsia="Arial" w:hAnsi="Arial"/>
          <w:sz w:val="19"/>
          <w:szCs w:val="19"/>
          <w:color w:val="auto"/>
        </w:rPr>
      </w:pPr>
    </w:p>
    <w:p>
      <w:pPr>
        <w:ind w:left="520" w:hanging="520"/>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 xml:space="preserve">TO ELECT </w:t>
      </w:r>
      <w:r>
        <w:rPr>
          <w:rFonts w:ascii="Arial" w:cs="Arial" w:eastAsia="Arial" w:hAnsi="Arial"/>
          <w:sz w:val="19"/>
          <w:szCs w:val="19"/>
          <w:color w:val="auto"/>
        </w:rPr>
        <w:t>members of the board of directors of the Company;</w:t>
      </w:r>
    </w:p>
    <w:p>
      <w:pPr>
        <w:spacing w:after="0" w:line="200" w:lineRule="exact"/>
        <w:rPr>
          <w:rFonts w:ascii="Arial" w:cs="Arial" w:eastAsia="Arial" w:hAnsi="Arial"/>
          <w:sz w:val="19"/>
          <w:szCs w:val="19"/>
          <w:color w:val="auto"/>
        </w:rPr>
      </w:pPr>
    </w:p>
    <w:p>
      <w:pPr>
        <w:ind w:left="520" w:hanging="520"/>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 xml:space="preserve">TO APPOINT </w:t>
      </w:r>
      <w:r>
        <w:rPr>
          <w:rFonts w:ascii="Arial" w:cs="Arial" w:eastAsia="Arial" w:hAnsi="Arial"/>
          <w:sz w:val="19"/>
          <w:szCs w:val="19"/>
          <w:color w:val="auto"/>
        </w:rPr>
        <w:t>auditors and to authorize the board of directors of the Company to fix their remuneration;</w:t>
      </w:r>
    </w:p>
    <w:p>
      <w:pPr>
        <w:spacing w:after="0" w:line="200" w:lineRule="exact"/>
        <w:rPr>
          <w:rFonts w:ascii="Arial" w:cs="Arial" w:eastAsia="Arial" w:hAnsi="Arial"/>
          <w:sz w:val="19"/>
          <w:szCs w:val="19"/>
          <w:color w:val="auto"/>
        </w:rPr>
      </w:pPr>
    </w:p>
    <w:p>
      <w:pPr>
        <w:ind w:left="520" w:hanging="520"/>
        <w:spacing w:after="0" w:line="271" w:lineRule="auto"/>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 xml:space="preserve">TO CONSIDER </w:t>
      </w:r>
      <w:r>
        <w:rPr>
          <w:rFonts w:ascii="Arial" w:cs="Arial" w:eastAsia="Arial" w:hAnsi="Arial"/>
          <w:sz w:val="19"/>
          <w:szCs w:val="19"/>
          <w:color w:val="auto"/>
        </w:rPr>
        <w:t>and, if deemed advisable, to pass an advisory resolution on the Company’s approach to executive</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compensation; and</w:t>
      </w:r>
    </w:p>
    <w:p>
      <w:pPr>
        <w:spacing w:after="0" w:line="135" w:lineRule="exact"/>
        <w:rPr>
          <w:rFonts w:ascii="Arial" w:cs="Arial" w:eastAsia="Arial" w:hAnsi="Arial"/>
          <w:sz w:val="19"/>
          <w:szCs w:val="19"/>
          <w:color w:val="auto"/>
        </w:rPr>
      </w:pPr>
    </w:p>
    <w:p>
      <w:pPr>
        <w:ind w:left="520" w:hanging="520"/>
        <w:spacing w:after="0"/>
        <w:tabs>
          <w:tab w:leader="none" w:pos="5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 xml:space="preserve">TO TRANSACT </w:t>
      </w:r>
      <w:r>
        <w:rPr>
          <w:rFonts w:ascii="Arial" w:cs="Arial" w:eastAsia="Arial" w:hAnsi="Arial"/>
          <w:sz w:val="19"/>
          <w:szCs w:val="19"/>
          <w:color w:val="auto"/>
        </w:rPr>
        <w:t>such other business as may properly come before the Meeting or any adjournment thereof.</w:t>
      </w:r>
    </w:p>
    <w:p>
      <w:pPr>
        <w:spacing w:after="0" w:line="16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Holders of common shares of the Company (collectively, “</w:t>
      </w:r>
      <w:r>
        <w:rPr>
          <w:rFonts w:ascii="Arial" w:cs="Arial" w:eastAsia="Arial" w:hAnsi="Arial"/>
          <w:sz w:val="19"/>
          <w:szCs w:val="19"/>
          <w:b w:val="1"/>
          <w:bCs w:val="1"/>
          <w:color w:val="auto"/>
        </w:rPr>
        <w:t>Shareholders</w:t>
      </w:r>
      <w:r>
        <w:rPr>
          <w:rFonts w:ascii="Arial" w:cs="Arial" w:eastAsia="Arial" w:hAnsi="Arial"/>
          <w:sz w:val="19"/>
          <w:szCs w:val="19"/>
          <w:color w:val="auto"/>
        </w:rPr>
        <w:t>”) of record at the close of business on May 4, 2026 (the “</w:t>
      </w:r>
      <w:r>
        <w:rPr>
          <w:rFonts w:ascii="Arial" w:cs="Arial" w:eastAsia="Arial" w:hAnsi="Arial"/>
          <w:sz w:val="19"/>
          <w:szCs w:val="19"/>
          <w:b w:val="1"/>
          <w:bCs w:val="1"/>
          <w:color w:val="auto"/>
        </w:rPr>
        <w:t>Record Date</w:t>
      </w:r>
      <w:r>
        <w:rPr>
          <w:rFonts w:ascii="Arial" w:cs="Arial" w:eastAsia="Arial" w:hAnsi="Arial"/>
          <w:sz w:val="19"/>
          <w:szCs w:val="19"/>
          <w:color w:val="auto"/>
        </w:rPr>
        <w:t>”) will be entitled to vote at the Meeting.</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order to enable as many shareholders as possible to participate in the meeting, the Company will hold the Meeting as a virtual-only shareholders meeting with the opportunity for attendees to participate electronically.</w:t>
      </w:r>
    </w:p>
    <w:p>
      <w:pPr>
        <w:spacing w:after="0" w:line="11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Shareholders will not be able to attend the Meeting in person. At the virtual Meeting, registered Shareholders and duly appointed proxyholders will have an opportunity to participate, ask questions and vote, all in real time through a web-based platform. Non-registered Shareholders must carefully follow the procedures set out in the Information Circular in order to vote virtually at the Meeting and ask questions. Guests, including non-registered Shareholders who have not been duly appointed as proxyholders, can log into the virtual Meeting as a guest. Guests may listen to the Meeting but will not be entitled to vote at the Meeting.</w:t>
      </w:r>
    </w:p>
    <w:p>
      <w:pPr>
        <w:spacing w:after="0" w:line="12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In order to attend the Meeting virtually, Shareholders should log in at </w:t>
      </w:r>
      <w:r>
        <w:rPr>
          <w:rFonts w:ascii="Arial" w:cs="Arial" w:eastAsia="Arial" w:hAnsi="Arial"/>
          <w:sz w:val="19"/>
          <w:szCs w:val="19"/>
          <w:u w:val="single" w:color="auto"/>
          <w:color w:val="0000FF"/>
        </w:rPr>
        <w:t>https://virtual-meetings.tsxtrust.com/en/1896/</w:t>
      </w:r>
      <w:r>
        <w:rPr>
          <w:rFonts w:ascii="Arial" w:cs="Arial" w:eastAsia="Arial" w:hAnsi="Arial"/>
          <w:sz w:val="19"/>
          <w:szCs w:val="19"/>
          <w:color w:val="auto"/>
        </w:rPr>
        <w:t xml:space="preserve"> at least 15 minutes prior to the start of the Meeting. In order to log in, registered Shareholders will be required to provide the password (algoma2026) and their control number to vote at the Meeting. Alternatively, Shareholders can take steps to submit their votes by proxy by following the instructions below and as further set out in the accompanying Circular.</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If you are a registered Shareholder and are unable to attend the Meeting virtually, please complete, sign, date and return the enclosed form of proxy to ‘Att. Proxy Dept’, TSX Trust Company, 301-100 Adelaide Street West, Toronto, Ontario M5H 4H1, or by facsimile to (416) 595-9593, or complete the form of proxy by such other method as is identified, and pursuant to any instructions contained, in the form of proxy. In order to be valid for use at the Meeting, proxies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680"/>
          </w:cols>
          <w:pgMar w:left="600" w:top="255" w:right="619" w:bottom="1440" w:gutter="0" w:footer="0" w:header="0"/>
        </w:sectPr>
      </w:pPr>
    </w:p>
    <w:bookmarkStart w:id="8" w:name="page9"/>
    <w:bookmarkEnd w:id="8"/>
    <w:p>
      <w:pPr>
        <w:jc w:val="both"/>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must be received not less than 48 hours (excluding Saturdays, Sundays and holidays) prior to the Meeting or any adjournment(s) or postponement(s) thereof.</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If you are a non-registered Shareholder and receive these materials through your broker or through another intermediary, please complete and return the materials in accordance with the instructions provided to you by your broker or such other intermediary. If you are a non-registered Shareholder and do not complete and return the materials in accordance with such instructions, you may lose the right to vote at the Meeting.</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Further information with respect to voting by proxy is included in the accompanying Circular. If you have any questions or need assistance with the completion and delivery of your proxy, please contact the Company’s Vice President, Strategy and Chief Legal Officer, John Naccarato, by email at </w:t>
      </w:r>
      <w:r>
        <w:rPr>
          <w:rFonts w:ascii="Arial" w:cs="Arial" w:eastAsia="Arial" w:hAnsi="Arial"/>
          <w:sz w:val="19"/>
          <w:szCs w:val="19"/>
          <w:u w:val="single" w:color="auto"/>
          <w:color w:val="0000FF"/>
        </w:rPr>
        <w:t>John.Naccarato@algoma.com</w:t>
      </w:r>
      <w:r>
        <w:rPr>
          <w:rFonts w:ascii="Arial" w:cs="Arial" w:eastAsia="Arial" w:hAnsi="Arial"/>
          <w:sz w:val="19"/>
          <w:szCs w:val="19"/>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DATED </w:t>
      </w:r>
      <w:r>
        <w:rPr>
          <w:rFonts w:ascii="Arial" w:cs="Arial" w:eastAsia="Arial" w:hAnsi="Arial"/>
          <w:sz w:val="19"/>
          <w:szCs w:val="19"/>
          <w:color w:val="auto"/>
        </w:rPr>
        <w:t>at Sault Ste. Marie, Ontario this 30</w:t>
      </w:r>
      <w:r>
        <w:rPr>
          <w:rFonts w:ascii="Arial" w:cs="Arial" w:eastAsia="Arial" w:hAnsi="Arial"/>
          <w:sz w:val="28"/>
          <w:szCs w:val="28"/>
          <w:color w:val="auto"/>
          <w:vertAlign w:val="superscript"/>
        </w:rPr>
        <w:t>th</w:t>
      </w:r>
      <w:r>
        <w:rPr>
          <w:rFonts w:ascii="Arial" w:cs="Arial" w:eastAsia="Arial" w:hAnsi="Arial"/>
          <w:sz w:val="19"/>
          <w:szCs w:val="19"/>
          <w:b w:val="1"/>
          <w:bCs w:val="1"/>
          <w:color w:val="auto"/>
        </w:rPr>
        <w:t xml:space="preserve"> </w:t>
      </w:r>
      <w:r>
        <w:rPr>
          <w:rFonts w:ascii="Arial" w:cs="Arial" w:eastAsia="Arial" w:hAnsi="Arial"/>
          <w:sz w:val="19"/>
          <w:szCs w:val="19"/>
          <w:color w:val="auto"/>
        </w:rPr>
        <w:t>day of April, 2026.</w:t>
      </w:r>
    </w:p>
    <w:p>
      <w:pPr>
        <w:spacing w:after="0" w:line="123" w:lineRule="exact"/>
        <w:rPr>
          <w:sz w:val="20"/>
          <w:szCs w:val="20"/>
          <w:color w:val="auto"/>
        </w:rPr>
      </w:pPr>
    </w:p>
    <w:p>
      <w:pPr>
        <w:ind w:left="6420"/>
        <w:spacing w:after="0"/>
        <w:rPr>
          <w:sz w:val="20"/>
          <w:szCs w:val="20"/>
          <w:color w:val="auto"/>
        </w:rPr>
      </w:pPr>
      <w:r>
        <w:rPr>
          <w:rFonts w:ascii="Arial" w:cs="Arial" w:eastAsia="Arial" w:hAnsi="Arial"/>
          <w:sz w:val="19"/>
          <w:szCs w:val="19"/>
          <w:b w:val="1"/>
          <w:bCs w:val="1"/>
          <w:color w:val="auto"/>
        </w:rPr>
        <w:t>BY ORDER OF THE BOARD OF DIRECTORS</w:t>
      </w:r>
    </w:p>
    <w:p>
      <w:pPr>
        <w:spacing w:after="0" w:line="203" w:lineRule="exact"/>
        <w:rPr>
          <w:sz w:val="20"/>
          <w:szCs w:val="20"/>
          <w:color w:val="auto"/>
        </w:rPr>
      </w:pPr>
    </w:p>
    <w:p>
      <w:pPr>
        <w:ind w:left="64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Andy Harshaw</w:t>
      </w:r>
      <w:r>
        <w:rPr>
          <w:rFonts w:ascii="Arial" w:cs="Arial" w:eastAsia="Arial" w:hAnsi="Arial"/>
          <w:sz w:val="19"/>
          <w:szCs w:val="19"/>
          <w:color w:val="auto"/>
        </w:rPr>
        <w:t>”</w:t>
      </w:r>
    </w:p>
    <w:p>
      <w:pPr>
        <w:spacing w:after="0" w:line="199" w:lineRule="exact"/>
        <w:rPr>
          <w:sz w:val="20"/>
          <w:szCs w:val="20"/>
          <w:color w:val="auto"/>
        </w:rPr>
      </w:pPr>
    </w:p>
    <w:p>
      <w:pPr>
        <w:ind w:left="6420"/>
        <w:spacing w:after="0"/>
        <w:rPr>
          <w:sz w:val="20"/>
          <w:szCs w:val="20"/>
          <w:color w:val="auto"/>
        </w:rPr>
      </w:pPr>
      <w:r>
        <w:rPr>
          <w:rFonts w:ascii="Arial" w:cs="Arial" w:eastAsia="Arial" w:hAnsi="Arial"/>
          <w:sz w:val="19"/>
          <w:szCs w:val="19"/>
          <w:b w:val="1"/>
          <w:bCs w:val="1"/>
          <w:color w:val="auto"/>
        </w:rPr>
        <w:t>Chair of the Board of Directors</w:t>
      </w:r>
    </w:p>
    <w:p>
      <w:pPr>
        <w:spacing w:after="0" w:line="11" w:lineRule="exact"/>
        <w:rPr>
          <w:sz w:val="20"/>
          <w:szCs w:val="20"/>
          <w:color w:val="auto"/>
        </w:rPr>
      </w:pPr>
    </w:p>
    <w:p>
      <w:pPr>
        <w:ind w:left="6420"/>
        <w:spacing w:after="0"/>
        <w:rPr>
          <w:sz w:val="20"/>
          <w:szCs w:val="20"/>
          <w:color w:val="auto"/>
        </w:rPr>
      </w:pPr>
      <w:r>
        <w:rPr>
          <w:rFonts w:ascii="Arial" w:cs="Arial" w:eastAsia="Arial" w:hAnsi="Arial"/>
          <w:sz w:val="19"/>
          <w:szCs w:val="19"/>
          <w:b w:val="1"/>
          <w:bCs w:val="1"/>
          <w:color w:val="auto"/>
        </w:rPr>
        <w:t>Algoma Steel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753745</wp:posOffset>
            </wp:positionV>
            <wp:extent cx="6778625" cy="45250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8625" cy="4525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680"/>
          </w:cols>
          <w:pgMar w:left="600" w:top="262" w:right="6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443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675" cy="3443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31"/>
          <w:szCs w:val="31"/>
          <w:b w:val="1"/>
          <w:bCs w:val="1"/>
          <w:color w:val="003445"/>
        </w:rPr>
        <w:t>Letter to Shareholders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Dear Shareholder:</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We are pleased to invite you to the annual meeting (the “</w:t>
      </w:r>
      <w:r>
        <w:rPr>
          <w:rFonts w:ascii="Arial" w:cs="Arial" w:eastAsia="Arial" w:hAnsi="Arial"/>
          <w:sz w:val="19"/>
          <w:szCs w:val="19"/>
          <w:b w:val="1"/>
          <w:bCs w:val="1"/>
          <w:color w:val="auto"/>
        </w:rPr>
        <w:t>Meeting</w:t>
      </w:r>
      <w:r>
        <w:rPr>
          <w:rFonts w:ascii="Arial" w:cs="Arial" w:eastAsia="Arial" w:hAnsi="Arial"/>
          <w:sz w:val="19"/>
          <w:szCs w:val="19"/>
          <w:color w:val="auto"/>
        </w:rPr>
        <w:t>”) of the holders of common shares (collectively, “</w:t>
      </w:r>
      <w:r>
        <w:rPr>
          <w:rFonts w:ascii="Arial" w:cs="Arial" w:eastAsia="Arial" w:hAnsi="Arial"/>
          <w:sz w:val="19"/>
          <w:szCs w:val="19"/>
          <w:b w:val="1"/>
          <w:bCs w:val="1"/>
          <w:color w:val="auto"/>
        </w:rPr>
        <w:t>Shareholders</w:t>
      </w:r>
      <w:r>
        <w:rPr>
          <w:rFonts w:ascii="Arial" w:cs="Arial" w:eastAsia="Arial" w:hAnsi="Arial"/>
          <w:sz w:val="19"/>
          <w:szCs w:val="19"/>
          <w:color w:val="auto"/>
        </w:rPr>
        <w:t>”) of Algoma Steel Group Inc. (“</w:t>
      </w:r>
      <w:r>
        <w:rPr>
          <w:rFonts w:ascii="Arial" w:cs="Arial" w:eastAsia="Arial" w:hAnsi="Arial"/>
          <w:sz w:val="19"/>
          <w:szCs w:val="19"/>
          <w:b w:val="1"/>
          <w:bCs w:val="1"/>
          <w:color w:val="auto"/>
        </w:rPr>
        <w:t>Algoma</w:t>
      </w:r>
      <w:r>
        <w:rPr>
          <w:rFonts w:ascii="Arial" w:cs="Arial" w:eastAsia="Arial" w:hAnsi="Arial"/>
          <w:sz w:val="19"/>
          <w:szCs w:val="19"/>
          <w:color w:val="auto"/>
        </w:rPr>
        <w:t>” or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to be held in a virtual-only format via live audio webcast at </w:t>
      </w:r>
      <w:r>
        <w:rPr>
          <w:rFonts w:ascii="Arial" w:cs="Arial" w:eastAsia="Arial" w:hAnsi="Arial"/>
          <w:sz w:val="19"/>
          <w:szCs w:val="19"/>
          <w:u w:val="single" w:color="auto"/>
          <w:color w:val="0000FF"/>
        </w:rPr>
        <w:t>https://virtual-meetings.tsxtrust.com/en/1896/</w:t>
      </w:r>
      <w:r>
        <w:rPr>
          <w:rFonts w:ascii="Arial" w:cs="Arial" w:eastAsia="Arial" w:hAnsi="Arial"/>
          <w:sz w:val="19"/>
          <w:szCs w:val="19"/>
          <w:color w:val="auto"/>
        </w:rPr>
        <w:t xml:space="preserve"> on June 23, 2026 at 10:00 a.m. (Canada/Eastern Standard time).</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enclosed management information circular describes the business to be conducted at the Meeting and provides information on the Company’s executive compensation and corporate governance practices. At the Meeting, there will be an opportunity to ask questions. We look forward to providing you with an update on the Company’s recent achievements and our plans for the future.</w:t>
      </w:r>
    </w:p>
    <w:p>
      <w:pPr>
        <w:spacing w:after="0" w:line="124"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Similar to last year, the Company will hold the Meeting as a virtual -only shareholders meeting with the opportunity for attendees to participate electronically. Shareholders will have an equal opportunity to participate in real time and vote at the Meeting, regardless of geographic location or particular circumstances.</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Algoma continued to advance its strategic priorities during the twelve-month period ended December 31, 2025 (“</w:t>
      </w:r>
      <w:r>
        <w:rPr>
          <w:rFonts w:ascii="Arial" w:cs="Arial" w:eastAsia="Arial" w:hAnsi="Arial"/>
          <w:sz w:val="19"/>
          <w:szCs w:val="19"/>
          <w:b w:val="1"/>
          <w:bCs w:val="1"/>
          <w:color w:val="auto"/>
        </w:rPr>
        <w:t>Fiscal</w:t>
      </w:r>
      <w:r>
        <w:rPr>
          <w:rFonts w:ascii="Arial" w:cs="Arial" w:eastAsia="Arial" w:hAnsi="Arial"/>
          <w:sz w:val="19"/>
          <w:szCs w:val="19"/>
          <w:color w:val="auto"/>
        </w:rPr>
        <w:t xml:space="preserve"> </w:t>
      </w:r>
      <w:r>
        <w:rPr>
          <w:rFonts w:ascii="Arial" w:cs="Arial" w:eastAsia="Arial" w:hAnsi="Arial"/>
          <w:sz w:val="19"/>
          <w:szCs w:val="19"/>
          <w:b w:val="1"/>
          <w:bCs w:val="1"/>
          <w:color w:val="auto"/>
        </w:rPr>
        <w:t>2025</w:t>
      </w:r>
      <w:r>
        <w:rPr>
          <w:rFonts w:ascii="Arial" w:cs="Arial" w:eastAsia="Arial" w:hAnsi="Arial"/>
          <w:sz w:val="19"/>
          <w:szCs w:val="19"/>
          <w:color w:val="auto"/>
        </w:rPr>
        <w:t>”). The Company made significant progress in its transition to Electric Arc Furnace (“</w:t>
      </w:r>
      <w:r>
        <w:rPr>
          <w:rFonts w:ascii="Arial" w:cs="Arial" w:eastAsia="Arial" w:hAnsi="Arial"/>
          <w:sz w:val="19"/>
          <w:szCs w:val="19"/>
          <w:b w:val="1"/>
          <w:bCs w:val="1"/>
          <w:color w:val="auto"/>
        </w:rPr>
        <w:t>EAF</w:t>
      </w:r>
      <w:r>
        <w:rPr>
          <w:rFonts w:ascii="Arial" w:cs="Arial" w:eastAsia="Arial" w:hAnsi="Arial"/>
          <w:sz w:val="19"/>
          <w:szCs w:val="19"/>
          <w:color w:val="auto"/>
        </w:rPr>
        <w:t>”) steelmaking,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successful commissioning and start up of the first EAF unit. The transition represents a fundamental shift in Algoma’s operating model and positions the Company as a sustainable steel producer. For Fiscal 2025, Algoma continued to advance its efforts toward a lower-carbon future, aligning with Canada’s Paris Agreement commitments and helping our customers meet their own sustainability and climate related goals through the decarbonization of our operations.</w:t>
      </w:r>
    </w:p>
    <w:p>
      <w:pPr>
        <w:spacing w:after="0" w:line="13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Fiscal 2025 presented extraordinary challenges for the Canadian steel industry. US trade measures – unprecedented in scope – designed to eliminate Canadian steel imports into the United States, fundamentally decoupled previously integrated North American supply chains. Compounding this, as the United States moved to curtail global steel imports, displaced tons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0680"/>
          </w:cols>
          <w:pgMar w:left="600" w:top="1440" w:right="619" w:bottom="1440" w:gutter="0" w:footer="0" w:header="0"/>
        </w:sectPr>
      </w:pPr>
    </w:p>
    <w:bookmarkStart w:id="10" w:name="page11"/>
    <w:bookmarkEnd w:id="10"/>
    <w:p>
      <w:pPr>
        <w:jc w:val="both"/>
        <w:spacing w:after="0" w:line="24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sought alternative markets, with a significant volume finding their way into Canada and further depressing domestic Canadian pricing. The resulting pricing volatility and broad market disruption made clear that the traditional integrated steelmaking model was not viable for Algoma.</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this environment, a measured response was not sufficient. Algoma’s board and management took decisive action – accelerating the Company’s strategic transformation and repositioning Algoma for long-term competitiveness. Against this backdrop, the Company remained focused on the disciplined execution of the EAF transformation while maintaining safe and reliable operations throughout the year.</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That decisiveness culminated in a defining milestone subsequent to year-end, when in January 2026 Algoma commenced the decommissioning of its legacy integrated ironmaking assets and transitioned to producing steel exclusively through EAF. This transition is expected to significantly reduce the Company’s greenhouse gas (“</w:t>
      </w:r>
      <w:r>
        <w:rPr>
          <w:rFonts w:ascii="Arial" w:cs="Arial" w:eastAsia="Arial" w:hAnsi="Arial"/>
          <w:sz w:val="19"/>
          <w:szCs w:val="19"/>
          <w:b w:val="1"/>
          <w:bCs w:val="1"/>
          <w:color w:val="auto"/>
        </w:rPr>
        <w:t>GHG</w:t>
      </w:r>
      <w:r>
        <w:rPr>
          <w:rFonts w:ascii="Arial" w:cs="Arial" w:eastAsia="Arial" w:hAnsi="Arial"/>
          <w:sz w:val="19"/>
          <w:szCs w:val="19"/>
          <w:color w:val="auto"/>
        </w:rPr>
        <w:t>”) emissions and establish Algoma as a producer of lower-carbon steel well-positioned to serve North American markets going forward.</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Algoma continues to advance its sustainability strategy, aligning with Canada’s climate commitments and supporting customers in achieving their own emissions reduction objectives. The Company remains committed to responsible operations, including a strong focus on health and safety, environmental performance, and community engagement. Algoma intends to publish its 2025 Sustainability Report in June 2026, providing further detail on its environmental, social, and governance (“</w:t>
      </w:r>
      <w:r>
        <w:rPr>
          <w:rFonts w:ascii="Arial" w:cs="Arial" w:eastAsia="Arial" w:hAnsi="Arial"/>
          <w:sz w:val="19"/>
          <w:szCs w:val="19"/>
          <w:b w:val="1"/>
          <w:bCs w:val="1"/>
          <w:color w:val="auto"/>
        </w:rPr>
        <w:t>ESG</w:t>
      </w:r>
      <w:r>
        <w:rPr>
          <w:rFonts w:ascii="Arial" w:cs="Arial" w:eastAsia="Arial" w:hAnsi="Arial"/>
          <w:sz w:val="19"/>
          <w:szCs w:val="19"/>
          <w:color w:val="auto"/>
        </w:rPr>
        <w:t>”) performance and progress.</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 strong and competitive domestic steel industry is critical to Canada’s economic growth, infrastructure development, and national security. As Canada’s only publicly listed independent primary steel producer and the country’s sole producer of discrete and heat-treated steel plate, Algoma plays a key role in supporting these priorities.</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Looking ahead, Algoma will continue to focus on operational performance, cost competitiveness, and disciplined capital allocation, while advancing opportunities associated with lower-carbon steel production. The Company remains committed to creating long-term value for its shareholders, employees, customers, and the communities in which it operates.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Thank you for your continued support.</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Andy Harshaw</w:t>
      </w:r>
      <w:r>
        <w:rPr>
          <w:rFonts w:ascii="Arial" w:cs="Arial" w:eastAsia="Arial" w:hAnsi="Arial"/>
          <w:sz w:val="19"/>
          <w:szCs w:val="19"/>
          <w:color w:val="auto"/>
        </w:rPr>
        <w:t>, Chair of the Board,</w:t>
      </w:r>
    </w:p>
    <w:p>
      <w:pPr>
        <w:spacing w:after="0"/>
        <w:rPr>
          <w:sz w:val="20"/>
          <w:szCs w:val="20"/>
          <w:color w:val="auto"/>
        </w:rPr>
      </w:pPr>
      <w:r>
        <w:rPr>
          <w:rFonts w:ascii="Arial" w:cs="Arial" w:eastAsia="Arial" w:hAnsi="Arial"/>
          <w:sz w:val="19"/>
          <w:szCs w:val="19"/>
          <w:color w:val="auto"/>
        </w:rPr>
        <w:t>and</w:t>
      </w:r>
    </w:p>
    <w:p>
      <w:pPr>
        <w:spacing w:after="0"/>
        <w:rPr>
          <w:sz w:val="20"/>
          <w:szCs w:val="20"/>
          <w:color w:val="auto"/>
        </w:rPr>
      </w:pPr>
      <w:r>
        <w:rPr>
          <w:rFonts w:ascii="Arial" w:cs="Arial" w:eastAsia="Arial" w:hAnsi="Arial"/>
          <w:sz w:val="19"/>
          <w:szCs w:val="19"/>
          <w:i w:val="1"/>
          <w:iCs w:val="1"/>
          <w:color w:val="auto"/>
        </w:rPr>
        <w:t xml:space="preserve">Rajat Marwah, </w:t>
      </w:r>
      <w:r>
        <w:rPr>
          <w:rFonts w:ascii="Arial" w:cs="Arial" w:eastAsia="Arial" w:hAnsi="Arial"/>
          <w:sz w:val="19"/>
          <w:szCs w:val="19"/>
          <w:color w:val="auto"/>
        </w:rPr>
        <w:t>Chief Executive Officer and Director</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ii</w:t>
      </w:r>
    </w:p>
    <w:p>
      <w:pPr>
        <w:sectPr>
          <w:pgSz w:w="11900" w:h="16838" w:orient="portrait"/>
          <w:cols w:equalWidth="0" w:num="1">
            <w:col w:w="10680"/>
          </w:cols>
          <w:pgMar w:left="600" w:top="262" w:right="619" w:bottom="1440" w:gutter="0" w:footer="0" w:header="0"/>
        </w:sectPr>
      </w:pPr>
    </w:p>
    <w:bookmarkStart w:id="11" w:name="page12"/>
    <w:bookmarkEnd w:id="11"/>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Management Information Circular</w:t>
      </w:r>
    </w:p>
    <w:p>
      <w:pPr>
        <w:spacing w:after="0" w:line="187"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Unless otherwise noted or the context otherwise indicates, the “Company”, “Algoma”, “us”, “we” or “our” refer to Algoma Steel Group Inc., together with its direct and indirect subsidiaries and predecessors or other entities controlled by it or them on a combined basis. Unless otherwise indicated herein, all references to dollars, “$” or “C$” are to Canadian dollars and all references to “US$” are to U.S. dollars. The board of directors of the Company is referred to herein as the “</w:t>
      </w:r>
      <w:r>
        <w:rPr>
          <w:rFonts w:ascii="Arial" w:cs="Arial" w:eastAsia="Arial" w:hAnsi="Arial"/>
          <w:sz w:val="19"/>
          <w:szCs w:val="19"/>
          <w:b w:val="1"/>
          <w:bCs w:val="1"/>
          <w:color w:val="auto"/>
        </w:rPr>
        <w:t>Board</w:t>
      </w:r>
      <w:r>
        <w:rPr>
          <w:rFonts w:ascii="Arial" w:cs="Arial" w:eastAsia="Arial" w:hAnsi="Arial"/>
          <w:sz w:val="19"/>
          <w:szCs w:val="19"/>
          <w:color w:val="auto"/>
        </w:rPr>
        <w:t>” or the “</w:t>
      </w:r>
      <w:r>
        <w:rPr>
          <w:rFonts w:ascii="Arial" w:cs="Arial" w:eastAsia="Arial" w:hAnsi="Arial"/>
          <w:sz w:val="19"/>
          <w:szCs w:val="19"/>
          <w:b w:val="1"/>
          <w:bCs w:val="1"/>
          <w:color w:val="auto"/>
        </w:rPr>
        <w:t>Directors</w:t>
      </w:r>
      <w:r>
        <w:rPr>
          <w:rFonts w:ascii="Arial" w:cs="Arial" w:eastAsia="Arial" w:hAnsi="Arial"/>
          <w:sz w:val="19"/>
          <w:szCs w:val="19"/>
          <w:color w:val="auto"/>
        </w:rPr>
        <w:t>”, and a “</w:t>
      </w:r>
      <w:r>
        <w:rPr>
          <w:rFonts w:ascii="Arial" w:cs="Arial" w:eastAsia="Arial" w:hAnsi="Arial"/>
          <w:sz w:val="19"/>
          <w:szCs w:val="19"/>
          <w:b w:val="1"/>
          <w:bCs w:val="1"/>
          <w:color w:val="auto"/>
        </w:rPr>
        <w:t>Director</w:t>
      </w:r>
      <w:r>
        <w:rPr>
          <w:rFonts w:ascii="Arial" w:cs="Arial" w:eastAsia="Arial" w:hAnsi="Arial"/>
          <w:sz w:val="19"/>
          <w:szCs w:val="19"/>
          <w:color w:val="auto"/>
        </w:rPr>
        <w:t>” means any one of them.</w:t>
      </w:r>
    </w:p>
    <w:p>
      <w:pPr>
        <w:spacing w:after="0" w:line="12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b w:val="1"/>
          <w:bCs w:val="1"/>
          <w:color w:val="auto"/>
        </w:rPr>
        <w:t>This management information circular (the “Information Circular”) is furnished in connection with the solicitation of proxies by or on behalf of management of the Company</w:t>
      </w:r>
      <w:r>
        <w:rPr>
          <w:rFonts w:ascii="Arial" w:cs="Arial" w:eastAsia="Arial" w:hAnsi="Arial"/>
          <w:sz w:val="19"/>
          <w:szCs w:val="19"/>
          <w:color w:val="auto"/>
        </w:rPr>
        <w:t>, for use at the annual meeting (the “</w:t>
      </w:r>
      <w:r>
        <w:rPr>
          <w:rFonts w:ascii="Arial" w:cs="Arial" w:eastAsia="Arial" w:hAnsi="Arial"/>
          <w:sz w:val="19"/>
          <w:szCs w:val="19"/>
          <w:b w:val="1"/>
          <w:bCs w:val="1"/>
          <w:color w:val="auto"/>
        </w:rPr>
        <w:t>Meeting</w:t>
      </w:r>
      <w:r>
        <w:rPr>
          <w:rFonts w:ascii="Arial" w:cs="Arial" w:eastAsia="Arial" w:hAnsi="Arial"/>
          <w:sz w:val="19"/>
          <w:szCs w:val="19"/>
          <w:color w:val="auto"/>
        </w:rPr>
        <w:t>”) of holders</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Shareholders</w:t>
      </w:r>
      <w:r>
        <w:rPr>
          <w:rFonts w:ascii="Arial" w:cs="Arial" w:eastAsia="Arial" w:hAnsi="Arial"/>
          <w:sz w:val="19"/>
          <w:szCs w:val="19"/>
          <w:color w:val="auto"/>
        </w:rPr>
        <w:t>”) of common shares (the “</w:t>
      </w:r>
      <w:r>
        <w:rPr>
          <w:rFonts w:ascii="Arial" w:cs="Arial" w:eastAsia="Arial" w:hAnsi="Arial"/>
          <w:sz w:val="19"/>
          <w:szCs w:val="19"/>
          <w:b w:val="1"/>
          <w:bCs w:val="1"/>
          <w:color w:val="auto"/>
        </w:rPr>
        <w:t>Shares</w:t>
      </w:r>
      <w:r>
        <w:rPr>
          <w:rFonts w:ascii="Arial" w:cs="Arial" w:eastAsia="Arial" w:hAnsi="Arial"/>
          <w:sz w:val="19"/>
          <w:szCs w:val="19"/>
          <w:color w:val="auto"/>
        </w:rPr>
        <w:t xml:space="preserve">”) of the Company scheduled to be held in a virtual-only format via live audio webcast at </w:t>
      </w:r>
      <w:r>
        <w:rPr>
          <w:rFonts w:ascii="Arial" w:cs="Arial" w:eastAsia="Arial" w:hAnsi="Arial"/>
          <w:sz w:val="19"/>
          <w:szCs w:val="19"/>
          <w:u w:val="single" w:color="auto"/>
          <w:color w:val="0000FF"/>
        </w:rPr>
        <w:t>https://virtual-meetings.tsxtrust.com/en/1896/</w:t>
      </w:r>
      <w:r>
        <w:rPr>
          <w:rFonts w:ascii="Arial" w:cs="Arial" w:eastAsia="Arial" w:hAnsi="Arial"/>
          <w:sz w:val="19"/>
          <w:szCs w:val="19"/>
          <w:color w:val="auto"/>
        </w:rPr>
        <w:t xml:space="preserve"> on June 23, 2026 at 10:00 a.m. (Canada/Eastern Standard time), and at all postponements or adjournments thereof, for the purposes set forth in the accompanying notice of the Meeting (the “</w:t>
      </w:r>
      <w:r>
        <w:rPr>
          <w:rFonts w:ascii="Arial" w:cs="Arial" w:eastAsia="Arial" w:hAnsi="Arial"/>
          <w:sz w:val="19"/>
          <w:szCs w:val="19"/>
          <w:b w:val="1"/>
          <w:bCs w:val="1"/>
          <w:color w:val="auto"/>
        </w:rPr>
        <w:t>Notice of Meeting</w:t>
      </w:r>
      <w:r>
        <w:rPr>
          <w:rFonts w:ascii="Arial" w:cs="Arial" w:eastAsia="Arial" w:hAnsi="Arial"/>
          <w:sz w:val="19"/>
          <w:szCs w:val="19"/>
          <w:color w:val="auto"/>
        </w:rPr>
        <w:t>”). Shareholders of record at the close of business on May 4, 2026 (the “</w:t>
      </w:r>
      <w:r>
        <w:rPr>
          <w:rFonts w:ascii="Arial" w:cs="Arial" w:eastAsia="Arial" w:hAnsi="Arial"/>
          <w:sz w:val="19"/>
          <w:szCs w:val="19"/>
          <w:b w:val="1"/>
          <w:bCs w:val="1"/>
          <w:color w:val="auto"/>
        </w:rPr>
        <w:t>Record Date</w:t>
      </w:r>
      <w:r>
        <w:rPr>
          <w:rFonts w:ascii="Arial" w:cs="Arial" w:eastAsia="Arial" w:hAnsi="Arial"/>
          <w:sz w:val="19"/>
          <w:szCs w:val="19"/>
          <w:color w:val="auto"/>
        </w:rPr>
        <w:t>”) will be entitled to vote at the Meeting.</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 will hold the Meeting as a virtual-only shareholders meeting with the opportunity for attendees to participate electronically. By conducting the Meeting online, the Board is aiming to enable as many shareholders as possible to participate in the meeting. Shareholders will have an equal opportunity to participate at the Meeting online regardless of their geographic location. We look forward to providing you with an update on the Company’s recent achievements and our plans for the future. A summary of the information Shareholders will need to attend the Meeting online is provided below under “</w:t>
      </w:r>
      <w:r>
        <w:rPr>
          <w:rFonts w:ascii="Arial" w:cs="Arial" w:eastAsia="Arial" w:hAnsi="Arial"/>
          <w:sz w:val="19"/>
          <w:szCs w:val="19"/>
          <w:i w:val="1"/>
          <w:iCs w:val="1"/>
          <w:color w:val="auto"/>
        </w:rPr>
        <w:t>Attending and Voting at the Meeting</w:t>
      </w:r>
      <w:r>
        <w:rPr>
          <w:rFonts w:ascii="Arial" w:cs="Arial" w:eastAsia="Arial" w:hAnsi="Arial"/>
          <w:sz w:val="19"/>
          <w:szCs w:val="19"/>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Except as otherwise stated in this Information Circular, the information contained herein is given as of April 30, 2026.</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On November 5, 2024, the Company’s board of directors approved a change in the Company’s fiscal year-end from March 31 to December 31, effective as of December 31, 2024. Unless otherwise indicated herein, all references to “</w:t>
      </w:r>
      <w:r>
        <w:rPr>
          <w:rFonts w:ascii="Arial" w:cs="Arial" w:eastAsia="Arial" w:hAnsi="Arial"/>
          <w:sz w:val="19"/>
          <w:szCs w:val="19"/>
          <w:b w:val="1"/>
          <w:bCs w:val="1"/>
          <w:color w:val="auto"/>
        </w:rPr>
        <w:t>Fiscal 2023</w:t>
      </w:r>
      <w:r>
        <w:rPr>
          <w:rFonts w:ascii="Arial" w:cs="Arial" w:eastAsia="Arial" w:hAnsi="Arial"/>
          <w:sz w:val="19"/>
          <w:szCs w:val="19"/>
          <w:color w:val="auto"/>
        </w:rPr>
        <w:t>” are to the twelve-month period ended March 31, 2023, “</w:t>
      </w:r>
      <w:r>
        <w:rPr>
          <w:rFonts w:ascii="Arial" w:cs="Arial" w:eastAsia="Arial" w:hAnsi="Arial"/>
          <w:sz w:val="19"/>
          <w:szCs w:val="19"/>
          <w:b w:val="1"/>
          <w:bCs w:val="1"/>
          <w:color w:val="auto"/>
        </w:rPr>
        <w:t>Fiscal 2024</w:t>
      </w:r>
      <w:r>
        <w:rPr>
          <w:rFonts w:ascii="Arial" w:cs="Arial" w:eastAsia="Arial" w:hAnsi="Arial"/>
          <w:sz w:val="19"/>
          <w:szCs w:val="19"/>
          <w:color w:val="auto"/>
        </w:rPr>
        <w:t>” are to the twelve-month period ended December 31, 2024, “</w:t>
      </w:r>
      <w:r>
        <w:rPr>
          <w:rFonts w:ascii="Arial" w:cs="Arial" w:eastAsia="Arial" w:hAnsi="Arial"/>
          <w:sz w:val="19"/>
          <w:szCs w:val="19"/>
          <w:b w:val="1"/>
          <w:bCs w:val="1"/>
          <w:color w:val="auto"/>
        </w:rPr>
        <w:t>Fiscal 2025</w:t>
      </w:r>
      <w:r>
        <w:rPr>
          <w:rFonts w:ascii="Arial" w:cs="Arial" w:eastAsia="Arial" w:hAnsi="Arial"/>
          <w:sz w:val="19"/>
          <w:szCs w:val="19"/>
          <w:color w:val="auto"/>
        </w:rPr>
        <w:t>” are to the twelve-month period ending December 31, 2025, and “</w:t>
      </w:r>
      <w:r>
        <w:rPr>
          <w:rFonts w:ascii="Arial" w:cs="Arial" w:eastAsia="Arial" w:hAnsi="Arial"/>
          <w:sz w:val="19"/>
          <w:szCs w:val="19"/>
          <w:b w:val="1"/>
          <w:bCs w:val="1"/>
          <w:color w:val="auto"/>
        </w:rPr>
        <w:t>Fiscal 2026</w:t>
      </w:r>
      <w:r>
        <w:rPr>
          <w:rFonts w:ascii="Arial" w:cs="Arial" w:eastAsia="Arial" w:hAnsi="Arial"/>
          <w:sz w:val="19"/>
          <w:szCs w:val="19"/>
          <w:color w:val="auto"/>
        </w:rPr>
        <w:t>” are to the twelve-month period ending December 31, 2026.</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620"/>
        <w:spacing w:after="0"/>
        <w:rPr>
          <w:sz w:val="20"/>
          <w:szCs w:val="20"/>
          <w:color w:val="auto"/>
        </w:rPr>
      </w:pPr>
      <w:r>
        <w:rPr>
          <w:rFonts w:ascii="Arial" w:cs="Arial" w:eastAsia="Arial" w:hAnsi="Arial"/>
          <w:sz w:val="10"/>
          <w:szCs w:val="10"/>
          <w:color w:val="auto"/>
        </w:rPr>
        <w:t>3</w:t>
      </w:r>
    </w:p>
    <w:p>
      <w:pPr>
        <w:sectPr>
          <w:pgSz w:w="11900" w:h="16838" w:orient="portrait"/>
          <w:cols w:equalWidth="0" w:num="1">
            <w:col w:w="10680"/>
          </w:cols>
          <w:pgMar w:left="600" w:top="255" w:right="619" w:bottom="1440" w:gutter="0" w:footer="0" w:header="0"/>
        </w:sectPr>
      </w:pPr>
    </w:p>
    <w:bookmarkStart w:id="12" w:name="page13"/>
    <w:bookmarkEnd w:id="12"/>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Attending and Voting at the Meeting</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General</w:t>
      </w:r>
    </w:p>
    <w:p>
      <w:pPr>
        <w:spacing w:after="0" w:line="223"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The solicitation of proxies will be primarily by mail but proxies may also be solicited personally or by email, internet, facsimile or other means of communication by regular employees, officers and directors of the Company at nominal cost. The cost of such solicitation by management will be borne by the Company. The Company has also engaged MacKenzie Partners, Inc. as proxy solicitation agent at a customary fee to assist with the solicitation of proxies. For questions on voting your shares, please contact MacKenzie Partners, Inc., by email at </w:t>
      </w:r>
      <w:r>
        <w:rPr>
          <w:rFonts w:ascii="Arial" w:cs="Arial" w:eastAsia="Arial" w:hAnsi="Arial"/>
          <w:sz w:val="19"/>
          <w:szCs w:val="19"/>
          <w:u w:val="single" w:color="auto"/>
          <w:color w:val="0000FF"/>
        </w:rPr>
        <w:t>proxy@mackenziepartners.com</w:t>
      </w:r>
      <w:r>
        <w:rPr>
          <w:rFonts w:ascii="Arial" w:cs="Arial" w:eastAsia="Arial" w:hAnsi="Arial"/>
          <w:sz w:val="19"/>
          <w:szCs w:val="19"/>
          <w:color w:val="auto"/>
        </w:rPr>
        <w:t xml:space="preserve"> or by telephone at (800) 322-2885 (toll free).</w:t>
      </w:r>
    </w:p>
    <w:p>
      <w:pPr>
        <w:spacing w:after="0" w:line="33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Only registered Shareholders or their duly appointed proxy nominees are permitted to vote at the Meeting. You are a non-registered or beneficial Shareholder if your Shares are registered in the name of an intermediary, such as an investment dealer, bank, trust company, trustee, custodian, or other nominee, or a clearing agency in which the intermediary participates (a “</w:t>
      </w:r>
      <w:r>
        <w:rPr>
          <w:rFonts w:ascii="Arial" w:cs="Arial" w:eastAsia="Arial" w:hAnsi="Arial"/>
          <w:sz w:val="19"/>
          <w:szCs w:val="19"/>
          <w:b w:val="1"/>
          <w:bCs w:val="1"/>
          <w:color w:val="auto"/>
        </w:rPr>
        <w:t>Beneficial Holder</w:t>
      </w:r>
      <w:r>
        <w:rPr>
          <w:rFonts w:ascii="Arial" w:cs="Arial" w:eastAsia="Arial" w:hAnsi="Arial"/>
          <w:sz w:val="19"/>
          <w:szCs w:val="19"/>
          <w:color w:val="auto"/>
        </w:rPr>
        <w:t>”).</w:t>
      </w:r>
    </w:p>
    <w:p>
      <w:pPr>
        <w:spacing w:after="0" w:line="12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These materials are being sent to both registered Shareholders and Beneficial Holders. If you are a Beneficial Holder, and the Company or its agent has sent these materials directly to you, your name and address and information about your holdings of securities have been obtained in accordance with applicable securities regulatory requirements from the intermediary holding the securities on your behalf.</w:t>
      </w:r>
    </w:p>
    <w:p>
      <w:pPr>
        <w:spacing w:after="0" w:line="124"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Beneficial Holders who have not objected to their intermediary disclosing certain information about them to the Company are referred to as “NOBOs”, whereas Beneficial Holders who have objected to their intermediary disclosing ownership information about them to the Company are referred to as “OBOs”. In accordance with National Instrument 54-101 – </w:t>
      </w:r>
      <w:r>
        <w:rPr>
          <w:rFonts w:ascii="Arial" w:cs="Arial" w:eastAsia="Arial" w:hAnsi="Arial"/>
          <w:sz w:val="19"/>
          <w:szCs w:val="19"/>
          <w:i w:val="1"/>
          <w:iCs w:val="1"/>
          <w:color w:val="auto"/>
        </w:rPr>
        <w:t>Communication with</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Beneficial Owners of Securities of a Reporting Issuer </w:t>
      </w:r>
      <w:r>
        <w:rPr>
          <w:rFonts w:ascii="Arial" w:cs="Arial" w:eastAsia="Arial" w:hAnsi="Arial"/>
          <w:sz w:val="19"/>
          <w:szCs w:val="19"/>
          <w:color w:val="auto"/>
        </w:rPr>
        <w:t>(“</w:t>
      </w:r>
      <w:r>
        <w:rPr>
          <w:rFonts w:ascii="Arial" w:cs="Arial" w:eastAsia="Arial" w:hAnsi="Arial"/>
          <w:sz w:val="19"/>
          <w:szCs w:val="19"/>
          <w:b w:val="1"/>
          <w:bCs w:val="1"/>
          <w:color w:val="auto"/>
        </w:rPr>
        <w:t>NI 54-101</w:t>
      </w:r>
      <w:r>
        <w:rPr>
          <w:rFonts w:ascii="Arial" w:cs="Arial" w:eastAsia="Arial" w:hAnsi="Arial"/>
          <w:sz w:val="19"/>
          <w:szCs w:val="19"/>
          <w:color w:val="auto"/>
        </w:rPr>
        <w:t>”), the Company has elected to send the Notice of Meeting,</w:t>
      </w:r>
      <w:r>
        <w:rPr>
          <w:rFonts w:ascii="Arial" w:cs="Arial" w:eastAsia="Arial" w:hAnsi="Arial"/>
          <w:sz w:val="19"/>
          <w:szCs w:val="19"/>
          <w:i w:val="1"/>
          <w:iCs w:val="1"/>
          <w:color w:val="auto"/>
        </w:rPr>
        <w:t xml:space="preserve"> </w:t>
      </w:r>
      <w:r>
        <w:rPr>
          <w:rFonts w:ascii="Arial" w:cs="Arial" w:eastAsia="Arial" w:hAnsi="Arial"/>
          <w:sz w:val="19"/>
          <w:szCs w:val="19"/>
          <w:color w:val="auto"/>
        </w:rPr>
        <w:t>this Information Circular, the Company’s audited consolidated financial statements and the auditors’ report thereon and management’s discussion and analysis for Fiscal 2025 and the related form of proxy or voting instruction form (collectively, the “</w:t>
      </w:r>
      <w:r>
        <w:rPr>
          <w:rFonts w:ascii="Arial" w:cs="Arial" w:eastAsia="Arial" w:hAnsi="Arial"/>
          <w:sz w:val="19"/>
          <w:szCs w:val="19"/>
          <w:b w:val="1"/>
          <w:bCs w:val="1"/>
          <w:color w:val="auto"/>
        </w:rPr>
        <w:t>Meeting Materials</w:t>
      </w:r>
      <w:r>
        <w:rPr>
          <w:rFonts w:ascii="Arial" w:cs="Arial" w:eastAsia="Arial" w:hAnsi="Arial"/>
          <w:sz w:val="19"/>
          <w:szCs w:val="19"/>
          <w:color w:val="auto"/>
        </w:rPr>
        <w:t>”) directly to the NOBOs, and indirectly to the OBOs through their intermediaries. By choosing to send the Meeting Materials directly to NOBOs, the Company (and not the intermediary holding Shares on behalf of the NOBOs), has assumed responsibility for (i) delivering the Meeting Materials to the NOBOs, and (ii) executing their proper voting instructions.</w:t>
      </w:r>
    </w:p>
    <w:p>
      <w:pPr>
        <w:spacing w:after="0" w:line="29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Copies of the Company’s current annual information form (“</w:t>
      </w:r>
      <w:r>
        <w:rPr>
          <w:rFonts w:ascii="Arial" w:cs="Arial" w:eastAsia="Arial" w:hAnsi="Arial"/>
          <w:sz w:val="19"/>
          <w:szCs w:val="19"/>
          <w:b w:val="1"/>
          <w:bCs w:val="1"/>
          <w:color w:val="auto"/>
        </w:rPr>
        <w:t>Annual Information Form</w:t>
      </w:r>
      <w:r>
        <w:rPr>
          <w:rFonts w:ascii="Arial" w:cs="Arial" w:eastAsia="Arial" w:hAnsi="Arial"/>
          <w:sz w:val="19"/>
          <w:szCs w:val="19"/>
          <w:color w:val="auto"/>
        </w:rPr>
        <w:t>”) as well as the financial statements of the Company for Fiscal 2025, together with the auditors’ report thereon and the related management’s discussion and analysis (“</w:t>
      </w:r>
      <w:r>
        <w:rPr>
          <w:rFonts w:ascii="Arial" w:cs="Arial" w:eastAsia="Arial" w:hAnsi="Arial"/>
          <w:sz w:val="19"/>
          <w:szCs w:val="19"/>
          <w:b w:val="1"/>
          <w:bCs w:val="1"/>
          <w:color w:val="auto"/>
        </w:rPr>
        <w:t>MD&amp;A</w:t>
      </w:r>
      <w:r>
        <w:rPr>
          <w:rFonts w:ascii="Arial" w:cs="Arial" w:eastAsia="Arial" w:hAnsi="Arial"/>
          <w:sz w:val="19"/>
          <w:szCs w:val="19"/>
          <w:color w:val="auto"/>
        </w:rPr>
        <w:t>”), are available on the Company’s website at https://algoma.com/ and on the Company’s profile on the System for Electronic Data Analysis and Retrieval (“</w:t>
      </w:r>
      <w:r>
        <w:rPr>
          <w:rFonts w:ascii="Arial" w:cs="Arial" w:eastAsia="Arial" w:hAnsi="Arial"/>
          <w:sz w:val="19"/>
          <w:szCs w:val="19"/>
          <w:b w:val="1"/>
          <w:bCs w:val="1"/>
          <w:color w:val="auto"/>
        </w:rPr>
        <w:t>SEDAR</w:t>
      </w:r>
      <w:r>
        <w:rPr>
          <w:rFonts w:ascii="Arial" w:cs="Arial" w:eastAsia="Arial" w:hAnsi="Arial"/>
          <w:sz w:val="19"/>
          <w:szCs w:val="19"/>
          <w:color w:val="auto"/>
        </w:rPr>
        <w:t xml:space="preserve">+”) website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on the United States Securities and Exchange Commission’s (“</w:t>
      </w:r>
      <w:r>
        <w:rPr>
          <w:rFonts w:ascii="Arial" w:cs="Arial" w:eastAsia="Arial" w:hAnsi="Arial"/>
          <w:sz w:val="19"/>
          <w:szCs w:val="19"/>
          <w:b w:val="1"/>
          <w:bCs w:val="1"/>
          <w:color w:val="auto"/>
        </w:rPr>
        <w:t>SEC</w:t>
      </w:r>
      <w:r>
        <w:rPr>
          <w:rFonts w:ascii="Arial" w:cs="Arial" w:eastAsia="Arial" w:hAnsi="Arial"/>
          <w:sz w:val="19"/>
          <w:szCs w:val="19"/>
          <w:color w:val="auto"/>
        </w:rPr>
        <w:t>”) Electronic Data Gathering, Analysis, and Retrieval system (“</w:t>
      </w:r>
      <w:r>
        <w:rPr>
          <w:rFonts w:ascii="Arial" w:cs="Arial" w:eastAsia="Arial" w:hAnsi="Arial"/>
          <w:sz w:val="19"/>
          <w:szCs w:val="19"/>
          <w:b w:val="1"/>
          <w:bCs w:val="1"/>
          <w:color w:val="auto"/>
        </w:rPr>
        <w:t>EDGAR</w:t>
      </w:r>
      <w:r>
        <w:rPr>
          <w:rFonts w:ascii="Arial" w:cs="Arial" w:eastAsia="Arial" w:hAnsi="Arial"/>
          <w:sz w:val="19"/>
          <w:szCs w:val="19"/>
          <w:color w:val="auto"/>
        </w:rPr>
        <w:t xml:space="preserve">”), as part of the Company’s annual report on Form 40-F, at </w:t>
      </w:r>
      <w:r>
        <w:rPr>
          <w:rFonts w:ascii="Arial" w:cs="Arial" w:eastAsia="Arial" w:hAnsi="Arial"/>
          <w:sz w:val="19"/>
          <w:szCs w:val="19"/>
          <w:u w:val="single" w:color="auto"/>
          <w:color w:val="0000FF"/>
        </w:rPr>
        <w:t>www.sec.gov</w:t>
      </w:r>
      <w:r>
        <w:rPr>
          <w:rFonts w:ascii="Arial" w:cs="Arial" w:eastAsia="Arial" w:hAnsi="Arial"/>
          <w:sz w:val="19"/>
          <w:szCs w:val="19"/>
          <w:color w:val="auto"/>
        </w:rPr>
        <w:t>.</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 will be relying on the notice-and-access delivery procedures outlined in NI 54-101 to distribute copies of proxy-related materials in connection with the Meeting. Under notice-and-access, the Company is permitted, as an alternative to sending paper copies of the Meeting</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620"/>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0680"/>
          </w:cols>
          <w:pgMar w:left="600" w:top="255" w:right="619" w:bottom="1440" w:gutter="0" w:footer="0" w:header="0"/>
        </w:sectPr>
      </w:pPr>
    </w:p>
    <w:bookmarkStart w:id="13" w:name="page14"/>
    <w:bookmarkEnd w:id="13"/>
    <w:p>
      <w:pPr>
        <w:jc w:val="both"/>
        <w:spacing w:after="0" w:line="23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Materials to Shareholders, to provide to Shareholders as of the Record Date a notice containing, among other things, information regarding how to access the Meeting Materials online as well as how to obtain paper copies of the Meeting Materials free of charge. The Meeting Materials are available electronically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also on the website of TSX Trust Company (“</w:t>
      </w:r>
      <w:r>
        <w:rPr>
          <w:rFonts w:ascii="Arial" w:cs="Arial" w:eastAsia="Arial" w:hAnsi="Arial"/>
          <w:sz w:val="19"/>
          <w:szCs w:val="19"/>
          <w:b w:val="1"/>
          <w:bCs w:val="1"/>
          <w:color w:val="auto"/>
        </w:rPr>
        <w:t>TSX Trust</w:t>
      </w:r>
      <w:r>
        <w:rPr>
          <w:rFonts w:ascii="Arial" w:cs="Arial" w:eastAsia="Arial" w:hAnsi="Arial"/>
          <w:sz w:val="19"/>
          <w:szCs w:val="19"/>
          <w:color w:val="auto"/>
        </w:rPr>
        <w:t xml:space="preserve">”) at </w:t>
      </w:r>
      <w:r>
        <w:rPr>
          <w:rFonts w:ascii="Arial" w:cs="Arial" w:eastAsia="Arial" w:hAnsi="Arial"/>
          <w:sz w:val="19"/>
          <w:szCs w:val="19"/>
          <w:u w:val="single" w:color="auto"/>
          <w:color w:val="0000FF"/>
        </w:rPr>
        <w:t>https://docs.tsxtrust.com/2329</w:t>
      </w:r>
      <w:r>
        <w:rPr>
          <w:rFonts w:ascii="Arial" w:cs="Arial" w:eastAsia="Arial" w:hAnsi="Arial"/>
          <w:sz w:val="19"/>
          <w:szCs w:val="19"/>
          <w:color w:val="auto"/>
        </w:rPr>
        <w:t xml:space="preserve">. Shareholders who wish to receive a paper copy of the Meeting materials or have questions about notice-and-access, should call 1-866-600-5869 or email </w:t>
      </w:r>
      <w:r>
        <w:rPr>
          <w:rFonts w:ascii="Arial" w:cs="Arial" w:eastAsia="Arial" w:hAnsi="Arial"/>
          <w:sz w:val="19"/>
          <w:szCs w:val="19"/>
          <w:u w:val="single" w:color="auto"/>
          <w:color w:val="0000FF"/>
        </w:rPr>
        <w:t>tsxtis@tmx.com</w:t>
      </w:r>
      <w:r>
        <w:rPr>
          <w:rFonts w:ascii="Arial" w:cs="Arial" w:eastAsia="Arial" w:hAnsi="Arial"/>
          <w:sz w:val="19"/>
          <w:szCs w:val="19"/>
          <w:color w:val="auto"/>
        </w:rPr>
        <w:t>. In order to receive a paper copy in time to vote before the Meeting, your request should be received by no later than June 12, 2026.</w:t>
      </w:r>
    </w:p>
    <w:p>
      <w:pPr>
        <w:spacing w:after="0" w:line="12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We anticipate that notice-and-access will directly benefit the Company through substantial reductions in postage and printing costs. We believe that notice-and-access is an environmentally responsible method of communicating with our Shareholders by reducing the large volume of paper documents generated by printing proxy-related materials. A form of proxy (if you are a registered Shareholder) or a voting instruction form (if you are a non-registered Shareholder) is included with this notice along with instructions on how to vote.</w:t>
      </w:r>
    </w:p>
    <w:p>
      <w:pPr>
        <w:spacing w:after="0" w:line="142"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Instructions for Logging-In and Voting at the Virtual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 Meeting will be hosted virtually via live audio webcast at </w:t>
      </w:r>
      <w:r>
        <w:rPr>
          <w:rFonts w:ascii="Arial" w:cs="Arial" w:eastAsia="Arial" w:hAnsi="Arial"/>
          <w:sz w:val="19"/>
          <w:szCs w:val="19"/>
          <w:u w:val="single" w:color="auto"/>
          <w:color w:val="0000FF"/>
        </w:rPr>
        <w:t>https://virtual-meetings.tsxtrust.com/en/1896/</w:t>
      </w:r>
      <w:r>
        <w:rPr>
          <w:rFonts w:ascii="Arial" w:cs="Arial" w:eastAsia="Arial" w:hAnsi="Arial"/>
          <w:sz w:val="19"/>
          <w:szCs w:val="19"/>
          <w:color w:val="auto"/>
        </w:rPr>
        <w:t xml:space="preserve"> (Password:</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algoma2026 (case sensitive)).</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Registered Shareholders entitled to vote at the Meeting may attend and vote at the Meeting virtually by following the steps listed below:</w:t>
      </w:r>
    </w:p>
    <w:p>
      <w:pPr>
        <w:spacing w:after="0" w:line="141" w:lineRule="exact"/>
        <w:rPr>
          <w:sz w:val="20"/>
          <w:szCs w:val="20"/>
          <w:color w:val="auto"/>
        </w:rPr>
      </w:pPr>
    </w:p>
    <w:p>
      <w:pPr>
        <w:jc w:val="both"/>
        <w:ind w:left="1280" w:hanging="534"/>
        <w:spacing w:after="0" w:line="236" w:lineRule="auto"/>
        <w:tabs>
          <w:tab w:leader="none" w:pos="1280"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Type in </w:t>
      </w:r>
      <w:r>
        <w:rPr>
          <w:rFonts w:ascii="Arial" w:cs="Arial" w:eastAsia="Arial" w:hAnsi="Arial"/>
          <w:sz w:val="19"/>
          <w:szCs w:val="19"/>
          <w:u w:val="single" w:color="auto"/>
          <w:color w:val="0000FF"/>
        </w:rPr>
        <w:t>https://virtual-meetings.tsxtrust.com/en/1896/</w:t>
      </w:r>
      <w:r>
        <w:rPr>
          <w:rFonts w:ascii="Arial" w:cs="Arial" w:eastAsia="Arial" w:hAnsi="Arial"/>
          <w:sz w:val="19"/>
          <w:szCs w:val="19"/>
          <w:color w:val="auto"/>
        </w:rPr>
        <w:t xml:space="preserve"> on your browser (please do not do a Google search, and please use the latest version of either Chrome, Safari, Edge, or Firefox) at least 15 minutes before the Meeting starts.</w:t>
      </w:r>
    </w:p>
    <w:p>
      <w:pPr>
        <w:spacing w:after="0" w:line="2" w:lineRule="exact"/>
        <w:rPr>
          <w:rFonts w:ascii="Arial" w:cs="Arial" w:eastAsia="Arial" w:hAnsi="Arial"/>
          <w:sz w:val="19"/>
          <w:szCs w:val="19"/>
          <w:color w:val="auto"/>
        </w:rPr>
      </w:pPr>
    </w:p>
    <w:p>
      <w:pPr>
        <w:ind w:left="1280" w:hanging="534"/>
        <w:spacing w:after="0" w:line="230" w:lineRule="auto"/>
        <w:tabs>
          <w:tab w:leader="none" w:pos="1280" w:val="left"/>
        </w:tabs>
        <w:numPr>
          <w:ilvl w:val="0"/>
          <w:numId w:val="2"/>
        </w:numPr>
        <w:rPr>
          <w:rFonts w:ascii="Arial" w:cs="Arial" w:eastAsia="Arial" w:hAnsi="Arial"/>
          <w:sz w:val="19"/>
          <w:szCs w:val="19"/>
          <w:color w:val="auto"/>
        </w:rPr>
      </w:pPr>
      <w:r>
        <w:rPr>
          <w:rFonts w:ascii="Arial" w:cs="Arial" w:eastAsia="Arial" w:hAnsi="Arial"/>
          <w:sz w:val="19"/>
          <w:szCs w:val="19"/>
          <w:color w:val="auto"/>
        </w:rPr>
        <w:t>Click on “</w:t>
      </w:r>
      <w:r>
        <w:rPr>
          <w:rFonts w:ascii="Arial" w:cs="Arial" w:eastAsia="Arial" w:hAnsi="Arial"/>
          <w:sz w:val="19"/>
          <w:szCs w:val="19"/>
          <w:b w:val="1"/>
          <w:bCs w:val="1"/>
          <w:color w:val="auto"/>
        </w:rPr>
        <w:t>I have a control number/meeting access number</w:t>
      </w:r>
      <w:r>
        <w:rPr>
          <w:rFonts w:ascii="Arial" w:cs="Arial" w:eastAsia="Arial" w:hAnsi="Arial"/>
          <w:sz w:val="19"/>
          <w:szCs w:val="19"/>
          <w:color w:val="auto"/>
        </w:rPr>
        <w:t>”.</w:t>
      </w:r>
    </w:p>
    <w:p>
      <w:pPr>
        <w:ind w:left="1280" w:hanging="534"/>
        <w:spacing w:after="0" w:line="230" w:lineRule="auto"/>
        <w:tabs>
          <w:tab w:leader="none" w:pos="1280" w:val="left"/>
        </w:tabs>
        <w:numPr>
          <w:ilvl w:val="0"/>
          <w:numId w:val="2"/>
        </w:numPr>
        <w:rPr>
          <w:rFonts w:ascii="Arial" w:cs="Arial" w:eastAsia="Arial" w:hAnsi="Arial"/>
          <w:sz w:val="19"/>
          <w:szCs w:val="19"/>
          <w:color w:val="auto"/>
        </w:rPr>
      </w:pPr>
      <w:r>
        <w:rPr>
          <w:rFonts w:ascii="Arial" w:cs="Arial" w:eastAsia="Arial" w:hAnsi="Arial"/>
          <w:sz w:val="19"/>
          <w:szCs w:val="19"/>
          <w:color w:val="auto"/>
        </w:rPr>
        <w:t>As your user name, enter your 12-digit control number (on your proxy form).</w:t>
      </w:r>
    </w:p>
    <w:p>
      <w:pPr>
        <w:ind w:left="1280" w:hanging="534"/>
        <w:spacing w:after="0" w:line="230" w:lineRule="auto"/>
        <w:tabs>
          <w:tab w:leader="none" w:pos="1280" w:val="left"/>
        </w:tabs>
        <w:numPr>
          <w:ilvl w:val="0"/>
          <w:numId w:val="2"/>
        </w:numPr>
        <w:rPr>
          <w:rFonts w:ascii="Arial" w:cs="Arial" w:eastAsia="Arial" w:hAnsi="Arial"/>
          <w:sz w:val="19"/>
          <w:szCs w:val="19"/>
          <w:color w:val="auto"/>
        </w:rPr>
      </w:pPr>
      <w:r>
        <w:rPr>
          <w:rFonts w:ascii="Arial" w:cs="Arial" w:eastAsia="Arial" w:hAnsi="Arial"/>
          <w:sz w:val="19"/>
          <w:szCs w:val="19"/>
          <w:color w:val="auto"/>
        </w:rPr>
        <w:t>Enter the password: algoma2026 (case sensitive).</w:t>
      </w:r>
    </w:p>
    <w:p>
      <w:pPr>
        <w:jc w:val="both"/>
        <w:ind w:left="1280" w:hanging="534"/>
        <w:spacing w:after="0" w:line="239" w:lineRule="auto"/>
        <w:tabs>
          <w:tab w:leader="none" w:pos="1280" w:val="left"/>
        </w:tabs>
        <w:numPr>
          <w:ilvl w:val="0"/>
          <w:numId w:val="2"/>
        </w:numPr>
        <w:rPr>
          <w:rFonts w:ascii="Arial" w:cs="Arial" w:eastAsia="Arial" w:hAnsi="Arial"/>
          <w:sz w:val="19"/>
          <w:szCs w:val="19"/>
          <w:color w:val="auto"/>
        </w:rPr>
      </w:pPr>
      <w:r>
        <w:rPr>
          <w:rFonts w:ascii="Arial" w:cs="Arial" w:eastAsia="Arial" w:hAnsi="Arial"/>
          <w:sz w:val="19"/>
          <w:szCs w:val="19"/>
          <w:color w:val="auto"/>
        </w:rPr>
        <w:t>When the polls are declared open, click on the “Voting” icon. To vote, simply select your voting direction from the options shown on screen and click Submit. A confirmation message will appear to show your vote has been received.</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Beneficial Shareholders who wish to vote at the meeting may vote virtually by following the steps listed below:</w:t>
      </w:r>
    </w:p>
    <w:p>
      <w:pPr>
        <w:spacing w:after="0" w:line="201" w:lineRule="exact"/>
        <w:rPr>
          <w:sz w:val="20"/>
          <w:szCs w:val="20"/>
          <w:color w:val="auto"/>
        </w:rPr>
      </w:pPr>
    </w:p>
    <w:p>
      <w:pPr>
        <w:ind w:left="1280" w:hanging="534"/>
        <w:spacing w:after="0"/>
        <w:tabs>
          <w:tab w:leader="none" w:pos="1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Appoint yourself as proxyholder by writing your name in the space provided on the form of proxy or voting instruction form.</w:t>
      </w:r>
    </w:p>
    <w:p>
      <w:pPr>
        <w:ind w:left="1280" w:hanging="534"/>
        <w:spacing w:after="0" w:line="230" w:lineRule="auto"/>
        <w:tabs>
          <w:tab w:leader="none" w:pos="1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Sign and send it to your intermediary, following the voting deadline and submission instructions on the voting instruction form.</w:t>
      </w:r>
    </w:p>
    <w:p>
      <w:pPr>
        <w:ind w:left="1280" w:hanging="534"/>
        <w:spacing w:after="0" w:line="230" w:lineRule="auto"/>
        <w:tabs>
          <w:tab w:leader="none" w:pos="1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Obtain a control number by contacting TSX Trust by emailing </w:t>
      </w:r>
      <w:r>
        <w:rPr>
          <w:rFonts w:ascii="Arial" w:cs="Arial" w:eastAsia="Arial" w:hAnsi="Arial"/>
          <w:sz w:val="19"/>
          <w:szCs w:val="19"/>
          <w:u w:val="single" w:color="auto"/>
          <w:color w:val="0000FF"/>
        </w:rPr>
        <w:t>tsxtrustproxyvoting@tmx.com</w:t>
      </w:r>
      <w:r>
        <w:rPr>
          <w:rFonts w:ascii="Arial" w:cs="Arial" w:eastAsia="Arial" w:hAnsi="Arial"/>
          <w:sz w:val="19"/>
          <w:szCs w:val="19"/>
          <w:color w:val="auto"/>
        </w:rPr>
        <w:t xml:space="preserve"> the “Request for Control Number” form, which can be found here: </w:t>
      </w:r>
      <w:r>
        <w:rPr>
          <w:rFonts w:ascii="Arial" w:cs="Arial" w:eastAsia="Arial" w:hAnsi="Arial"/>
          <w:sz w:val="19"/>
          <w:szCs w:val="19"/>
          <w:u w:val="single" w:color="auto"/>
          <w:color w:val="0000FF"/>
        </w:rPr>
        <w:t>https://tsxtrust.com/resource/en/75</w:t>
      </w:r>
      <w:r>
        <w:rPr>
          <w:rFonts w:ascii="Arial" w:cs="Arial" w:eastAsia="Arial" w:hAnsi="Arial"/>
          <w:sz w:val="19"/>
          <w:szCs w:val="19"/>
          <w:color w:val="auto"/>
        </w:rPr>
        <w:t>.</w:t>
      </w:r>
    </w:p>
    <w:p>
      <w:pPr>
        <w:jc w:val="both"/>
        <w:ind w:left="1280" w:hanging="534"/>
        <w:spacing w:after="0" w:line="230" w:lineRule="auto"/>
        <w:tabs>
          <w:tab w:leader="none" w:pos="1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Type in </w:t>
      </w:r>
      <w:r>
        <w:rPr>
          <w:rFonts w:ascii="Arial" w:cs="Arial" w:eastAsia="Arial" w:hAnsi="Arial"/>
          <w:sz w:val="19"/>
          <w:szCs w:val="19"/>
          <w:u w:val="single" w:color="auto"/>
          <w:color w:val="0000FF"/>
        </w:rPr>
        <w:t>https://virtual-meetings.tsxtrust.com/en/1896/</w:t>
      </w:r>
      <w:r>
        <w:rPr>
          <w:rFonts w:ascii="Arial" w:cs="Arial" w:eastAsia="Arial" w:hAnsi="Arial"/>
          <w:sz w:val="19"/>
          <w:szCs w:val="19"/>
          <w:color w:val="auto"/>
        </w:rPr>
        <w:t xml:space="preserve"> on your browser (please do not do a Google search, and please use the latest version of either Chrome, Safari, Edge, or Firefox) at least 15 minutes before the Meeting starts.</w:t>
      </w:r>
    </w:p>
    <w:p>
      <w:pPr>
        <w:ind w:left="1280" w:hanging="534"/>
        <w:spacing w:after="0" w:line="230" w:lineRule="auto"/>
        <w:tabs>
          <w:tab w:leader="none" w:pos="1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Click on “</w:t>
      </w:r>
      <w:r>
        <w:rPr>
          <w:rFonts w:ascii="Arial" w:cs="Arial" w:eastAsia="Arial" w:hAnsi="Arial"/>
          <w:sz w:val="19"/>
          <w:szCs w:val="19"/>
          <w:b w:val="1"/>
          <w:bCs w:val="1"/>
          <w:color w:val="auto"/>
        </w:rPr>
        <w:t>I have a control number/meeting access number</w:t>
      </w:r>
      <w:r>
        <w:rPr>
          <w:rFonts w:ascii="Arial" w:cs="Arial" w:eastAsia="Arial" w:hAnsi="Arial"/>
          <w:sz w:val="19"/>
          <w:szCs w:val="19"/>
          <w:color w:val="auto"/>
        </w:rPr>
        <w:t>”.</w:t>
      </w:r>
    </w:p>
    <w:p>
      <w:pPr>
        <w:ind w:left="1280" w:hanging="534"/>
        <w:spacing w:after="0" w:line="230" w:lineRule="auto"/>
        <w:tabs>
          <w:tab w:leader="none" w:pos="1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As username, enter the control number provided by </w:t>
      </w:r>
      <w:r>
        <w:rPr>
          <w:rFonts w:ascii="Arial" w:cs="Arial" w:eastAsia="Arial" w:hAnsi="Arial"/>
          <w:sz w:val="19"/>
          <w:szCs w:val="19"/>
          <w:u w:val="single" w:color="auto"/>
          <w:color w:val="0000FF"/>
        </w:rPr>
        <w:t>tsxtrustproxyvoting@tmx.com</w:t>
      </w:r>
      <w:r>
        <w:rPr>
          <w:rFonts w:ascii="Arial" w:cs="Arial" w:eastAsia="Arial" w:hAnsi="Arial"/>
          <w:sz w:val="19"/>
          <w:szCs w:val="19"/>
          <w:color w:val="auto"/>
        </w:rPr>
        <w:t>.</w:t>
      </w:r>
    </w:p>
    <w:p>
      <w:pPr>
        <w:ind w:left="1280" w:hanging="534"/>
        <w:spacing w:after="0"/>
        <w:tabs>
          <w:tab w:leader="none" w:pos="1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Enter the password: algoma2026 (case sensitive).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680"/>
          </w:cols>
          <w:pgMar w:left="600" w:top="262" w:right="619" w:bottom="1440" w:gutter="0" w:footer="0" w:header="0"/>
        </w:sectPr>
      </w:pPr>
    </w:p>
    <w:bookmarkStart w:id="14" w:name="page15"/>
    <w:bookmarkEnd w:id="14"/>
    <w:p>
      <w:pPr>
        <w:jc w:val="both"/>
        <w:ind w:left="1280" w:hanging="534"/>
        <w:spacing w:after="0" w:line="249" w:lineRule="auto"/>
        <w:tabs>
          <w:tab w:leader="none" w:pos="1280" w:val="left"/>
        </w:tabs>
        <w:numPr>
          <w:ilvl w:val="0"/>
          <w:numId w:val="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When the polls are declared open, click on the “Voting” icon. To vote, simply select your voting direction from the options shown on screen and click Submit. A confirmation message will appear to show your vote has been received.</w:t>
      </w:r>
    </w:p>
    <w:p>
      <w:pPr>
        <w:spacing w:after="0" w:line="11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If you are a registered Shareholder and you want to appoint someone else (other than the Management nominees) to vote online at the Meeting, you must first submit your proxy indicating who you are appointing. You or your appointee must then register with TSX Trust in advance of the Meeting by emailing </w:t>
      </w:r>
      <w:r>
        <w:rPr>
          <w:rFonts w:ascii="Arial" w:cs="Arial" w:eastAsia="Arial" w:hAnsi="Arial"/>
          <w:sz w:val="19"/>
          <w:szCs w:val="19"/>
          <w:u w:val="single" w:color="auto"/>
          <w:color w:val="0000FF"/>
        </w:rPr>
        <w:t>tsxtrustproxyvoting@tmx.com</w:t>
      </w:r>
      <w:r>
        <w:rPr>
          <w:rFonts w:ascii="Arial" w:cs="Arial" w:eastAsia="Arial" w:hAnsi="Arial"/>
          <w:sz w:val="19"/>
          <w:szCs w:val="19"/>
          <w:color w:val="auto"/>
        </w:rPr>
        <w:t xml:space="preserve"> the “Request for Control Number” form, which can be found here: </w:t>
      </w:r>
      <w:r>
        <w:rPr>
          <w:rFonts w:ascii="Arial" w:cs="Arial" w:eastAsia="Arial" w:hAnsi="Arial"/>
          <w:sz w:val="19"/>
          <w:szCs w:val="19"/>
          <w:u w:val="single" w:color="auto"/>
          <w:color w:val="0000FF"/>
        </w:rPr>
        <w:t>https://tsxtrust.com/resource/en/75</w:t>
      </w:r>
      <w:r>
        <w:rPr>
          <w:rFonts w:ascii="Arial" w:cs="Arial" w:eastAsia="Arial" w:hAnsi="Arial"/>
          <w:sz w:val="19"/>
          <w:szCs w:val="19"/>
          <w:color w:val="auto"/>
        </w:rPr>
        <w:t>.</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If you are a Beneficial Holder and want to vote online at the Meeting, you must appoint yourself as proxyholder and register with TSX Trust in advance of the Meeting by emailing </w:t>
      </w:r>
      <w:r>
        <w:rPr>
          <w:rFonts w:ascii="Arial" w:cs="Arial" w:eastAsia="Arial" w:hAnsi="Arial"/>
          <w:sz w:val="19"/>
          <w:szCs w:val="19"/>
          <w:u w:val="single" w:color="auto"/>
          <w:color w:val="0000FF"/>
        </w:rPr>
        <w:t>tsxtrustproxyvoting@tmx.com</w:t>
      </w:r>
      <w:r>
        <w:rPr>
          <w:rFonts w:ascii="Arial" w:cs="Arial" w:eastAsia="Arial" w:hAnsi="Arial"/>
          <w:sz w:val="19"/>
          <w:szCs w:val="19"/>
          <w:color w:val="auto"/>
        </w:rPr>
        <w:t xml:space="preserve"> the “Request for Control Number” form, which can be found here: </w:t>
      </w:r>
      <w:r>
        <w:rPr>
          <w:rFonts w:ascii="Arial" w:cs="Arial" w:eastAsia="Arial" w:hAnsi="Arial"/>
          <w:sz w:val="19"/>
          <w:szCs w:val="19"/>
          <w:u w:val="single" w:color="auto"/>
          <w:color w:val="0000FF"/>
        </w:rPr>
        <w:t>https://tsxtrust.com/resource/en/75</w:t>
      </w:r>
      <w:r>
        <w:rPr>
          <w:rFonts w:ascii="Arial" w:cs="Arial" w:eastAsia="Arial" w:hAnsi="Arial"/>
          <w:sz w:val="19"/>
          <w:szCs w:val="19"/>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color w:val="auto"/>
        </w:rPr>
        <w:t>If you have not been given a control number, you may login as a Guest and will have the opportunity to listen to the meeting.</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Guests can also listen to the Meeting by following the steps below:</w:t>
      </w:r>
    </w:p>
    <w:p>
      <w:pPr>
        <w:spacing w:after="0" w:line="183" w:lineRule="exact"/>
        <w:rPr>
          <w:sz w:val="20"/>
          <w:szCs w:val="20"/>
          <w:color w:val="auto"/>
        </w:rPr>
      </w:pPr>
    </w:p>
    <w:p>
      <w:pPr>
        <w:jc w:val="both"/>
        <w:ind w:left="1280" w:hanging="534"/>
        <w:spacing w:after="0" w:line="236" w:lineRule="auto"/>
        <w:tabs>
          <w:tab w:leader="none" w:pos="1280"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Type in </w:t>
      </w:r>
      <w:r>
        <w:rPr>
          <w:rFonts w:ascii="Arial" w:cs="Arial" w:eastAsia="Arial" w:hAnsi="Arial"/>
          <w:sz w:val="19"/>
          <w:szCs w:val="19"/>
          <w:u w:val="single" w:color="auto"/>
          <w:color w:val="0000FF"/>
        </w:rPr>
        <w:t>https://virtual-meetings.tsxtrust.com/en/1896/</w:t>
      </w:r>
      <w:r>
        <w:rPr>
          <w:rFonts w:ascii="Arial" w:cs="Arial" w:eastAsia="Arial" w:hAnsi="Arial"/>
          <w:sz w:val="19"/>
          <w:szCs w:val="19"/>
          <w:color w:val="auto"/>
        </w:rPr>
        <w:t xml:space="preserve"> on your browser (please do not do a Google search, and please use the latest version of either Chrome, Safari, Edge, or Firefox) at least 15 minutes before the Meeting starts.</w:t>
      </w:r>
    </w:p>
    <w:p>
      <w:pPr>
        <w:spacing w:after="0" w:line="2" w:lineRule="exact"/>
        <w:rPr>
          <w:rFonts w:ascii="Arial" w:cs="Arial" w:eastAsia="Arial" w:hAnsi="Arial"/>
          <w:sz w:val="19"/>
          <w:szCs w:val="19"/>
          <w:color w:val="auto"/>
        </w:rPr>
      </w:pPr>
    </w:p>
    <w:p>
      <w:pPr>
        <w:ind w:left="1280" w:hanging="534"/>
        <w:spacing w:after="0"/>
        <w:tabs>
          <w:tab w:leader="none" w:pos="1280" w:val="left"/>
        </w:tabs>
        <w:numPr>
          <w:ilvl w:val="0"/>
          <w:numId w:val="5"/>
        </w:numPr>
        <w:rPr>
          <w:rFonts w:ascii="Arial" w:cs="Arial" w:eastAsia="Arial" w:hAnsi="Arial"/>
          <w:sz w:val="19"/>
          <w:szCs w:val="19"/>
          <w:color w:val="auto"/>
        </w:rPr>
      </w:pPr>
      <w:r>
        <w:rPr>
          <w:rFonts w:ascii="Arial" w:cs="Arial" w:eastAsia="Arial" w:hAnsi="Arial"/>
          <w:sz w:val="19"/>
          <w:szCs w:val="19"/>
          <w:color w:val="auto"/>
        </w:rPr>
        <w:t>Click on “</w:t>
      </w:r>
      <w:r>
        <w:rPr>
          <w:rFonts w:ascii="Arial" w:cs="Arial" w:eastAsia="Arial" w:hAnsi="Arial"/>
          <w:sz w:val="19"/>
          <w:szCs w:val="19"/>
          <w:b w:val="1"/>
          <w:bCs w:val="1"/>
          <w:color w:val="auto"/>
        </w:rPr>
        <w:t>I am a Guest</w:t>
      </w:r>
      <w:r>
        <w:rPr>
          <w:rFonts w:ascii="Arial" w:cs="Arial" w:eastAsia="Arial" w:hAnsi="Arial"/>
          <w:sz w:val="19"/>
          <w:szCs w:val="19"/>
          <w:color w:val="auto"/>
        </w:rPr>
        <w:t>”.</w:t>
      </w:r>
    </w:p>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If you have any questions, please don’t hesitate to contact our proxy solicitation agent, MacKenzie Partners, Inc. as indicated on the back page of this Information Circular.</w:t>
      </w:r>
    </w:p>
    <w:p>
      <w:pPr>
        <w:spacing w:after="0" w:line="114"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Registered Shareholders</w:t>
      </w:r>
    </w:p>
    <w:p>
      <w:pPr>
        <w:spacing w:after="0" w:line="183"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Each management proxy nominee named in the form of proxy accompanying this Information Circular is a director or an officer of the Company. A Shareholder desiring to appoint some other person (who need not be a Shareholder) to represent, attend and act on behalf of the Shareholder at the Meeting may do so either by inserting such person’s name in the blank space provided in that form of proxy or by completing another proper form of proxy. Registering your third-party proxyholder with TSX Trust is an additional step to be completed AFTER you have submitted your form of proxy or voting instruction form. Failure to register the proxyholder will result in the proxyholder not receiving a unique number (“</w:t>
      </w:r>
      <w:r>
        <w:rPr>
          <w:rFonts w:ascii="Arial" w:cs="Arial" w:eastAsia="Arial" w:hAnsi="Arial"/>
          <w:sz w:val="19"/>
          <w:szCs w:val="19"/>
          <w:b w:val="1"/>
          <w:bCs w:val="1"/>
          <w:color w:val="auto"/>
        </w:rPr>
        <w:t>Control Number</w:t>
      </w:r>
      <w:r>
        <w:rPr>
          <w:rFonts w:ascii="Arial" w:cs="Arial" w:eastAsia="Arial" w:hAnsi="Arial"/>
          <w:sz w:val="19"/>
          <w:szCs w:val="19"/>
          <w:color w:val="auto"/>
        </w:rPr>
        <w:t xml:space="preserve">”) that is required for them to vote at the Meeting and, consequently, only being able to attend the Meeting as a guest. To register a third-party proxyholder, Shareholders must email </w:t>
      </w:r>
      <w:r>
        <w:rPr>
          <w:rFonts w:ascii="Arial" w:cs="Arial" w:eastAsia="Arial" w:hAnsi="Arial"/>
          <w:sz w:val="19"/>
          <w:szCs w:val="19"/>
          <w:u w:val="single" w:color="auto"/>
          <w:color w:val="0000FF"/>
        </w:rPr>
        <w:t>tsxtrustproxyvoting@tmx.com</w:t>
      </w:r>
      <w:r>
        <w:rPr>
          <w:rFonts w:ascii="Arial" w:cs="Arial" w:eastAsia="Arial" w:hAnsi="Arial"/>
          <w:sz w:val="19"/>
          <w:szCs w:val="19"/>
          <w:color w:val="auto"/>
        </w:rPr>
        <w:t xml:space="preserve"> and complete the “Request for Control Number” form at </w:t>
      </w:r>
      <w:r>
        <w:rPr>
          <w:rFonts w:ascii="Arial" w:cs="Arial" w:eastAsia="Arial" w:hAnsi="Arial"/>
          <w:sz w:val="19"/>
          <w:szCs w:val="19"/>
          <w:u w:val="single" w:color="auto"/>
          <w:color w:val="0000FF"/>
        </w:rPr>
        <w:t>https://tsxtrust.com/resource/en/75</w:t>
      </w:r>
      <w:r>
        <w:rPr>
          <w:rFonts w:ascii="Arial" w:cs="Arial" w:eastAsia="Arial" w:hAnsi="Arial"/>
          <w:sz w:val="19"/>
          <w:szCs w:val="19"/>
          <w:color w:val="auto"/>
        </w:rPr>
        <w:t xml:space="preserve"> by 10:00 a.m. (Canada/Eastern Standard time) on June 19, 2026, or not later than 10:00 a.m. (Canada/Eastern Standard time) on the date that is two business days immediately prior to any adjournment or postponement of the Meeting, and provide TSX Trust with the required proxyholder contact information. TSX Trust will then provide the proxyholder with a Control Number by email after the proxy voting deadline has passed. This Control Number is required for the purpose of logging in to the Meeting.</w:t>
      </w:r>
    </w:p>
    <w:p>
      <w:pPr>
        <w:spacing w:after="0" w:line="13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proxy must be properly completed, signed, dated and (i) deposited with TSX Trust, the Company’s registrar and transfer agent, at the address indicated on the enclosed envelope so that it is received prior to 10:00 a.m. (Canada/Eastern Standard time) on June 19, 2026, or at least 48 hours, excluding Saturdays, Sundays and holidays, prior to any adjournment or</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680"/>
          </w:cols>
          <w:pgMar w:left="600" w:top="262" w:right="619" w:bottom="1440" w:gutter="0" w:footer="0" w:header="0"/>
        </w:sectPr>
      </w:pPr>
    </w:p>
    <w:bookmarkStart w:id="15" w:name="page16"/>
    <w:bookmarkEnd w:id="15"/>
    <w:p>
      <w:pPr>
        <w:jc w:val="both"/>
        <w:spacing w:after="0" w:line="252"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postponement of the Meeting at which the proxy is to be used, or (ii) deposited with the Chairman of the Meeting on the day of the Meeting prior to the commencement of the Meeting. The Chairman of the Meeting has the discretion to accept late proxies.</w:t>
      </w:r>
    </w:p>
    <w:p>
      <w:pPr>
        <w:spacing w:after="0" w:line="34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To the extent that registered Shareholders have not received their proxy or a Control Number, they should contact the Investor Services Team at </w:t>
      </w:r>
      <w:r>
        <w:rPr>
          <w:rFonts w:ascii="Arial" w:cs="Arial" w:eastAsia="Arial" w:hAnsi="Arial"/>
          <w:sz w:val="19"/>
          <w:szCs w:val="19"/>
          <w:u w:val="single" w:color="auto"/>
          <w:color w:val="0000FF"/>
        </w:rPr>
        <w:t>tsxtis@tmx.com</w:t>
      </w:r>
      <w:r>
        <w:rPr>
          <w:rFonts w:ascii="Arial" w:cs="Arial" w:eastAsia="Arial" w:hAnsi="Arial"/>
          <w:sz w:val="19"/>
          <w:szCs w:val="19"/>
          <w:color w:val="auto"/>
        </w:rPr>
        <w:t xml:space="preserve"> before 10:00 a.m. (Canada/Eastern Standard time) on June 19, 2026, (Toronto time) or on the date that is two business days immediately prior to any adjournment or postponement of the Meeting.</w:t>
      </w:r>
    </w:p>
    <w:p>
      <w:pPr>
        <w:spacing w:after="0" w:line="13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As an alternative to voting virtually at the Meeting or through delivering a form of proxy as described above, a registered Shareholder (i.e. a Shareholder whose name appears on the certificate(s) representing its Shares) may vote via the Internet or fax. To vote using the Internet, a registered Shareholder must go to the website specified on the enclosed form of proxy, enter the Control Number set out on the form of proxy and then follow the voting instructions on the screen.</w:t>
      </w:r>
    </w:p>
    <w:p>
      <w:pPr>
        <w:spacing w:after="0" w:line="12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If you vote by using the Internet, DO NOT complete or return the enclosed form of proxy. Submitting your vote by mail, fax, Internet or virtually at the Meeting are the only methods to vote Shares held in the name of a Company. Submitting your vote by mail, fax or using the Internet are the only methods by which a Shareholder may appoint a person as proxy nominee, other than the management proxy nominees named in the form of proxy accompanying this Information Circular, to represent, attend and act on behalf of the Shareholder at the Meeting.</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Each registered Shareholder submitting a proxy has the right to appoint a person or company other than the persons named in the accompanying form of proxy to represent the registered Shareholder at the Meeting. A registered Shareholder may exercise this right by inserting the name of the desired representative in the blank space provided, or by completing another form of proxy, and in either case depositing the proxy with TSX Trust at the place and within the time specified above for the deposit of proxies. The proxyholder does not need to be a shareholder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Non-Registered Shareholders</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If you are a NOBO, please complete and return the voting instruction form (as opposed to the form of proxy) accompanying this Information Circular as specified in the voting instruction form. The voting instruction form applicable to NOBOs allows for voting via the internet, mail or fax. Please refer to the voting instruction form for more details.</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If you are an OBO, the intermediary holding the Shares on your behalf is required to forward the Meeting Materials to you (unless you have waived your right to receive them) and to seek your instructions on how to vote your Shares in respect of each of the matters described in this Information Circular to be voted on at the Meeting. Each intermediary has its own procedures that should be carefully followed by Beneficial Holders who are OBOs to ensure that their Shares are voted by the intermediary on their behalf at the Meeting.</w:t>
      </w:r>
    </w:p>
    <w:p>
      <w:pPr>
        <w:spacing w:after="0" w:line="14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These procedures may allow for voting via the internet, by mail and/or by facsimile. The applicable instructions for each such method of voting will be set out in the form of proxy or voting instruction form provided by the intermediary. OBOs should contact their intermediary and carefully follow the voting instructions provided by such intermediary. Alternatively, OBOs who wish to vote their Shares virtually at the Meeting may do so by appointing themselves as the proxy nominee by writing their own name in the space provided on the form of proxy or voting instruction form</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680"/>
          </w:cols>
          <w:pgMar w:left="600" w:top="262" w:right="619" w:bottom="1440" w:gutter="0" w:footer="0" w:header="0"/>
        </w:sectPr>
      </w:pPr>
    </w:p>
    <w:bookmarkStart w:id="16" w:name="page17"/>
    <w:bookmarkEnd w:id="16"/>
    <w:p>
      <w:pPr>
        <w:jc w:val="both"/>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provided to them by the intermediary and following the intermediary’s instructions for return of the executed form of proxy or voting instruction form.</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Submitting Questions</w:t>
      </w:r>
    </w:p>
    <w:p>
      <w:pPr>
        <w:spacing w:after="0" w:line="22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Registered Shareholders and Beneficial Holders who have appointed themselves as proxyholder and obtained a control number are eligible to ask questions at any time. While logged in for the Meeting, the Shareholder will be able to submit questions online by clicking on the “Ask a Question” button. Following the conclusion of the formal business to be conducted at the Meeting, the Company will invite questions and comments from Registered Shareholders or proxy appointees participating through the TSX Trust meeting platform who may submit their questions or comments by clicking on the “Ask a Question” button within the TSX Trust meeting platform to type their message or question. Messages or questions can be submitted at anytime during the Q&amp;A session and until such time as the Chairman ends the session.</w:t>
      </w:r>
    </w:p>
    <w:p>
      <w:pPr>
        <w:spacing w:after="0" w:line="165"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Revocation of Proxies</w:t>
      </w:r>
    </w:p>
    <w:p>
      <w:pPr>
        <w:spacing w:after="0" w:line="22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 proxy given pursuant to this solicitation may be revoked by instrument in writing, including another proxy bearing a later date, executed by the Shareholder or by his or her attorney authorized in writing, and deposited either: (i) with TSX Trust no later than 10:00 a.m. (Canada/Eastern Standard time) on June 19, 2026 or the second business day preceding the day of any adjourned or postponed Meeting; (ii) at the registered office of the Company at any time up to and including the last business day before the day set for the holding of the Meeting or any adjourned or postponed Meeting; (iii) with the Chairman of the Meeting on the day of the Meeting prior to the commencement of the Meeting; or (iv) in any other manner permitted by law.</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Notice to United States Shareholders</w:t>
      </w:r>
    </w:p>
    <w:p>
      <w:pPr>
        <w:spacing w:after="0" w:line="22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Algoma is a corporation organized under the laws of the Province of British Columbia, Canada, and is a foreign private issuer within the meaning of Rule 3b-4 under the United States Securities Exchange Act of 1934, as amended (the “</w:t>
      </w:r>
      <w:r>
        <w:rPr>
          <w:rFonts w:ascii="Arial" w:cs="Arial" w:eastAsia="Arial" w:hAnsi="Arial"/>
          <w:sz w:val="19"/>
          <w:szCs w:val="19"/>
          <w:b w:val="1"/>
          <w:bCs w:val="1"/>
          <w:color w:val="auto"/>
        </w:rPr>
        <w:t>Exchange</w:t>
      </w:r>
      <w:r>
        <w:rPr>
          <w:rFonts w:ascii="Arial" w:cs="Arial" w:eastAsia="Arial" w:hAnsi="Arial"/>
          <w:sz w:val="19"/>
          <w:szCs w:val="19"/>
          <w:color w:val="auto"/>
        </w:rPr>
        <w:t xml:space="preserve"> </w:t>
      </w:r>
      <w:r>
        <w:rPr>
          <w:rFonts w:ascii="Arial" w:cs="Arial" w:eastAsia="Arial" w:hAnsi="Arial"/>
          <w:sz w:val="19"/>
          <w:szCs w:val="19"/>
          <w:b w:val="1"/>
          <w:bCs w:val="1"/>
          <w:color w:val="auto"/>
        </w:rPr>
        <w:t>Act</w:t>
      </w:r>
      <w:r>
        <w:rPr>
          <w:rFonts w:ascii="Arial" w:cs="Arial" w:eastAsia="Arial" w:hAnsi="Arial"/>
          <w:sz w:val="19"/>
          <w:szCs w:val="19"/>
          <w:color w:val="auto"/>
        </w:rPr>
        <w:t>”).</w:t>
      </w:r>
    </w:p>
    <w:p>
      <w:pPr>
        <w:spacing w:after="0" w:line="32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solicitation of proxies for the Meeting is not subject to the proxy requirements of Section 14(a) of the Exchange Act, and Regulation 14A thereunder, by virtue of an exemption available to proxy solicitations by foreign private issuers. Accordingly, the solicitation contemplated herein is being made to United States shareholders only in accordance with Canadian corporate and securities laws and this Circular has been prepared solely in accordance with disclosure requirements applicable in Canada.</w:t>
      </w:r>
    </w:p>
    <w:p>
      <w:pPr>
        <w:spacing w:after="0" w:line="14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United States shareholders should be aware that such requirements are different from those of the United States applicable to proxy statements under the Exchange Act. Specifically, information contained or incorporated by reference herein has been prepared in accordance with Canadian disclosure standards, which are not comparable in all respects to United States disclosure standards. The enforcement by shareholders of civil liabilities under the United States federal and state securities laws may be affected adversely by the fact that the Company is incorporated outside the United States, that some or all of its officers and directors and the experts named herein are residents of a country other than the United States, and that all or a substantial portion of the assets of the Company and such persons are located outside the United States.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680"/>
          </w:cols>
          <w:pgMar w:left="600" w:top="262" w:right="619" w:bottom="1440" w:gutter="0" w:footer="0" w:header="0"/>
        </w:sectPr>
      </w:pPr>
    </w:p>
    <w:bookmarkStart w:id="17" w:name="page18"/>
    <w:bookmarkEnd w:id="17"/>
    <w:p>
      <w:pPr>
        <w:jc w:val="both"/>
        <w:spacing w:after="0" w:line="24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As a result, it may be difficult or impossible for the United States shareholders to effect service of process within the United States upon the Company, its officers and directors or the experts named herein, or to realize against them upon judgments of courts of the United States predicated upon civil liabilities under the federal securities laws of the United States or any state securities laws.</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addition, United States shareholders should not assume that the courts of Canada: (a) would enforce judgments of United States courts obtained in actions against such persons predicated upon civil liabilities under the federal securities laws of the United States or any state securities laws, or (b) would enforce, in original actions, liabilities against such persons predicated upon civil liabilities under the federal securities laws of the United States or any state securities laws.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680"/>
          </w:cols>
          <w:pgMar w:left="600" w:top="262" w:right="619" w:bottom="1440" w:gutter="0" w:footer="0" w:header="0"/>
        </w:sectPr>
      </w:pPr>
    </w:p>
    <w:bookmarkStart w:id="18" w:name="page19"/>
    <w:bookmarkEnd w:id="18"/>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Voting and Exercise of Discretion by Proxies</w:t>
      </w: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Voting of Proxies</w:t>
      </w:r>
    </w:p>
    <w:p>
      <w:pPr>
        <w:spacing w:after="0" w:line="19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persons named in the form of proxy and voting instruction form will vote, or withhold from voting, the Shares in respect of which they are appointed on any ballot that may be called for in accordance with the instructions of the Shareholder as indicated on the form of proxy and voting instruction form. In the absence of such specification, such Shares will be voted at the Meeting as follows:</w:t>
      </w:r>
    </w:p>
    <w:p>
      <w:pPr>
        <w:spacing w:after="0" w:line="161" w:lineRule="exact"/>
        <w:rPr>
          <w:sz w:val="20"/>
          <w:szCs w:val="20"/>
          <w:color w:val="auto"/>
        </w:rPr>
      </w:pPr>
    </w:p>
    <w:p>
      <w:pPr>
        <w:ind w:left="1040" w:hanging="411"/>
        <w:spacing w:after="0" w:line="282" w:lineRule="auto"/>
        <w:tabs>
          <w:tab w:leader="none" w:pos="10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FOR the election of those persons listed in this Information Circular as the proposed Directors for the ensuing year;</w:t>
      </w:r>
    </w:p>
    <w:p>
      <w:pPr>
        <w:spacing w:after="0" w:line="115" w:lineRule="exact"/>
        <w:rPr>
          <w:rFonts w:ascii="Arial" w:cs="Arial" w:eastAsia="Arial" w:hAnsi="Arial"/>
          <w:sz w:val="19"/>
          <w:szCs w:val="19"/>
          <w:color w:val="auto"/>
        </w:rPr>
      </w:pPr>
    </w:p>
    <w:p>
      <w:pPr>
        <w:ind w:left="1040" w:hanging="411"/>
        <w:spacing w:after="0" w:line="282" w:lineRule="auto"/>
        <w:tabs>
          <w:tab w:leader="none" w:pos="10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FOR the appointment of Deloitte LLP, Chartered Accountants, as auditor of the Company for the ensuing year and to authorize the Board to fix the auditor’s remuneration; and</w:t>
      </w:r>
    </w:p>
    <w:p>
      <w:pPr>
        <w:spacing w:after="0" w:line="115" w:lineRule="exact"/>
        <w:rPr>
          <w:rFonts w:ascii="Arial" w:cs="Arial" w:eastAsia="Arial" w:hAnsi="Arial"/>
          <w:sz w:val="19"/>
          <w:szCs w:val="19"/>
          <w:color w:val="auto"/>
        </w:rPr>
      </w:pPr>
    </w:p>
    <w:p>
      <w:pPr>
        <w:ind w:left="1040" w:hanging="411"/>
        <w:spacing w:after="0"/>
        <w:tabs>
          <w:tab w:leader="none" w:pos="104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FOR the “Say on Pay” advisory resolution.</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For more information on these issues, please see the section entitled “</w:t>
      </w:r>
      <w:r>
        <w:rPr>
          <w:rFonts w:ascii="Arial" w:cs="Arial" w:eastAsia="Arial" w:hAnsi="Arial"/>
          <w:sz w:val="19"/>
          <w:szCs w:val="19"/>
          <w:i w:val="1"/>
          <w:iCs w:val="1"/>
          <w:color w:val="auto"/>
        </w:rPr>
        <w:t>Matters to be Considered at the Meeting</w:t>
      </w:r>
      <w:r>
        <w:rPr>
          <w:rFonts w:ascii="Arial" w:cs="Arial" w:eastAsia="Arial" w:hAnsi="Arial"/>
          <w:sz w:val="19"/>
          <w:szCs w:val="19"/>
          <w:color w:val="auto"/>
        </w:rPr>
        <w:t>” in this Information Circular.</w:t>
      </w:r>
    </w:p>
    <w:p>
      <w:pPr>
        <w:spacing w:after="0" w:line="101"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persons appointed under the form of proxy and voting instruction form are conferred with discretionary authority with respect to amendments to or variations of matters identified in the form of proxy and voting instruction form and the Notice of Meeting and with respect to other matters which may properly come before the Meeting. In the event that amendments or variations to matters identified in the Notice of Meeting are properly brought before the Meeting, it is the intention of the persons designated in the form of proxy and voting instruction form to vote in accordance with their best judgment on such matter or business. As at the date of this Information Circular, the Directors know of no such amendments, variations or other matters.</w:t>
      </w:r>
    </w:p>
    <w:p>
      <w:pPr>
        <w:spacing w:after="0" w:line="139"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Quorum</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 quorum for the transaction of business at the Meeting or any adjournment thereof shall be two persons present and entitled to vote at the Meeting that hold, or represent by proxy, not less than 25% of the votes attached to the outstanding Shares entitled to vote at the Meeting.</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680"/>
          </w:cols>
          <w:pgMar w:left="600" w:top="255" w:right="619" w:bottom="1440" w:gutter="0" w:footer="0" w:header="0"/>
        </w:sectPr>
      </w:pPr>
    </w:p>
    <w:bookmarkStart w:id="19" w:name="page20"/>
    <w:bookmarkEnd w:id="19"/>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Information for Beneficial Holders of Securities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Information set forth in this section is very important to persons who hold Shares otherwise than in their own names</w:t>
      </w:r>
      <w:r>
        <w:rPr>
          <w:rFonts w:ascii="Arial" w:cs="Arial" w:eastAsia="Arial" w:hAnsi="Arial"/>
          <w:sz w:val="19"/>
          <w:szCs w:val="19"/>
          <w:color w:val="auto"/>
        </w:rPr>
        <w:t>. A Beneficial Holder who beneficially owns Shares that are registered in the name of an intermediary (such as a</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broker, financial institution, trustee, custodian or other nominee who holds securities on behalf of the Beneficial Holder or in the name of a clearing agency in which the intermediary is a participant) should note that only proxies or instructions deposited by securityholders whose names are on the records of the Company as the registered Shareholders can be recognized and acted upon at the Meeting.</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9"/>
          <w:szCs w:val="19"/>
          <w:color w:val="auto"/>
        </w:rPr>
        <w:t>Shares that are listed in an account statement provided to a Beneficial Holder by a broker are likely not registered in the Beneficial Holder’s own name on the records of the Company and such Shares are more likely registered in the name of intermediaries. In Canada, the vast majority of such Shares are registered under the name of CDS &amp; Co. (the registration name for The Canadian Depository for Securities Limited, which acts as nominee for many Canadian brokerage firms) (“</w:t>
      </w:r>
      <w:r>
        <w:rPr>
          <w:rFonts w:ascii="Arial" w:cs="Arial" w:eastAsia="Arial" w:hAnsi="Arial"/>
          <w:sz w:val="19"/>
          <w:szCs w:val="19"/>
          <w:b w:val="1"/>
          <w:bCs w:val="1"/>
          <w:color w:val="auto"/>
        </w:rPr>
        <w:t>CDS</w:t>
      </w:r>
      <w:r>
        <w:rPr>
          <w:rFonts w:ascii="Arial" w:cs="Arial" w:eastAsia="Arial" w:hAnsi="Arial"/>
          <w:sz w:val="19"/>
          <w:szCs w:val="19"/>
          <w:color w:val="auto"/>
        </w:rPr>
        <w:t>”) and, in the United States, under the name of Cede &amp; Co. as nominee for The Depository Trust Company (which acts as depositary for many U.S. brokerage firms and custodian banks) (“</w:t>
      </w:r>
      <w:r>
        <w:rPr>
          <w:rFonts w:ascii="Arial" w:cs="Arial" w:eastAsia="Arial" w:hAnsi="Arial"/>
          <w:sz w:val="19"/>
          <w:szCs w:val="19"/>
          <w:b w:val="1"/>
          <w:bCs w:val="1"/>
          <w:color w:val="auto"/>
        </w:rPr>
        <w:t>DTC</w:t>
      </w:r>
      <w:r>
        <w:rPr>
          <w:rFonts w:ascii="Arial" w:cs="Arial" w:eastAsia="Arial" w:hAnsi="Arial"/>
          <w:sz w:val="19"/>
          <w:szCs w:val="19"/>
          <w:color w:val="auto"/>
        </w:rPr>
        <w:t>”).</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Applicable regulatory policy in Canada requires brokers and other intermediaries to seek voting instructions from Beneficial Holders in advance of securityholder meetings. Every broker or other intermediary has its own mailing procedures and provides its own return instructions, which should be carefully followed by Beneficial Holders in order to ensure that their Shares are voted at the Meeting. Often, the voting instruction form supplied to a Beneficial Holder by its broker is identical to that provided to registered securityholders.</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However, its purpose is limited to instructing the intermediary how to vote on behalf of the Beneficial Holder. Most brokers now delegate responsibility for obtaining instructions from clients to Broadridge Investor Communication Solutions (“</w:t>
      </w:r>
      <w:r>
        <w:rPr>
          <w:rFonts w:ascii="Arial" w:cs="Arial" w:eastAsia="Arial" w:hAnsi="Arial"/>
          <w:sz w:val="19"/>
          <w:szCs w:val="19"/>
          <w:b w:val="1"/>
          <w:bCs w:val="1"/>
          <w:color w:val="auto"/>
        </w:rPr>
        <w:t>Broadridge</w:t>
      </w:r>
      <w:r>
        <w:rPr>
          <w:rFonts w:ascii="Arial" w:cs="Arial" w:eastAsia="Arial" w:hAnsi="Arial"/>
          <w:sz w:val="19"/>
          <w:szCs w:val="19"/>
          <w:color w:val="auto"/>
        </w:rPr>
        <w:t>”). Broadridge typically prepares a machine-readable voting instruction form, mails those forms to the Beneficial Holders and asks Beneficial Holders to return the forms to Broadridge, or otherwise communicate voting instructions to Broadridge (by way of internet or telephone, for example). Broadridge then tabulates the results of all instructions received and provides appropriate instructions representing the voting of the securities to be represented at the Meeting. A Beneficial Holder receiving a Broadridge voting instruction form cannot use that voting instruction form to vote Shares directly at the Meeting. The voting instruction form must be returned to Broadridge well in advance of the Meeting in order to have the Shares voted. Proxy-related materials will be sent by the Company directly to NOBOs under NI 54-101. The Company intends to pay for intermediaries to deliver proxy-related materials to “objecting beneficial owners” and Form 54-101F7 (the request for voting instructions), in accordance with NI 54-101.</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 xml:space="preserve">Beneficial Holders have the right to appoint a person (who need not be a shareholder of the Company), other than the persons designated in the voting instruction form, to represent you at the Meeting. To exercise this right, you should insert the name of the desired representative in the blank space provided in the voting instruction form. Although Beneficial Holders may not be recognized directly at the Meeting for the purposes of voting Shares registered in the name of CDS, DTC or their broker or other intermediary, a Beneficial Holder may attend the Meeting as proxy holder for the registered Shareholder and vote their Shares in that capacity. </w:t>
      </w:r>
      <w:r>
        <w:rPr>
          <w:rFonts w:ascii="Arial" w:cs="Arial" w:eastAsia="Arial" w:hAnsi="Arial"/>
          <w:sz w:val="19"/>
          <w:szCs w:val="19"/>
          <w:b w:val="1"/>
          <w:bCs w:val="1"/>
          <w:color w:val="auto"/>
        </w:rPr>
        <w:t>If you wish to attend at the Meeting and indirectly vote your Shares as proxyholder</w:t>
      </w:r>
      <w:r>
        <w:rPr>
          <w:rFonts w:ascii="Arial" w:cs="Arial" w:eastAsia="Arial" w:hAnsi="Arial"/>
          <w:sz w:val="19"/>
          <w:szCs w:val="19"/>
          <w:color w:val="auto"/>
        </w:rPr>
        <w:t xml:space="preserve"> </w:t>
      </w:r>
      <w:r>
        <w:rPr>
          <w:rFonts w:ascii="Arial" w:cs="Arial" w:eastAsia="Arial" w:hAnsi="Arial"/>
          <w:sz w:val="19"/>
          <w:szCs w:val="19"/>
          <w:b w:val="1"/>
          <w:bCs w:val="1"/>
          <w:color w:val="auto"/>
        </w:rPr>
        <w:t>for your intermediary, or have a person designated by you do so, you should enter your own name, or the name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680"/>
          </w:cols>
          <w:pgMar w:left="600" w:top="255" w:right="619" w:bottom="1440" w:gutter="0" w:footer="0" w:header="0"/>
        </w:sectPr>
      </w:pPr>
    </w:p>
    <w:bookmarkStart w:id="20" w:name="page21"/>
    <w:bookmarkEnd w:id="20"/>
    <w:p>
      <w:pPr>
        <w:jc w:val="both"/>
        <w:spacing w:after="0" w:line="261"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of the person you wish to designate, in the blank space on the voting instruction form provided to you and return it to your intermediary in accordance with the instructions provided by such Intermediary, well in advance of the Meeting.</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680"/>
          </w:cols>
          <w:pgMar w:left="600" w:top="260" w:right="619" w:bottom="1440" w:gutter="0" w:footer="0" w:header="0"/>
        </w:sectPr>
      </w:pPr>
    </w:p>
    <w:bookmarkStart w:id="21" w:name="page22"/>
    <w:bookmarkEnd w:id="21"/>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Voting Securities and Principal Holders Thereof</w:t>
      </w:r>
    </w:p>
    <w:p>
      <w:pPr>
        <w:spacing w:after="0" w:line="227"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The authorized share capital of Algoma consists of an unlimited number of Shares without par value and an unlimited number of preferred shares without par value issuable in series (the “</w:t>
      </w:r>
      <w:r>
        <w:rPr>
          <w:rFonts w:ascii="Arial" w:cs="Arial" w:eastAsia="Arial" w:hAnsi="Arial"/>
          <w:sz w:val="19"/>
          <w:szCs w:val="19"/>
          <w:b w:val="1"/>
          <w:bCs w:val="1"/>
          <w:color w:val="auto"/>
        </w:rPr>
        <w:t>Preferred Shares</w:t>
      </w:r>
      <w:r>
        <w:rPr>
          <w:rFonts w:ascii="Arial" w:cs="Arial" w:eastAsia="Arial" w:hAnsi="Arial"/>
          <w:sz w:val="19"/>
          <w:szCs w:val="19"/>
          <w:color w:val="auto"/>
        </w:rPr>
        <w:t>”). As of the date hereof, there were 105,388,619 Shares issued and outstanding, and no Preferred Shares issued and outstanding.</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Shares</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The Shares are listed and posted for trading on the Toronto Stock Exchange (the “</w:t>
      </w:r>
      <w:r>
        <w:rPr>
          <w:rFonts w:ascii="Arial" w:cs="Arial" w:eastAsia="Arial" w:hAnsi="Arial"/>
          <w:sz w:val="19"/>
          <w:szCs w:val="19"/>
          <w:b w:val="1"/>
          <w:bCs w:val="1"/>
          <w:color w:val="auto"/>
        </w:rPr>
        <w:t>TSX</w:t>
      </w:r>
      <w:r>
        <w:rPr>
          <w:rFonts w:ascii="Arial" w:cs="Arial" w:eastAsia="Arial" w:hAnsi="Arial"/>
          <w:sz w:val="19"/>
          <w:szCs w:val="19"/>
          <w:color w:val="auto"/>
        </w:rPr>
        <w:t>”) and The Nasdaq Stock Market (“</w:t>
      </w:r>
      <w:r>
        <w:rPr>
          <w:rFonts w:ascii="Arial" w:cs="Arial" w:eastAsia="Arial" w:hAnsi="Arial"/>
          <w:sz w:val="19"/>
          <w:szCs w:val="19"/>
          <w:b w:val="1"/>
          <w:bCs w:val="1"/>
          <w:color w:val="auto"/>
        </w:rPr>
        <w:t>Nasdaq</w:t>
      </w:r>
      <w:r>
        <w:rPr>
          <w:rFonts w:ascii="Arial" w:cs="Arial" w:eastAsia="Arial" w:hAnsi="Arial"/>
          <w:sz w:val="19"/>
          <w:szCs w:val="19"/>
          <w:color w:val="auto"/>
        </w:rPr>
        <w:t>”) under the symbol “ASTL”.</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Holders of the Shares are entitled to one vote per Share on all matters upon which holders of the Shares are entitled to vote at the Meeting.</w:t>
      </w:r>
    </w:p>
    <w:p>
      <w:pPr>
        <w:spacing w:after="0" w:line="141"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This summary is qualified by reference to, and is subject to, the detailed provisions of the notice of articles and articles of the Company (the “</w:t>
      </w:r>
      <w:r>
        <w:rPr>
          <w:rFonts w:ascii="Arial" w:cs="Arial" w:eastAsia="Arial" w:hAnsi="Arial"/>
          <w:sz w:val="19"/>
          <w:szCs w:val="19"/>
          <w:b w:val="1"/>
          <w:bCs w:val="1"/>
          <w:color w:val="auto"/>
        </w:rPr>
        <w:t>Articles</w:t>
      </w:r>
      <w:r>
        <w:rPr>
          <w:rFonts w:ascii="Arial" w:cs="Arial" w:eastAsia="Arial" w:hAnsi="Arial"/>
          <w:sz w:val="19"/>
          <w:szCs w:val="19"/>
          <w:color w:val="auto"/>
        </w:rPr>
        <w:t xml:space="preserve">”). A copy of the Articles is available on the Company’s profile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xml:space="preserve">, and on the Company’s website at </w:t>
      </w:r>
      <w:r>
        <w:rPr>
          <w:rFonts w:ascii="Arial" w:cs="Arial" w:eastAsia="Arial" w:hAnsi="Arial"/>
          <w:sz w:val="19"/>
          <w:szCs w:val="19"/>
          <w:u w:val="single" w:color="auto"/>
          <w:color w:val="0000FF"/>
        </w:rPr>
        <w:t>https://algoma.com</w:t>
      </w:r>
      <w:r>
        <w:rPr>
          <w:rFonts w:ascii="Arial" w:cs="Arial" w:eastAsia="Arial" w:hAnsi="Arial"/>
          <w:sz w:val="19"/>
          <w:szCs w:val="19"/>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Preferred Shares</w:t>
      </w: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Except as provided in any special rights or restrictions attaching to any series of preferred shares issued from time to time, the holders of preferred shares will not be entitled to receive notice of, attend or vote at any meeting of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Eligibility for Voting</w:t>
      </w: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At the Meeting, each holder of Shares of record at the close of business on the Record Date, will be entitled to one vote for each Share held on all matters proposed to come before the Meeting.</w:t>
      </w:r>
    </w:p>
    <w:p>
      <w:pPr>
        <w:spacing w:after="0" w:line="141"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Any Shareholder who was a Shareholder on the Record Date shall be entitled to receive notice of and vote at the Meeting or any adjournment thereof, even though he, she or it has since that date disposed of his, her or its Shares, and no Shareholder becoming such after that date shall be entitled to receive notice of and vote at the Meeting or any adjournment thereof or to be treated as a Shareholder of record for purposes of such other action.</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Principal Shareholders</w:t>
      </w:r>
    </w:p>
    <w:p>
      <w:pPr>
        <w:spacing w:after="0" w:line="223"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To the knowledge of the Company and its executive officers, the following shareholders beneficially owned, or controlled or directed, directly or indirectly, voting securities of the Company carrying 10% or more of the votes attached to any class of issued and outstanding Shares as of the date hereof.</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960" w:type="dxa"/>
            <w:vAlign w:val="bottom"/>
            <w:tcBorders>
              <w:top w:val="single" w:sz="8" w:color="auto"/>
              <w:left w:val="single" w:sz="8" w:color="auto"/>
              <w:right w:val="single" w:sz="8" w:color="auto"/>
            </w:tcBorders>
            <w:shd w:val="clear" w:color="auto" w:fill="003445"/>
          </w:tcPr>
          <w:p>
            <w:pPr>
              <w:jc w:val="center"/>
              <w:ind w:left="4"/>
              <w:spacing w:after="0"/>
              <w:rPr>
                <w:sz w:val="20"/>
                <w:szCs w:val="20"/>
                <w:color w:val="auto"/>
              </w:rPr>
            </w:pPr>
            <w:r>
              <w:rPr>
                <w:rFonts w:ascii="Arial" w:cs="Arial" w:eastAsia="Arial" w:hAnsi="Arial"/>
                <w:sz w:val="19"/>
                <w:szCs w:val="19"/>
                <w:b w:val="1"/>
                <w:bCs w:val="1"/>
                <w:color w:val="FFFFFF"/>
                <w:w w:val="84"/>
              </w:rPr>
              <w:t>  Sr.</w:t>
            </w:r>
          </w:p>
        </w:tc>
        <w:tc>
          <w:tcPr>
            <w:tcW w:w="512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rPr>
              <w:t>Shareholder</w:t>
            </w:r>
          </w:p>
        </w:tc>
        <w:tc>
          <w:tcPr>
            <w:tcW w:w="2360" w:type="dxa"/>
            <w:vAlign w:val="bottom"/>
            <w:tcBorders>
              <w:top w:val="single" w:sz="8" w:color="auto"/>
              <w:right w:val="single" w:sz="8" w:color="auto"/>
            </w:tcBorders>
            <w:shd w:val="clear" w:color="auto" w:fill="003445"/>
          </w:tcPr>
          <w:p>
            <w:pPr>
              <w:ind w:left="220"/>
              <w:spacing w:after="0"/>
              <w:rPr>
                <w:sz w:val="20"/>
                <w:szCs w:val="20"/>
                <w:color w:val="auto"/>
              </w:rPr>
            </w:pPr>
            <w:r>
              <w:rPr>
                <w:rFonts w:ascii="Arial" w:cs="Arial" w:eastAsia="Arial" w:hAnsi="Arial"/>
                <w:sz w:val="19"/>
                <w:szCs w:val="19"/>
                <w:b w:val="1"/>
                <w:bCs w:val="1"/>
                <w:color w:val="FFFFFF"/>
              </w:rPr>
              <w:t>   Number of shares</w:t>
            </w:r>
          </w:p>
        </w:tc>
        <w:tc>
          <w:tcPr>
            <w:tcW w:w="2260" w:type="dxa"/>
            <w:vAlign w:val="bottom"/>
            <w:tcBorders>
              <w:top w:val="single" w:sz="8" w:color="auto"/>
              <w:right w:val="single" w:sz="8" w:color="auto"/>
            </w:tcBorders>
            <w:shd w:val="clear" w:color="auto" w:fill="003445"/>
          </w:tcPr>
          <w:p>
            <w:pPr>
              <w:jc w:val="right"/>
              <w:ind w:right="144"/>
              <w:spacing w:after="0"/>
              <w:rPr>
                <w:sz w:val="20"/>
                <w:szCs w:val="20"/>
                <w:color w:val="auto"/>
              </w:rPr>
            </w:pPr>
            <w:r>
              <w:rPr>
                <w:rFonts w:ascii="Arial" w:cs="Arial" w:eastAsia="Arial" w:hAnsi="Arial"/>
                <w:sz w:val="19"/>
                <w:szCs w:val="19"/>
                <w:b w:val="1"/>
                <w:bCs w:val="1"/>
                <w:color w:val="FFFFFF"/>
              </w:rPr>
              <w:t>  % of shareholding</w:t>
            </w:r>
          </w:p>
        </w:tc>
      </w:tr>
      <w:tr>
        <w:trPr>
          <w:trHeight w:val="304"/>
        </w:trPr>
        <w:tc>
          <w:tcPr>
            <w:tcW w:w="960" w:type="dxa"/>
            <w:vAlign w:val="bottom"/>
            <w:tcBorders>
              <w:left w:val="single" w:sz="8" w:color="auto"/>
              <w:bottom w:val="single" w:sz="8" w:color="003445"/>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w w:val="89"/>
              </w:rPr>
              <w:t>No. </w:t>
            </w:r>
          </w:p>
        </w:tc>
        <w:tc>
          <w:tcPr>
            <w:tcW w:w="5120" w:type="dxa"/>
            <w:vAlign w:val="bottom"/>
            <w:tcBorders>
              <w:bottom w:val="single" w:sz="8" w:color="003445"/>
              <w:right w:val="single" w:sz="8" w:color="auto"/>
            </w:tcBorders>
            <w:shd w:val="clear" w:color="auto" w:fill="003445"/>
          </w:tcPr>
          <w:p>
            <w:pPr>
              <w:spacing w:after="0"/>
              <w:rPr>
                <w:sz w:val="24"/>
                <w:szCs w:val="24"/>
                <w:color w:val="auto"/>
              </w:rPr>
            </w:pPr>
          </w:p>
        </w:tc>
        <w:tc>
          <w:tcPr>
            <w:tcW w:w="2360" w:type="dxa"/>
            <w:vAlign w:val="bottom"/>
            <w:tcBorders>
              <w:bottom w:val="single" w:sz="8" w:color="003445"/>
              <w:right w:val="single" w:sz="8" w:color="auto"/>
            </w:tcBorders>
            <w:shd w:val="clear" w:color="auto" w:fill="003445"/>
          </w:tcPr>
          <w:p>
            <w:pPr>
              <w:ind w:left="1020"/>
              <w:spacing w:after="0"/>
              <w:rPr>
                <w:sz w:val="20"/>
                <w:szCs w:val="20"/>
                <w:color w:val="auto"/>
              </w:rPr>
            </w:pPr>
            <w:r>
              <w:rPr>
                <w:rFonts w:ascii="Arial" w:cs="Arial" w:eastAsia="Arial" w:hAnsi="Arial"/>
                <w:sz w:val="19"/>
                <w:szCs w:val="19"/>
                <w:b w:val="1"/>
                <w:bCs w:val="1"/>
                <w:color w:val="FFFFFF"/>
              </w:rPr>
              <w:t>held</w:t>
            </w:r>
          </w:p>
        </w:tc>
        <w:tc>
          <w:tcPr>
            <w:tcW w:w="2260" w:type="dxa"/>
            <w:vAlign w:val="bottom"/>
            <w:tcBorders>
              <w:bottom w:val="single" w:sz="8" w:color="003445"/>
              <w:right w:val="single" w:sz="8" w:color="auto"/>
            </w:tcBorders>
            <w:shd w:val="clear" w:color="auto" w:fill="003445"/>
          </w:tcPr>
          <w:p>
            <w:pPr>
              <w:spacing w:after="0"/>
              <w:rPr>
                <w:sz w:val="24"/>
                <w:szCs w:val="24"/>
                <w:color w:val="auto"/>
              </w:rPr>
            </w:pPr>
          </w:p>
        </w:tc>
      </w:tr>
      <w:tr>
        <w:trPr>
          <w:trHeight w:val="242"/>
        </w:trPr>
        <w:tc>
          <w:tcPr>
            <w:tcW w:w="960" w:type="dxa"/>
            <w:vAlign w:val="bottom"/>
            <w:tcBorders>
              <w:top w:val="single" w:sz="8" w:color="auto"/>
              <w:left w:val="single" w:sz="8" w:color="auto"/>
              <w:bottom w:val="single" w:sz="8" w:color="auto"/>
              <w:right w:val="single" w:sz="8" w:color="auto"/>
            </w:tcBorders>
          </w:tcPr>
          <w:p>
            <w:pPr>
              <w:jc w:val="center"/>
              <w:ind w:left="24"/>
              <w:spacing w:after="0"/>
              <w:rPr>
                <w:sz w:val="20"/>
                <w:szCs w:val="20"/>
                <w:color w:val="auto"/>
              </w:rPr>
            </w:pPr>
            <w:r>
              <w:rPr>
                <w:rFonts w:ascii="Arial" w:cs="Arial" w:eastAsia="Arial" w:hAnsi="Arial"/>
                <w:sz w:val="19"/>
                <w:szCs w:val="19"/>
                <w:color w:val="auto"/>
              </w:rPr>
              <w:t>1.</w:t>
            </w:r>
          </w:p>
        </w:tc>
        <w:tc>
          <w:tcPr>
            <w:tcW w:w="5120" w:type="dxa"/>
            <w:vAlign w:val="bottom"/>
            <w:tcBorders>
              <w:top w:val="single" w:sz="8" w:color="auto"/>
              <w:bottom w:val="single" w:sz="8" w:color="auto"/>
              <w:right w:val="single" w:sz="8" w:color="auto"/>
            </w:tcBorders>
          </w:tcPr>
          <w:p>
            <w:pPr>
              <w:jc w:val="center"/>
              <w:ind w:left="4"/>
              <w:spacing w:after="0"/>
              <w:rPr>
                <w:sz w:val="20"/>
                <w:szCs w:val="20"/>
                <w:color w:val="auto"/>
              </w:rPr>
            </w:pPr>
            <w:r>
              <w:rPr>
                <w:rFonts w:ascii="Arial" w:cs="Arial" w:eastAsia="Arial" w:hAnsi="Arial"/>
                <w:sz w:val="19"/>
                <w:szCs w:val="19"/>
                <w:color w:val="auto"/>
              </w:rPr>
              <w:t>Maple Rock Capital Partners, Inc.</w:t>
            </w:r>
          </w:p>
        </w:tc>
        <w:tc>
          <w:tcPr>
            <w:tcW w:w="2360" w:type="dxa"/>
            <w:vAlign w:val="bottom"/>
            <w:tcBorders>
              <w:top w:val="single" w:sz="8" w:color="auto"/>
              <w:bottom w:val="single" w:sz="8" w:color="auto"/>
              <w:right w:val="single" w:sz="8" w:color="auto"/>
            </w:tcBorders>
          </w:tcPr>
          <w:p>
            <w:pPr>
              <w:jc w:val="right"/>
              <w:ind w:right="564"/>
              <w:spacing w:after="0"/>
              <w:rPr>
                <w:sz w:val="20"/>
                <w:szCs w:val="20"/>
                <w:color w:val="auto"/>
              </w:rPr>
            </w:pPr>
            <w:r>
              <w:rPr>
                <w:rFonts w:ascii="Arial" w:cs="Arial" w:eastAsia="Arial" w:hAnsi="Arial"/>
                <w:sz w:val="19"/>
                <w:szCs w:val="19"/>
                <w:color w:val="auto"/>
              </w:rPr>
              <w:t>14,430,818</w:t>
            </w:r>
          </w:p>
        </w:tc>
        <w:tc>
          <w:tcPr>
            <w:tcW w:w="2260" w:type="dxa"/>
            <w:vAlign w:val="bottom"/>
            <w:tcBorders>
              <w:top w:val="single" w:sz="8" w:color="auto"/>
              <w:bottom w:val="single" w:sz="8" w:color="auto"/>
              <w:right w:val="single" w:sz="8" w:color="auto"/>
            </w:tcBorders>
          </w:tcPr>
          <w:p>
            <w:pPr>
              <w:jc w:val="right"/>
              <w:ind w:right="684"/>
              <w:spacing w:after="0"/>
              <w:rPr>
                <w:sz w:val="20"/>
                <w:szCs w:val="20"/>
                <w:color w:val="auto"/>
              </w:rPr>
            </w:pPr>
            <w:r>
              <w:rPr>
                <w:rFonts w:ascii="Arial" w:cs="Arial" w:eastAsia="Arial" w:hAnsi="Arial"/>
                <w:sz w:val="19"/>
                <w:szCs w:val="19"/>
                <w:color w:val="auto"/>
              </w:rPr>
              <w:t>13.75%</w:t>
            </w:r>
          </w:p>
        </w:tc>
      </w:tr>
      <w:tr>
        <w:trPr>
          <w:trHeight w:val="242"/>
        </w:trPr>
        <w:tc>
          <w:tcPr>
            <w:tcW w:w="960" w:type="dxa"/>
            <w:vAlign w:val="bottom"/>
            <w:tcBorders>
              <w:left w:val="single" w:sz="8" w:color="auto"/>
              <w:bottom w:val="single" w:sz="8" w:color="auto"/>
              <w:right w:val="single" w:sz="8" w:color="auto"/>
            </w:tcBorders>
          </w:tcPr>
          <w:p>
            <w:pPr>
              <w:jc w:val="center"/>
              <w:ind w:left="24"/>
              <w:spacing w:after="0"/>
              <w:rPr>
                <w:sz w:val="20"/>
                <w:szCs w:val="20"/>
                <w:color w:val="auto"/>
              </w:rPr>
            </w:pPr>
            <w:r>
              <w:rPr>
                <w:rFonts w:ascii="Arial" w:cs="Arial" w:eastAsia="Arial" w:hAnsi="Arial"/>
                <w:sz w:val="19"/>
                <w:szCs w:val="19"/>
                <w:color w:val="auto"/>
              </w:rPr>
              <w:t>2.</w:t>
            </w:r>
          </w:p>
        </w:tc>
        <w:tc>
          <w:tcPr>
            <w:tcW w:w="512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9"/>
                <w:szCs w:val="19"/>
                <w:color w:val="auto"/>
              </w:rPr>
              <w:t>MMCAP Asset Management</w:t>
            </w:r>
          </w:p>
        </w:tc>
        <w:tc>
          <w:tcPr>
            <w:tcW w:w="2360" w:type="dxa"/>
            <w:vAlign w:val="bottom"/>
            <w:tcBorders>
              <w:bottom w:val="single" w:sz="8" w:color="auto"/>
              <w:right w:val="single" w:sz="8" w:color="auto"/>
            </w:tcBorders>
          </w:tcPr>
          <w:p>
            <w:pPr>
              <w:jc w:val="right"/>
              <w:ind w:right="564"/>
              <w:spacing w:after="0"/>
              <w:rPr>
                <w:sz w:val="20"/>
                <w:szCs w:val="20"/>
                <w:color w:val="auto"/>
              </w:rPr>
            </w:pPr>
            <w:r>
              <w:rPr>
                <w:rFonts w:ascii="Arial" w:cs="Arial" w:eastAsia="Arial" w:hAnsi="Arial"/>
                <w:sz w:val="19"/>
                <w:szCs w:val="19"/>
                <w:color w:val="auto"/>
              </w:rPr>
              <w:t>11,487,861</w:t>
            </w:r>
          </w:p>
        </w:tc>
        <w:tc>
          <w:tcPr>
            <w:tcW w:w="2260" w:type="dxa"/>
            <w:vAlign w:val="bottom"/>
            <w:tcBorders>
              <w:bottom w:val="single" w:sz="8" w:color="auto"/>
              <w:right w:val="single" w:sz="8" w:color="auto"/>
            </w:tcBorders>
          </w:tcPr>
          <w:p>
            <w:pPr>
              <w:jc w:val="right"/>
              <w:ind w:right="684"/>
              <w:spacing w:after="0"/>
              <w:rPr>
                <w:sz w:val="20"/>
                <w:szCs w:val="20"/>
                <w:color w:val="auto"/>
              </w:rPr>
            </w:pPr>
            <w:r>
              <w:rPr>
                <w:rFonts w:ascii="Arial" w:cs="Arial" w:eastAsia="Arial" w:hAnsi="Arial"/>
                <w:sz w:val="19"/>
                <w:szCs w:val="19"/>
                <w:color w:val="auto"/>
              </w:rPr>
              <w:t>10.95%</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700"/>
          </w:cols>
          <w:pgMar w:left="600" w:top="255" w:right="599" w:bottom="1440" w:gutter="0" w:footer="0" w:header="0"/>
        </w:sectPr>
      </w:pPr>
    </w:p>
    <w:bookmarkStart w:id="22" w:name="page23"/>
    <w:bookmarkEnd w:id="22"/>
    <w:p>
      <w:pPr>
        <w:jc w:val="both"/>
        <w:ind w:right="20"/>
        <w:spacing w:after="0" w:line="24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Management of the Company understands that the Shares registered in the name of CDS or DTC are beneficially owned through various dealers and other intermediaries on behalf of their clients and other parties. The names of the Beneficial Holders of such Shares are not known to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Voting Results</w:t>
      </w:r>
    </w:p>
    <w:p>
      <w:pPr>
        <w:spacing w:after="0" w:line="223"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 xml:space="preserve">Voting results of the Meeting will be filed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xml:space="preserve"> following the Meeting. Voting results for each of the matters voted on at the Company’s last annual meeting of Shareholders held on June 24, 2025 are as follows: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2240" w:type="dxa"/>
            <w:vAlign w:val="bottom"/>
            <w:tcBorders>
              <w:top w:val="single" w:sz="8" w:color="auto"/>
              <w:left w:val="single" w:sz="8" w:color="auto"/>
              <w:bottom w:val="single" w:sz="8" w:color="auto"/>
              <w:right w:val="single" w:sz="8" w:color="003445"/>
            </w:tcBorders>
            <w:shd w:val="clear" w:color="auto" w:fill="003445"/>
          </w:tcPr>
          <w:p>
            <w:pPr>
              <w:spacing w:after="0"/>
              <w:rPr>
                <w:sz w:val="24"/>
                <w:szCs w:val="24"/>
                <w:color w:val="auto"/>
              </w:rPr>
            </w:pPr>
          </w:p>
        </w:tc>
        <w:tc>
          <w:tcPr>
            <w:tcW w:w="2140" w:type="dxa"/>
            <w:vAlign w:val="bottom"/>
            <w:tcBorders>
              <w:top w:val="single" w:sz="8" w:color="auto"/>
              <w:bottom w:val="single" w:sz="8" w:color="auto"/>
              <w:right w:val="single" w:sz="8" w:color="003445"/>
            </w:tcBorders>
            <w:shd w:val="clear" w:color="auto" w:fill="003445"/>
          </w:tcPr>
          <w:p>
            <w:pPr>
              <w:spacing w:after="0"/>
              <w:rPr>
                <w:sz w:val="24"/>
                <w:szCs w:val="24"/>
                <w:color w:val="auto"/>
              </w:rPr>
            </w:pPr>
          </w:p>
        </w:tc>
        <w:tc>
          <w:tcPr>
            <w:tcW w:w="2140" w:type="dxa"/>
            <w:vAlign w:val="bottom"/>
            <w:tcBorders>
              <w:top w:val="single" w:sz="8" w:color="auto"/>
              <w:bottom w:val="single" w:sz="8" w:color="auto"/>
              <w:right w:val="single" w:sz="8" w:color="003445"/>
            </w:tcBorders>
            <w:shd w:val="clear" w:color="auto" w:fill="003445"/>
          </w:tcPr>
          <w:p>
            <w:pPr>
              <w:ind w:left="80"/>
              <w:spacing w:after="0"/>
              <w:rPr>
                <w:sz w:val="20"/>
                <w:szCs w:val="20"/>
                <w:color w:val="auto"/>
              </w:rPr>
            </w:pPr>
            <w:r>
              <w:rPr>
                <w:rFonts w:ascii="Arial" w:cs="Arial" w:eastAsia="Arial" w:hAnsi="Arial"/>
                <w:sz w:val="19"/>
                <w:szCs w:val="19"/>
                <w:b w:val="1"/>
                <w:bCs w:val="1"/>
                <w:color w:val="FFFFFF"/>
              </w:rPr>
              <w:t>Election of Directors</w:t>
            </w:r>
          </w:p>
        </w:tc>
        <w:tc>
          <w:tcPr>
            <w:tcW w:w="2160" w:type="dxa"/>
            <w:vAlign w:val="bottom"/>
            <w:tcBorders>
              <w:top w:val="single" w:sz="8" w:color="auto"/>
              <w:bottom w:val="single" w:sz="8" w:color="auto"/>
              <w:right w:val="single" w:sz="8" w:color="003445"/>
            </w:tcBorders>
            <w:shd w:val="clear" w:color="auto" w:fill="003445"/>
          </w:tcPr>
          <w:p>
            <w:pPr>
              <w:spacing w:after="0"/>
              <w:rPr>
                <w:sz w:val="24"/>
                <w:szCs w:val="24"/>
                <w:color w:val="auto"/>
              </w:rPr>
            </w:pPr>
          </w:p>
        </w:tc>
        <w:tc>
          <w:tcPr>
            <w:tcW w:w="2020" w:type="dxa"/>
            <w:vAlign w:val="bottom"/>
            <w:tcBorders>
              <w:top w:val="single" w:sz="8" w:color="auto"/>
              <w:bottom w:val="single" w:sz="8" w:color="auto"/>
              <w:right w:val="single" w:sz="8" w:color="auto"/>
            </w:tcBorders>
            <w:shd w:val="clear" w:color="auto" w:fill="003445"/>
          </w:tcPr>
          <w:p>
            <w:pPr>
              <w:spacing w:after="0"/>
              <w:rPr>
                <w:sz w:val="24"/>
                <w:szCs w:val="24"/>
                <w:color w:val="auto"/>
              </w:rPr>
            </w:pPr>
          </w:p>
        </w:tc>
      </w:tr>
      <w:tr>
        <w:trPr>
          <w:trHeight w:val="294"/>
        </w:trPr>
        <w:tc>
          <w:tcPr>
            <w:tcW w:w="2240" w:type="dxa"/>
            <w:vAlign w:val="bottom"/>
            <w:tcBorders>
              <w:left w:val="single" w:sz="8" w:color="auto"/>
              <w:bottom w:val="single" w:sz="8" w:color="auto"/>
              <w:right w:val="single" w:sz="8" w:color="auto"/>
            </w:tcBorders>
            <w:shd w:val="clear" w:color="auto" w:fill="003445"/>
          </w:tcPr>
          <w:p>
            <w:pPr>
              <w:ind w:left="780"/>
              <w:spacing w:after="0"/>
              <w:rPr>
                <w:sz w:val="20"/>
                <w:szCs w:val="20"/>
                <w:color w:val="auto"/>
              </w:rPr>
            </w:pPr>
            <w:r>
              <w:rPr>
                <w:rFonts w:ascii="Arial" w:cs="Arial" w:eastAsia="Arial" w:hAnsi="Arial"/>
                <w:sz w:val="19"/>
                <w:szCs w:val="19"/>
                <w:b w:val="1"/>
                <w:bCs w:val="1"/>
                <w:color w:val="FFFFFF"/>
              </w:rPr>
              <w:t>Nominee</w:t>
            </w:r>
          </w:p>
        </w:tc>
        <w:tc>
          <w:tcPr>
            <w:tcW w:w="2140" w:type="dxa"/>
            <w:vAlign w:val="bottom"/>
            <w:tcBorders>
              <w:bottom w:val="single" w:sz="8" w:color="auto"/>
              <w:right w:val="single" w:sz="8" w:color="auto"/>
            </w:tcBorders>
            <w:shd w:val="clear" w:color="auto" w:fill="003445"/>
          </w:tcPr>
          <w:p>
            <w:pPr>
              <w:ind w:left="680"/>
              <w:spacing w:after="0"/>
              <w:rPr>
                <w:sz w:val="20"/>
                <w:szCs w:val="20"/>
                <w:color w:val="auto"/>
              </w:rPr>
            </w:pPr>
            <w:r>
              <w:rPr>
                <w:rFonts w:ascii="Arial" w:cs="Arial" w:eastAsia="Arial" w:hAnsi="Arial"/>
                <w:sz w:val="19"/>
                <w:szCs w:val="19"/>
                <w:b w:val="1"/>
                <w:bCs w:val="1"/>
                <w:color w:val="FFFFFF"/>
              </w:rPr>
              <w:t>Votes For</w:t>
            </w:r>
          </w:p>
        </w:tc>
        <w:tc>
          <w:tcPr>
            <w:tcW w:w="2140" w:type="dxa"/>
            <w:vAlign w:val="bottom"/>
            <w:tcBorders>
              <w:bottom w:val="single" w:sz="8" w:color="auto"/>
              <w:right w:val="single" w:sz="8" w:color="auto"/>
            </w:tcBorders>
            <w:shd w:val="clear" w:color="auto" w:fill="003445"/>
          </w:tcPr>
          <w:p>
            <w:pPr>
              <w:ind w:left="460"/>
              <w:spacing w:after="0"/>
              <w:rPr>
                <w:sz w:val="20"/>
                <w:szCs w:val="20"/>
                <w:color w:val="auto"/>
              </w:rPr>
            </w:pPr>
            <w:r>
              <w:rPr>
                <w:rFonts w:ascii="Arial" w:cs="Arial" w:eastAsia="Arial" w:hAnsi="Arial"/>
                <w:sz w:val="19"/>
                <w:szCs w:val="19"/>
                <w:b w:val="1"/>
                <w:bCs w:val="1"/>
                <w:color w:val="FFFFFF"/>
              </w:rPr>
              <w:t>% of Votes For</w:t>
            </w:r>
          </w:p>
        </w:tc>
        <w:tc>
          <w:tcPr>
            <w:tcW w:w="2160" w:type="dxa"/>
            <w:vAlign w:val="bottom"/>
            <w:tcBorders>
              <w:bottom w:val="single" w:sz="8" w:color="auto"/>
              <w:right w:val="single" w:sz="8" w:color="auto"/>
            </w:tcBorders>
            <w:shd w:val="clear" w:color="auto" w:fill="003445"/>
          </w:tcPr>
          <w:p>
            <w:pPr>
              <w:ind w:left="440"/>
              <w:spacing w:after="0"/>
              <w:rPr>
                <w:sz w:val="20"/>
                <w:szCs w:val="20"/>
                <w:color w:val="auto"/>
              </w:rPr>
            </w:pPr>
            <w:r>
              <w:rPr>
                <w:rFonts w:ascii="Arial" w:cs="Arial" w:eastAsia="Arial" w:hAnsi="Arial"/>
                <w:sz w:val="19"/>
                <w:szCs w:val="19"/>
                <w:b w:val="1"/>
                <w:bCs w:val="1"/>
                <w:color w:val="FFFFFF"/>
              </w:rPr>
              <w:t>Votes Withheld</w:t>
            </w:r>
          </w:p>
        </w:tc>
        <w:tc>
          <w:tcPr>
            <w:tcW w:w="202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rPr>
              <w:t>% of Votes Withheld</w:t>
            </w:r>
          </w:p>
        </w:tc>
      </w:tr>
      <w:tr>
        <w:trPr>
          <w:trHeight w:val="272"/>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Mary Anne Bueschkens</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63,288,046</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97.505%</w:t>
            </w:r>
          </w:p>
        </w:tc>
        <w:tc>
          <w:tcPr>
            <w:tcW w:w="21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1,619,736</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2.495%</w:t>
            </w:r>
          </w:p>
        </w:tc>
      </w:tr>
      <w:tr>
        <w:trPr>
          <w:trHeight w:val="30"/>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65"/>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Sean Donnelly</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63,618,650</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98.014%</w:t>
            </w:r>
          </w:p>
        </w:tc>
        <w:tc>
          <w:tcPr>
            <w:tcW w:w="21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1,289,132</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1.986%</w:t>
            </w:r>
          </w:p>
        </w:tc>
      </w:tr>
      <w:tr>
        <w:trPr>
          <w:trHeight w:val="30"/>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65"/>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Michael Garcia</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63,619,558</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98.015%</w:t>
            </w:r>
          </w:p>
        </w:tc>
        <w:tc>
          <w:tcPr>
            <w:tcW w:w="21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1,288,224</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1.985%</w:t>
            </w:r>
          </w:p>
        </w:tc>
      </w:tr>
      <w:tr>
        <w:trPr>
          <w:trHeight w:val="30"/>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65"/>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James Gouin</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63,618,100</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98.013%</w:t>
            </w:r>
          </w:p>
        </w:tc>
        <w:tc>
          <w:tcPr>
            <w:tcW w:w="21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1,289,682</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1.987%</w:t>
            </w:r>
          </w:p>
        </w:tc>
      </w:tr>
      <w:tr>
        <w:trPr>
          <w:trHeight w:val="30"/>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65"/>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Andy Harshaw</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63,514,669</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97.854%</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1,393,113</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2.146%</w:t>
            </w:r>
          </w:p>
        </w:tc>
      </w:tr>
      <w:tr>
        <w:trPr>
          <w:trHeight w:val="30"/>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65"/>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Sanjay Nakra</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63,563,641</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97.929%</w:t>
            </w:r>
          </w:p>
        </w:tc>
        <w:tc>
          <w:tcPr>
            <w:tcW w:w="21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1,344,141</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2.071%</w:t>
            </w:r>
          </w:p>
        </w:tc>
      </w:tr>
      <w:tr>
        <w:trPr>
          <w:trHeight w:val="30"/>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65"/>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Melinda J. Newman</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63,512,570</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97.850%</w:t>
            </w:r>
          </w:p>
        </w:tc>
        <w:tc>
          <w:tcPr>
            <w:tcW w:w="21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1,395,212</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2.150%</w:t>
            </w:r>
          </w:p>
        </w:tc>
      </w:tr>
      <w:tr>
        <w:trPr>
          <w:trHeight w:val="30"/>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65"/>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Eric S. Rosenfeld</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62,962,411</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97.003%%</w:t>
            </w:r>
          </w:p>
        </w:tc>
        <w:tc>
          <w:tcPr>
            <w:tcW w:w="21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1,945,371</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2.997%</w:t>
            </w:r>
          </w:p>
        </w:tc>
      </w:tr>
      <w:tr>
        <w:trPr>
          <w:trHeight w:val="30"/>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65"/>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Gale Rubenstein</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63,480,639</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97.801%</w:t>
            </w:r>
          </w:p>
        </w:tc>
        <w:tc>
          <w:tcPr>
            <w:tcW w:w="21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1,427,143</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2.199%</w:t>
            </w:r>
          </w:p>
        </w:tc>
      </w:tr>
      <w:tr>
        <w:trPr>
          <w:trHeight w:val="30"/>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r>
        <w:trPr>
          <w:trHeight w:val="265"/>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David D. Sgro</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59,221,098</w:t>
            </w:r>
          </w:p>
        </w:tc>
        <w:tc>
          <w:tcPr>
            <w:tcW w:w="214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91.239%</w:t>
            </w:r>
          </w:p>
        </w:tc>
        <w:tc>
          <w:tcPr>
            <w:tcW w:w="21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5,686,684</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9"/>
              </w:rPr>
              <w:t>8.761%</w:t>
            </w:r>
          </w:p>
        </w:tc>
      </w:tr>
      <w:tr>
        <w:trPr>
          <w:trHeight w:val="30"/>
        </w:trPr>
        <w:tc>
          <w:tcPr>
            <w:tcW w:w="224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r>
    </w:tbl>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307"/>
        </w:trPr>
        <w:tc>
          <w:tcPr>
            <w:tcW w:w="2780" w:type="dxa"/>
            <w:vAlign w:val="bottom"/>
            <w:tcBorders>
              <w:top w:val="single" w:sz="8" w:color="auto"/>
              <w:left w:val="single" w:sz="8" w:color="auto"/>
              <w:bottom w:val="single" w:sz="8" w:color="auto"/>
              <w:right w:val="single" w:sz="8" w:color="003445"/>
            </w:tcBorders>
            <w:shd w:val="clear" w:color="auto" w:fill="003445"/>
          </w:tcPr>
          <w:p>
            <w:pPr>
              <w:spacing w:after="0"/>
              <w:rPr>
                <w:sz w:val="24"/>
                <w:szCs w:val="24"/>
                <w:color w:val="auto"/>
              </w:rPr>
            </w:pPr>
          </w:p>
        </w:tc>
        <w:tc>
          <w:tcPr>
            <w:tcW w:w="5340" w:type="dxa"/>
            <w:vAlign w:val="bottom"/>
            <w:tcBorders>
              <w:top w:val="single" w:sz="8" w:color="auto"/>
              <w:bottom w:val="single" w:sz="8" w:color="auto"/>
              <w:right w:val="single" w:sz="8" w:color="003445"/>
            </w:tcBorders>
            <w:gridSpan w:val="2"/>
            <w:shd w:val="clear" w:color="auto" w:fill="003445"/>
          </w:tcPr>
          <w:p>
            <w:pPr>
              <w:jc w:val="center"/>
              <w:ind w:right="4"/>
              <w:spacing w:after="0"/>
              <w:rPr>
                <w:sz w:val="20"/>
                <w:szCs w:val="20"/>
                <w:color w:val="auto"/>
              </w:rPr>
            </w:pPr>
            <w:r>
              <w:rPr>
                <w:rFonts w:ascii="Arial" w:cs="Arial" w:eastAsia="Arial" w:hAnsi="Arial"/>
                <w:sz w:val="19"/>
                <w:szCs w:val="19"/>
                <w:b w:val="1"/>
                <w:bCs w:val="1"/>
                <w:color w:val="FFFFFF"/>
              </w:rPr>
              <w:t>Appointment of Auditor</w:t>
            </w:r>
          </w:p>
        </w:tc>
        <w:tc>
          <w:tcPr>
            <w:tcW w:w="2580" w:type="dxa"/>
            <w:vAlign w:val="bottom"/>
            <w:tcBorders>
              <w:top w:val="single" w:sz="8" w:color="auto"/>
              <w:bottom w:val="single" w:sz="8" w:color="auto"/>
              <w:right w:val="single" w:sz="8" w:color="auto"/>
            </w:tcBorders>
            <w:shd w:val="clear" w:color="auto" w:fill="003445"/>
          </w:tcPr>
          <w:p>
            <w:pPr>
              <w:spacing w:after="0"/>
              <w:rPr>
                <w:sz w:val="24"/>
                <w:szCs w:val="24"/>
                <w:color w:val="auto"/>
              </w:rPr>
            </w:pPr>
          </w:p>
        </w:tc>
      </w:tr>
      <w:tr>
        <w:trPr>
          <w:trHeight w:val="294"/>
        </w:trPr>
        <w:tc>
          <w:tcPr>
            <w:tcW w:w="2780" w:type="dxa"/>
            <w:vAlign w:val="bottom"/>
            <w:tcBorders>
              <w:left w:val="single" w:sz="8" w:color="auto"/>
              <w:bottom w:val="single" w:sz="8" w:color="auto"/>
              <w:right w:val="single" w:sz="8" w:color="auto"/>
            </w:tcBorders>
            <w:shd w:val="clear" w:color="auto" w:fill="003445"/>
          </w:tcPr>
          <w:p>
            <w:pPr>
              <w:jc w:val="center"/>
              <w:ind w:left="24"/>
              <w:spacing w:after="0"/>
              <w:rPr>
                <w:sz w:val="20"/>
                <w:szCs w:val="20"/>
                <w:color w:val="auto"/>
              </w:rPr>
            </w:pPr>
            <w:r>
              <w:rPr>
                <w:rFonts w:ascii="Arial" w:cs="Arial" w:eastAsia="Arial" w:hAnsi="Arial"/>
                <w:sz w:val="19"/>
                <w:szCs w:val="19"/>
                <w:b w:val="1"/>
                <w:bCs w:val="1"/>
                <w:color w:val="FFFFFF"/>
                <w:w w:val="98"/>
              </w:rPr>
              <w:t># Votes For</w:t>
            </w:r>
          </w:p>
        </w:tc>
        <w:tc>
          <w:tcPr>
            <w:tcW w:w="266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rPr>
              <w:t>% Votes For</w:t>
            </w:r>
          </w:p>
        </w:tc>
        <w:tc>
          <w:tcPr>
            <w:tcW w:w="2680" w:type="dxa"/>
            <w:vAlign w:val="bottom"/>
            <w:tcBorders>
              <w:bottom w:val="single" w:sz="8" w:color="auto"/>
              <w:right w:val="single" w:sz="8" w:color="auto"/>
            </w:tcBorders>
            <w:shd w:val="clear" w:color="auto" w:fill="003445"/>
          </w:tcPr>
          <w:p>
            <w:pPr>
              <w:ind w:left="620"/>
              <w:spacing w:after="0"/>
              <w:rPr>
                <w:sz w:val="20"/>
                <w:szCs w:val="20"/>
                <w:color w:val="auto"/>
              </w:rPr>
            </w:pPr>
            <w:r>
              <w:rPr>
                <w:rFonts w:ascii="Arial" w:cs="Arial" w:eastAsia="Arial" w:hAnsi="Arial"/>
                <w:sz w:val="19"/>
                <w:szCs w:val="19"/>
                <w:b w:val="1"/>
                <w:bCs w:val="1"/>
                <w:color w:val="FFFFFF"/>
              </w:rPr>
              <w:t># Votes Withheld</w:t>
            </w:r>
          </w:p>
        </w:tc>
        <w:tc>
          <w:tcPr>
            <w:tcW w:w="258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rPr>
              <w:t>% Votes Withheld</w:t>
            </w:r>
          </w:p>
        </w:tc>
      </w:tr>
      <w:tr>
        <w:trPr>
          <w:trHeight w:val="272"/>
        </w:trPr>
        <w:tc>
          <w:tcPr>
            <w:tcW w:w="2780" w:type="dxa"/>
            <w:vAlign w:val="bottom"/>
            <w:tcBorders>
              <w:left w:val="single" w:sz="8" w:color="auto"/>
              <w:right w:val="single" w:sz="8" w:color="auto"/>
            </w:tcBorders>
          </w:tcPr>
          <w:p>
            <w:pPr>
              <w:jc w:val="center"/>
              <w:ind w:left="44"/>
              <w:spacing w:after="0"/>
              <w:rPr>
                <w:sz w:val="20"/>
                <w:szCs w:val="20"/>
                <w:color w:val="auto"/>
              </w:rPr>
            </w:pPr>
            <w:r>
              <w:rPr>
                <w:rFonts w:ascii="Arial" w:cs="Arial" w:eastAsia="Arial" w:hAnsi="Arial"/>
                <w:sz w:val="19"/>
                <w:szCs w:val="19"/>
                <w:color w:val="auto"/>
              </w:rPr>
              <w:t>73,260,620</w:t>
            </w:r>
          </w:p>
        </w:tc>
        <w:tc>
          <w:tcPr>
            <w:tcW w:w="26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99.862%</w:t>
            </w:r>
          </w:p>
        </w:tc>
        <w:tc>
          <w:tcPr>
            <w:tcW w:w="2680" w:type="dxa"/>
            <w:vAlign w:val="bottom"/>
            <w:tcBorders>
              <w:right w:val="single" w:sz="8" w:color="auto"/>
            </w:tcBorders>
          </w:tcPr>
          <w:p>
            <w:pPr>
              <w:jc w:val="right"/>
              <w:ind w:right="844"/>
              <w:spacing w:after="0"/>
              <w:rPr>
                <w:sz w:val="20"/>
                <w:szCs w:val="20"/>
                <w:color w:val="auto"/>
              </w:rPr>
            </w:pPr>
            <w:r>
              <w:rPr>
                <w:rFonts w:ascii="Arial" w:cs="Arial" w:eastAsia="Arial" w:hAnsi="Arial"/>
                <w:sz w:val="19"/>
                <w:szCs w:val="19"/>
                <w:color w:val="auto"/>
              </w:rPr>
              <w:t>101,428</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0.138%</w:t>
            </w:r>
          </w:p>
        </w:tc>
      </w:tr>
      <w:tr>
        <w:trPr>
          <w:trHeight w:val="30"/>
        </w:trPr>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r>
        <w:trPr>
          <w:trHeight w:val="203"/>
        </w:trPr>
        <w:tc>
          <w:tcPr>
            <w:tcW w:w="27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r>
      <w:tr>
        <w:trPr>
          <w:trHeight w:val="287"/>
        </w:trPr>
        <w:tc>
          <w:tcPr>
            <w:tcW w:w="2780" w:type="dxa"/>
            <w:vAlign w:val="bottom"/>
            <w:tcBorders>
              <w:left w:val="single" w:sz="8" w:color="auto"/>
              <w:bottom w:val="single" w:sz="8" w:color="auto"/>
              <w:right w:val="single" w:sz="8" w:color="003445"/>
            </w:tcBorders>
            <w:shd w:val="clear" w:color="auto" w:fill="003445"/>
          </w:tcPr>
          <w:p>
            <w:pPr>
              <w:spacing w:after="0"/>
              <w:rPr>
                <w:sz w:val="24"/>
                <w:szCs w:val="24"/>
                <w:color w:val="auto"/>
              </w:rPr>
            </w:pPr>
          </w:p>
        </w:tc>
        <w:tc>
          <w:tcPr>
            <w:tcW w:w="5340" w:type="dxa"/>
            <w:vAlign w:val="bottom"/>
            <w:tcBorders>
              <w:bottom w:val="single" w:sz="8" w:color="auto"/>
              <w:right w:val="single" w:sz="8" w:color="003445"/>
            </w:tcBorders>
            <w:gridSpan w:val="2"/>
            <w:shd w:val="clear" w:color="auto" w:fill="003445"/>
          </w:tcPr>
          <w:p>
            <w:pPr>
              <w:jc w:val="center"/>
              <w:ind w:right="4"/>
              <w:spacing w:after="0"/>
              <w:rPr>
                <w:sz w:val="20"/>
                <w:szCs w:val="20"/>
                <w:color w:val="auto"/>
              </w:rPr>
            </w:pPr>
            <w:r>
              <w:rPr>
                <w:rFonts w:ascii="Arial" w:cs="Arial" w:eastAsia="Arial" w:hAnsi="Arial"/>
                <w:sz w:val="19"/>
                <w:szCs w:val="19"/>
                <w:b w:val="1"/>
                <w:bCs w:val="1"/>
                <w:color w:val="FFFFFF"/>
              </w:rPr>
              <w:t>Advisory Vote on Approach to Executive Compensation</w:t>
            </w:r>
          </w:p>
        </w:tc>
        <w:tc>
          <w:tcPr>
            <w:tcW w:w="2580" w:type="dxa"/>
            <w:vAlign w:val="bottom"/>
            <w:tcBorders>
              <w:bottom w:val="single" w:sz="8" w:color="auto"/>
              <w:right w:val="single" w:sz="8" w:color="auto"/>
            </w:tcBorders>
            <w:shd w:val="clear" w:color="auto" w:fill="003445"/>
          </w:tcPr>
          <w:p>
            <w:pPr>
              <w:spacing w:after="0"/>
              <w:rPr>
                <w:sz w:val="24"/>
                <w:szCs w:val="24"/>
                <w:color w:val="auto"/>
              </w:rPr>
            </w:pPr>
          </w:p>
        </w:tc>
      </w:tr>
      <w:tr>
        <w:trPr>
          <w:trHeight w:val="294"/>
        </w:trPr>
        <w:tc>
          <w:tcPr>
            <w:tcW w:w="2780" w:type="dxa"/>
            <w:vAlign w:val="bottom"/>
            <w:tcBorders>
              <w:left w:val="single" w:sz="8" w:color="auto"/>
              <w:bottom w:val="single" w:sz="8" w:color="auto"/>
              <w:right w:val="single" w:sz="8" w:color="auto"/>
            </w:tcBorders>
            <w:shd w:val="clear" w:color="auto" w:fill="003445"/>
          </w:tcPr>
          <w:p>
            <w:pPr>
              <w:jc w:val="center"/>
              <w:ind w:left="24"/>
              <w:spacing w:after="0"/>
              <w:rPr>
                <w:sz w:val="20"/>
                <w:szCs w:val="20"/>
                <w:color w:val="auto"/>
              </w:rPr>
            </w:pPr>
            <w:r>
              <w:rPr>
                <w:rFonts w:ascii="Arial" w:cs="Arial" w:eastAsia="Arial" w:hAnsi="Arial"/>
                <w:sz w:val="19"/>
                <w:szCs w:val="19"/>
                <w:b w:val="1"/>
                <w:bCs w:val="1"/>
                <w:color w:val="FFFFFF"/>
                <w:w w:val="98"/>
              </w:rPr>
              <w:t># Votes For</w:t>
            </w:r>
          </w:p>
        </w:tc>
        <w:tc>
          <w:tcPr>
            <w:tcW w:w="266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rPr>
              <w:t>% Votes For</w:t>
            </w:r>
          </w:p>
        </w:tc>
        <w:tc>
          <w:tcPr>
            <w:tcW w:w="2680" w:type="dxa"/>
            <w:vAlign w:val="bottom"/>
            <w:tcBorders>
              <w:bottom w:val="single" w:sz="8" w:color="auto"/>
              <w:right w:val="single" w:sz="8" w:color="auto"/>
            </w:tcBorders>
            <w:shd w:val="clear" w:color="auto" w:fill="003445"/>
          </w:tcPr>
          <w:p>
            <w:pPr>
              <w:ind w:left="620"/>
              <w:spacing w:after="0"/>
              <w:rPr>
                <w:sz w:val="20"/>
                <w:szCs w:val="20"/>
                <w:color w:val="auto"/>
              </w:rPr>
            </w:pPr>
            <w:r>
              <w:rPr>
                <w:rFonts w:ascii="Arial" w:cs="Arial" w:eastAsia="Arial" w:hAnsi="Arial"/>
                <w:sz w:val="19"/>
                <w:szCs w:val="19"/>
                <w:b w:val="1"/>
                <w:bCs w:val="1"/>
                <w:color w:val="FFFFFF"/>
              </w:rPr>
              <w:t># Votes Withheld</w:t>
            </w:r>
          </w:p>
        </w:tc>
        <w:tc>
          <w:tcPr>
            <w:tcW w:w="258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rPr>
              <w:t>% Votes Withheld</w:t>
            </w:r>
          </w:p>
        </w:tc>
      </w:tr>
      <w:tr>
        <w:trPr>
          <w:trHeight w:val="272"/>
        </w:trPr>
        <w:tc>
          <w:tcPr>
            <w:tcW w:w="2780" w:type="dxa"/>
            <w:vAlign w:val="bottom"/>
            <w:tcBorders>
              <w:left w:val="single" w:sz="8" w:color="auto"/>
              <w:right w:val="single" w:sz="8" w:color="auto"/>
            </w:tcBorders>
          </w:tcPr>
          <w:p>
            <w:pPr>
              <w:jc w:val="center"/>
              <w:ind w:left="44"/>
              <w:spacing w:after="0"/>
              <w:rPr>
                <w:sz w:val="20"/>
                <w:szCs w:val="20"/>
                <w:color w:val="auto"/>
              </w:rPr>
            </w:pPr>
            <w:r>
              <w:rPr>
                <w:rFonts w:ascii="Arial" w:cs="Arial" w:eastAsia="Arial" w:hAnsi="Arial"/>
                <w:sz w:val="19"/>
                <w:szCs w:val="19"/>
                <w:color w:val="auto"/>
              </w:rPr>
              <w:t>62,305,187</w:t>
            </w:r>
          </w:p>
        </w:tc>
        <w:tc>
          <w:tcPr>
            <w:tcW w:w="2660" w:type="dxa"/>
            <w:vAlign w:val="bottom"/>
            <w:tcBorders>
              <w:right w:val="single" w:sz="8" w:color="auto"/>
            </w:tcBorders>
          </w:tcPr>
          <w:p>
            <w:pPr>
              <w:jc w:val="center"/>
              <w:ind w:left="4"/>
              <w:spacing w:after="0"/>
              <w:rPr>
                <w:sz w:val="20"/>
                <w:szCs w:val="20"/>
                <w:color w:val="auto"/>
              </w:rPr>
            </w:pPr>
            <w:r>
              <w:rPr>
                <w:rFonts w:ascii="Arial" w:cs="Arial" w:eastAsia="Arial" w:hAnsi="Arial"/>
                <w:sz w:val="19"/>
                <w:szCs w:val="19"/>
                <w:color w:val="auto"/>
              </w:rPr>
              <w:t>95.990%</w:t>
            </w:r>
          </w:p>
        </w:tc>
        <w:tc>
          <w:tcPr>
            <w:tcW w:w="2680" w:type="dxa"/>
            <w:vAlign w:val="bottom"/>
            <w:tcBorders>
              <w:right w:val="single" w:sz="8" w:color="auto"/>
            </w:tcBorders>
          </w:tcPr>
          <w:p>
            <w:pPr>
              <w:jc w:val="right"/>
              <w:ind w:right="764"/>
              <w:spacing w:after="0"/>
              <w:rPr>
                <w:sz w:val="20"/>
                <w:szCs w:val="20"/>
                <w:color w:val="auto"/>
              </w:rPr>
            </w:pPr>
            <w:r>
              <w:rPr>
                <w:rFonts w:ascii="Arial" w:cs="Arial" w:eastAsia="Arial" w:hAnsi="Arial"/>
                <w:sz w:val="19"/>
                <w:szCs w:val="19"/>
                <w:color w:val="auto"/>
              </w:rPr>
              <w:t>2,602,596</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4.010%</w:t>
            </w:r>
          </w:p>
        </w:tc>
      </w:tr>
      <w:tr>
        <w:trPr>
          <w:trHeight w:val="30"/>
        </w:trPr>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26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700"/>
          </w:cols>
          <w:pgMar w:left="600" w:top="262" w:right="599" w:bottom="1440" w:gutter="0" w:footer="0" w:header="0"/>
        </w:sectPr>
      </w:pPr>
    </w:p>
    <w:bookmarkStart w:id="23" w:name="page24"/>
    <w:bookmarkEnd w:id="23"/>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Matters to be Considered at the Meeting</w:t>
      </w:r>
    </w:p>
    <w:p>
      <w:pPr>
        <w:spacing w:after="0" w:line="226" w:lineRule="exact"/>
        <w:rPr>
          <w:sz w:val="20"/>
          <w:szCs w:val="20"/>
          <w:color w:val="auto"/>
        </w:rPr>
      </w:pPr>
    </w:p>
    <w:p>
      <w:pPr>
        <w:ind w:left="520" w:hanging="520"/>
        <w:spacing w:after="0"/>
        <w:tabs>
          <w:tab w:leader="none" w:pos="520" w:val="left"/>
        </w:tabs>
        <w:numPr>
          <w:ilvl w:val="0"/>
          <w:numId w:val="7"/>
        </w:numPr>
        <w:rPr>
          <w:rFonts w:ascii="Arial" w:cs="Arial" w:eastAsia="Arial" w:hAnsi="Arial"/>
          <w:sz w:val="24"/>
          <w:szCs w:val="24"/>
          <w:b w:val="1"/>
          <w:bCs w:val="1"/>
          <w:color w:val="809AA2"/>
        </w:rPr>
      </w:pPr>
      <w:r>
        <w:rPr>
          <w:rFonts w:ascii="Arial" w:cs="Arial" w:eastAsia="Arial" w:hAnsi="Arial"/>
          <w:sz w:val="24"/>
          <w:szCs w:val="24"/>
          <w:b w:val="1"/>
          <w:bCs w:val="1"/>
          <w:color w:val="809AA2"/>
        </w:rPr>
        <w:t>Financial Statements</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financial statements of the Company for Fiscal 2025 and the auditors’ report thereon accompanying this Information Circular will be placed before the Shareholders at the Meeting. No formal action will be taken at the Meeting to approve the financial statements. If any Shareholder has questions regarding such financial statements, such questions may be brought forward at the Meeting.</w:t>
      </w:r>
    </w:p>
    <w:p>
      <w:pPr>
        <w:spacing w:after="0" w:line="13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Non-GAAP Financial Measures</w:t>
      </w:r>
    </w:p>
    <w:p>
      <w:pPr>
        <w:spacing w:after="0" w:line="167" w:lineRule="exact"/>
        <w:rPr>
          <w:sz w:val="20"/>
          <w:szCs w:val="20"/>
          <w:color w:val="auto"/>
        </w:rPr>
      </w:pPr>
    </w:p>
    <w:p>
      <w:pPr>
        <w:jc w:val="both"/>
        <w:spacing w:after="0"/>
        <w:rPr>
          <w:sz w:val="20"/>
          <w:szCs w:val="20"/>
          <w:color w:val="auto"/>
        </w:rPr>
      </w:pPr>
      <w:r>
        <w:rPr>
          <w:rFonts w:ascii="Arial" w:cs="Arial" w:eastAsia="Arial" w:hAnsi="Arial"/>
          <w:sz w:val="19"/>
          <w:szCs w:val="19"/>
          <w:color w:val="auto"/>
        </w:rPr>
        <w:t>To supplement the financial statements of the Company, which are prepared in accordance with IFRS</w:t>
      </w:r>
      <w:r>
        <w:rPr>
          <w:rFonts w:ascii="Arial" w:cs="Arial" w:eastAsia="Arial" w:hAnsi="Arial"/>
          <w:sz w:val="28"/>
          <w:szCs w:val="28"/>
          <w:color w:val="auto"/>
          <w:vertAlign w:val="superscript"/>
        </w:rPr>
        <w:t>®</w:t>
      </w:r>
      <w:r>
        <w:rPr>
          <w:rFonts w:ascii="Arial" w:cs="Arial" w:eastAsia="Arial" w:hAnsi="Arial"/>
          <w:sz w:val="19"/>
          <w:szCs w:val="19"/>
          <w:color w:val="auto"/>
        </w:rPr>
        <w:t xml:space="preserve"> Accounting Standards as issued by the International Accounting Standards Board (“</w:t>
      </w:r>
      <w:r>
        <w:rPr>
          <w:rFonts w:ascii="Arial" w:cs="Arial" w:eastAsia="Arial" w:hAnsi="Arial"/>
          <w:sz w:val="19"/>
          <w:szCs w:val="19"/>
          <w:b w:val="1"/>
          <w:bCs w:val="1"/>
          <w:color w:val="auto"/>
        </w:rPr>
        <w:t>IFRS Accounting Standards</w:t>
      </w:r>
      <w:r>
        <w:rPr>
          <w:rFonts w:ascii="Arial" w:cs="Arial" w:eastAsia="Arial" w:hAnsi="Arial"/>
          <w:sz w:val="19"/>
          <w:szCs w:val="19"/>
          <w:color w:val="auto"/>
        </w:rPr>
        <w:t>”), the Company used certain non-GAAP measures to evaluate the performance of Algoma. These terms do not have any standardized meaning prescribed within IFRS Accounting Standards and, therefore, may not be comparable to similar measures presented by other companies. Rather, these measures are provided as additional information to complement those IFRS Accounting Standards measures by providing a further understanding of Algoma’s financial performance. Accordingly, these measures should not be considered in isolation nor as a substitute for analysis of the Company’s financial information reported under IFRS Accounting Standards.</w:t>
      </w:r>
    </w:p>
    <w:p>
      <w:pPr>
        <w:spacing w:after="0" w:line="214" w:lineRule="exact"/>
        <w:rPr>
          <w:sz w:val="20"/>
          <w:szCs w:val="20"/>
          <w:color w:val="auto"/>
        </w:rPr>
      </w:pPr>
    </w:p>
    <w:p>
      <w:pPr>
        <w:jc w:val="both"/>
        <w:spacing w:after="0" w:line="232" w:lineRule="auto"/>
        <w:rPr>
          <w:sz w:val="20"/>
          <w:szCs w:val="20"/>
          <w:color w:val="auto"/>
        </w:rPr>
      </w:pPr>
      <w:r>
        <w:rPr>
          <w:rFonts w:ascii="Arial" w:cs="Arial" w:eastAsia="Arial" w:hAnsi="Arial"/>
          <w:sz w:val="19"/>
          <w:szCs w:val="19"/>
          <w:color w:val="auto"/>
        </w:rPr>
        <w:t>Adjusted EBITDA, as Algoma defines it, refers to net income (loss) before depreciation of property, plant, equipment and amortization of intangible assets, finance costs, interest on pension and other post-employment benefit obligations, income taxes, foreign exchange loss (gain), finance income, carbon tax, changes in fair value of Initial Public Offering and Large Enterprise Tariff Loan Warrants, earnout and share-based compensation liabilities and derivative, share-based compensation related to the Company’s Omnibus Long Term Incentive Plan, certain inventory adjustments, impairment loss, legal settlement, severance costs and stranded inventory. Adjusted EBITDA margin is calculated by dividing Adjusted EBITDA by revenue for the corresponding period. Adjusted EBITDA is not intended to represent cash flow from operations, as defined by IFRS Accounting Standards, and should not be considered as alternatives to net profit (loss) from operations, or any other measure of performance prescribed by IFRS Accounting Standards. Adjusted EBITDA, as the Company defines and uses it, may not be comparable to Adjusted EBITDA as defined and used by other companies. The Company considers Adjusted EBITDA to be a meaningful measure to assess Algoma’s operating performance in addition to IFRS Accounting Standards. It is included because it can be useful in measuring Algoma’s operating performance and its ability to expand the business and provide stakeholders with additional information for comparison of the Company’s operating results across different time periods. Adjusted EBITDA is also used by analysts and the Company’s lenders as a measure of our financial performance. However, these measures have limitations as analytical tools and should not be considered in isolation from, or as alternatives to, net income, cash flow from operations or other data prepared in accordance with IFRS Accounting Standards. Because of these limitations, such measures should not be considered as measures of discretionary cash available to invest in business growth or to reduce indebtedness. The Company compensates for these limitations by relying primarily on the IFRS Accounting Standards results using such measures only as supplements to such results.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680"/>
          </w:cols>
          <w:pgMar w:left="600" w:top="255" w:right="619" w:bottom="1440" w:gutter="0" w:footer="0" w:header="0"/>
        </w:sectPr>
      </w:pPr>
    </w:p>
    <w:bookmarkStart w:id="24" w:name="page25"/>
    <w:bookmarkEnd w:id="24"/>
    <w:p>
      <w:pPr>
        <w:ind w:left="520" w:hanging="520"/>
        <w:spacing w:after="0"/>
        <w:tabs>
          <w:tab w:leader="none" w:pos="520" w:val="left"/>
        </w:tabs>
        <w:numPr>
          <w:ilvl w:val="0"/>
          <w:numId w:val="8"/>
        </w:numPr>
        <w:rPr>
          <w:rFonts w:ascii="Arial" w:cs="Arial" w:eastAsia="Arial" w:hAnsi="Arial"/>
          <w:sz w:val="24"/>
          <w:szCs w:val="24"/>
          <w:b w:val="1"/>
          <w:bCs w:val="1"/>
          <w:color w:val="809AA2"/>
        </w:rPr>
      </w:pPr>
      <w:r>
        <w:rPr>
          <w:rFonts w:ascii="Arial" w:cs="Arial" w:eastAsia="Arial" w:hAnsi="Arial"/>
          <w:sz w:val="24"/>
          <w:szCs w:val="24"/>
          <w:b w:val="1"/>
          <w:bCs w:val="1"/>
          <w:color w:val="809AA2"/>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Election of Directors</w:t>
      </w:r>
    </w:p>
    <w:p>
      <w:pPr>
        <w:spacing w:after="0" w:line="18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Company’s Articles provide that the Board is to consist of a minimum of three and a maximum of 20 directors, with the actual number to be determined from time to time by the Board. The Board is currently comprised of nine directors and the present term of office of each Director will expire upon the election of Directors at the Meeting.</w:t>
      </w:r>
    </w:p>
    <w:p>
      <w:pPr>
        <w:spacing w:after="0" w:line="13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It is proposed that each of the persons whose name appears below be elected as a Director of the Company to serve, subject to the Articles and the </w:t>
      </w:r>
      <w:r>
        <w:rPr>
          <w:rFonts w:ascii="Arial" w:cs="Arial" w:eastAsia="Arial" w:hAnsi="Arial"/>
          <w:sz w:val="19"/>
          <w:szCs w:val="19"/>
          <w:i w:val="1"/>
          <w:iCs w:val="1"/>
          <w:color w:val="auto"/>
        </w:rPr>
        <w:t>Business Corporations Act</w:t>
      </w:r>
      <w:r>
        <w:rPr>
          <w:rFonts w:ascii="Arial" w:cs="Arial" w:eastAsia="Arial" w:hAnsi="Arial"/>
          <w:sz w:val="19"/>
          <w:szCs w:val="19"/>
          <w:color w:val="auto"/>
        </w:rPr>
        <w:t xml:space="preserve"> (British Columbia) (the “</w:t>
      </w:r>
      <w:r>
        <w:rPr>
          <w:rFonts w:ascii="Arial" w:cs="Arial" w:eastAsia="Arial" w:hAnsi="Arial"/>
          <w:sz w:val="19"/>
          <w:szCs w:val="19"/>
          <w:b w:val="1"/>
          <w:bCs w:val="1"/>
          <w:color w:val="auto"/>
        </w:rPr>
        <w:t>BCBCA</w:t>
      </w:r>
      <w:r>
        <w:rPr>
          <w:rFonts w:ascii="Arial" w:cs="Arial" w:eastAsia="Arial" w:hAnsi="Arial"/>
          <w:sz w:val="19"/>
          <w:szCs w:val="19"/>
          <w:color w:val="auto"/>
        </w:rPr>
        <w:t>”), until his or her successor is elected at the next annual meeting of Shareholders.</w:t>
      </w:r>
    </w:p>
    <w:p>
      <w:pPr>
        <w:spacing w:after="0" w:line="119"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persons named in the form of proxy and voting instruction form, if not expressly directed to the contrary in such form of proxy or voting instruction form, intend to vote for the election, as Directors, of the proposed nominees whose names are set out below. It is not contemplated that any of the proposed nominees will be unable to serve as a Director but, if that should occur for any reason prior to the Meeting, the persons named in the form of proxy and voting instruction form reserve the right to vote for another nominee at their discretion.</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Advance Notice Provisions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Articles provide for certain advance notice provisions with respect to the election of Directors (the “</w:t>
      </w:r>
      <w:r>
        <w:rPr>
          <w:rFonts w:ascii="Arial" w:cs="Arial" w:eastAsia="Arial" w:hAnsi="Arial"/>
          <w:sz w:val="19"/>
          <w:szCs w:val="19"/>
          <w:b w:val="1"/>
          <w:bCs w:val="1"/>
          <w:color w:val="auto"/>
        </w:rPr>
        <w:t>Advance Notice</w:t>
      </w:r>
      <w:r>
        <w:rPr>
          <w:rFonts w:ascii="Arial" w:cs="Arial" w:eastAsia="Arial" w:hAnsi="Arial"/>
          <w:sz w:val="19"/>
          <w:szCs w:val="19"/>
          <w:color w:val="auto"/>
        </w:rPr>
        <w:t xml:space="preserve"> </w:t>
      </w:r>
      <w:r>
        <w:rPr>
          <w:rFonts w:ascii="Arial" w:cs="Arial" w:eastAsia="Arial" w:hAnsi="Arial"/>
          <w:sz w:val="19"/>
          <w:szCs w:val="19"/>
          <w:b w:val="1"/>
          <w:bCs w:val="1"/>
          <w:color w:val="auto"/>
        </w:rPr>
        <w:t>Provisions</w:t>
      </w:r>
      <w:r>
        <w:rPr>
          <w:rFonts w:ascii="Arial" w:cs="Arial" w:eastAsia="Arial" w:hAnsi="Arial"/>
          <w:sz w:val="19"/>
          <w:szCs w:val="19"/>
          <w:color w:val="auto"/>
        </w:rPr>
        <w:t>”). The Advance Notice Provisions are intended to: (i) facilitate orderly and efficient annual general meetings or,</w:t>
      </w:r>
      <w:r>
        <w:rPr>
          <w:rFonts w:ascii="Arial" w:cs="Arial" w:eastAsia="Arial" w:hAnsi="Arial"/>
          <w:sz w:val="19"/>
          <w:szCs w:val="19"/>
          <w:b w:val="1"/>
          <w:bCs w:val="1"/>
          <w:color w:val="auto"/>
        </w:rPr>
        <w:t xml:space="preserve"> </w:t>
      </w:r>
      <w:r>
        <w:rPr>
          <w:rFonts w:ascii="Arial" w:cs="Arial" w:eastAsia="Arial" w:hAnsi="Arial"/>
          <w:sz w:val="19"/>
          <w:szCs w:val="19"/>
          <w:color w:val="auto"/>
        </w:rPr>
        <w:t>where the need arises, special meetings of Shareholders; (ii) ensure that all Shareholders receive adequate notice of Director nominations and sufficient information with respect to all nominees; and (iii) allow Shareholders to register an informed vote. Only persons who are nominated in accordance with the Advance Notice Provisions will be eligible for election as directors at any annual meeting of shareholders, or at any special meeting of Shareholders if one of the purposes for which the special meeting was called was the election of directors.</w:t>
      </w:r>
    </w:p>
    <w:p>
      <w:pPr>
        <w:spacing w:after="0" w:line="129" w:lineRule="exact"/>
        <w:rPr>
          <w:sz w:val="20"/>
          <w:szCs w:val="20"/>
          <w:color w:val="auto"/>
        </w:rPr>
      </w:pPr>
    </w:p>
    <w:p>
      <w:pPr>
        <w:jc w:val="both"/>
        <w:spacing w:after="0" w:line="211" w:lineRule="auto"/>
        <w:rPr>
          <w:sz w:val="20"/>
          <w:szCs w:val="20"/>
          <w:color w:val="auto"/>
        </w:rPr>
      </w:pPr>
      <w:r>
        <w:rPr>
          <w:rFonts w:ascii="Arial" w:cs="Arial" w:eastAsia="Arial" w:hAnsi="Arial"/>
          <w:sz w:val="19"/>
          <w:szCs w:val="19"/>
          <w:color w:val="auto"/>
        </w:rPr>
        <w:t>Under the Advance Notice Provisions, a Shareholder wishing to nominate a Director would be required to provide the Company with notice, in the prescribed form, within the prescribed time periods. These time periods include, (i) in the case of an annual meeting of Shareholders (including annual and special meetings), not less than 30 days prior to the date of the annual meeting of Shareholders; provided, that if the first public announcement of the date of the annual meeting of Shareholders (the “</w:t>
      </w:r>
      <w:r>
        <w:rPr>
          <w:rFonts w:ascii="Arial" w:cs="Arial" w:eastAsia="Arial" w:hAnsi="Arial"/>
          <w:sz w:val="19"/>
          <w:szCs w:val="19"/>
          <w:b w:val="1"/>
          <w:bCs w:val="1"/>
          <w:color w:val="auto"/>
        </w:rPr>
        <w:t>Notice Date</w:t>
      </w:r>
      <w:r>
        <w:rPr>
          <w:rFonts w:ascii="Arial" w:cs="Arial" w:eastAsia="Arial" w:hAnsi="Arial"/>
          <w:sz w:val="19"/>
          <w:szCs w:val="19"/>
          <w:color w:val="auto"/>
        </w:rPr>
        <w:t>”) is less than 50 days before the meeting date, not later than the close of business on the 10</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day following the Notice Date; and (ii) in the case of a special meeting (which is not also an annual meeting) of Shareholders called for any purpose which includes electing Directors, not later than the close of business on the 15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day following the day on which the first public announcement of the date of the special meeting of Shareholders was made.</w:t>
      </w:r>
    </w:p>
    <w:p>
      <w:pPr>
        <w:spacing w:after="0" w:line="128"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A copy of the Articles is available on the Company’s profile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on EDGAR at </w:t>
      </w:r>
      <w:r>
        <w:rPr>
          <w:rFonts w:ascii="Arial" w:cs="Arial" w:eastAsia="Arial" w:hAnsi="Arial"/>
          <w:sz w:val="19"/>
          <w:szCs w:val="19"/>
          <w:u w:val="single" w:color="auto"/>
          <w:color w:val="0000FF"/>
        </w:rPr>
        <w:t>www.sec.gov</w:t>
      </w:r>
      <w:r>
        <w:rPr>
          <w:rFonts w:ascii="Arial" w:cs="Arial" w:eastAsia="Arial" w:hAnsi="Arial"/>
          <w:sz w:val="19"/>
          <w:szCs w:val="19"/>
          <w:color w:val="000000"/>
        </w:rPr>
        <w:t>.</w:t>
      </w:r>
    </w:p>
    <w:p>
      <w:pPr>
        <w:spacing w:after="0" w:line="36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Majority Voting Policy</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In accordance with the requirements of the TSX, the Board has adopted a majority voting policy (the “</w:t>
      </w:r>
      <w:r>
        <w:rPr>
          <w:rFonts w:ascii="Arial" w:cs="Arial" w:eastAsia="Arial" w:hAnsi="Arial"/>
          <w:sz w:val="19"/>
          <w:szCs w:val="19"/>
          <w:b w:val="1"/>
          <w:bCs w:val="1"/>
          <w:color w:val="auto"/>
        </w:rPr>
        <w:t>Majority Voting</w:t>
      </w:r>
      <w:r>
        <w:rPr>
          <w:rFonts w:ascii="Arial" w:cs="Arial" w:eastAsia="Arial" w:hAnsi="Arial"/>
          <w:sz w:val="19"/>
          <w:szCs w:val="19"/>
          <w:color w:val="auto"/>
        </w:rPr>
        <w:t xml:space="preserve"> </w:t>
      </w:r>
      <w:r>
        <w:rPr>
          <w:rFonts w:ascii="Arial" w:cs="Arial" w:eastAsia="Arial" w:hAnsi="Arial"/>
          <w:sz w:val="19"/>
          <w:szCs w:val="19"/>
          <w:b w:val="1"/>
          <w:bCs w:val="1"/>
          <w:color w:val="auto"/>
        </w:rPr>
        <w:t>Policy</w:t>
      </w:r>
      <w:r>
        <w:rPr>
          <w:rFonts w:ascii="Arial" w:cs="Arial" w:eastAsia="Arial" w:hAnsi="Arial"/>
          <w:sz w:val="19"/>
          <w:szCs w:val="19"/>
          <w:color w:val="auto"/>
        </w:rPr>
        <w:t>”), which requires that in an uncontested election of Directors, if any nominee receives a greater number of votes</w:t>
      </w:r>
      <w:r>
        <w:rPr>
          <w:rFonts w:ascii="Arial" w:cs="Arial" w:eastAsia="Arial" w:hAnsi="Arial"/>
          <w:sz w:val="19"/>
          <w:szCs w:val="19"/>
          <w:b w:val="1"/>
          <w:bCs w:val="1"/>
          <w:color w:val="auto"/>
        </w:rPr>
        <w:t xml:space="preserve"> </w:t>
      </w:r>
      <w:r>
        <w:rPr>
          <w:rFonts w:ascii="Arial" w:cs="Arial" w:eastAsia="Arial" w:hAnsi="Arial"/>
          <w:sz w:val="19"/>
          <w:szCs w:val="19"/>
          <w:color w:val="auto"/>
        </w:rPr>
        <w:t>“withheld” than votes “for”, the nominee will tender</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680"/>
          </w:cols>
          <w:pgMar w:left="600" w:top="261" w:right="619" w:bottom="1440" w:gutter="0" w:footer="0" w:header="0"/>
        </w:sectPr>
      </w:pPr>
    </w:p>
    <w:bookmarkStart w:id="25" w:name="page26"/>
    <w:bookmarkEnd w:id="25"/>
    <w:p>
      <w:pPr>
        <w:jc w:val="both"/>
        <w:spacing w:after="0" w:line="23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his or her resignation to the chair of the Board promptly following the meeting of Shareholders. The nominating and governance committee of the Board (the “</w:t>
      </w:r>
      <w:r>
        <w:rPr>
          <w:rFonts w:ascii="Arial" w:cs="Arial" w:eastAsia="Arial" w:hAnsi="Arial"/>
          <w:sz w:val="19"/>
          <w:szCs w:val="19"/>
          <w:b w:val="1"/>
          <w:bCs w:val="1"/>
          <w:color w:val="auto"/>
        </w:rPr>
        <w:t>Nominating and Governance Committee</w:t>
      </w:r>
      <w:r>
        <w:rPr>
          <w:rFonts w:ascii="Arial" w:cs="Arial" w:eastAsia="Arial" w:hAnsi="Arial"/>
          <w:sz w:val="19"/>
          <w:szCs w:val="19"/>
          <w:color w:val="auto"/>
        </w:rPr>
        <w:t>”) will consider such offer and make a recommendation to the Board whether to accept it or not. The Board will promptly accept the resignation unless it determines that there are special circumstances that would warrant the continued service of the applicable director on the Board. The Board will make its decision and announce it in a press release within 90 days following the meeting of Shareholders. A Director who tenders a resignation pursuant to the Majority Voting Policy will not participate in any meeting of the Board or the Nominating and Governance Committee at which the resignation is considered.</w:t>
      </w:r>
    </w:p>
    <w:p>
      <w:pPr>
        <w:spacing w:after="0" w:line="12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A copy of the Majority Voting Policy is available on our website at </w:t>
      </w:r>
      <w:r>
        <w:rPr>
          <w:rFonts w:ascii="Arial" w:cs="Arial" w:eastAsia="Arial" w:hAnsi="Arial"/>
          <w:sz w:val="19"/>
          <w:szCs w:val="19"/>
          <w:u w:val="single" w:color="auto"/>
          <w:color w:val="0000FF"/>
        </w:rPr>
        <w:t>www.algoma.com</w:t>
      </w:r>
      <w:r>
        <w:rPr>
          <w:rFonts w:ascii="Arial" w:cs="Arial" w:eastAsia="Arial" w:hAnsi="Arial"/>
          <w:sz w:val="19"/>
          <w:szCs w:val="19"/>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Information concerning experience, qualifications, attributes and skills of the director nominees</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Our director nominees possess a diverse range of skills and experience aligned with the Company’s strategic priorities and evolving business needs. The Board includes expertise across areas critical to the Company’s operations and long-term success, and its directors demonstrate high integrity, sound judgement, and a strong understanding of corporate governance and leading practices. Annual board evaluations assess whether the Board maintains an appropriate mix of skills, experience, perspectives, and other attributes necessary for effective oversight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680"/>
          </w:cols>
          <w:pgMar w:left="600" w:top="262" w:right="619" w:bottom="1440" w:gutter="0" w:footer="0" w:header="0"/>
        </w:sectPr>
      </w:pPr>
    </w:p>
    <w:bookmarkStart w:id="26" w:name="page27"/>
    <w:bookmarkEnd w:id="26"/>
    <w:p>
      <w:pPr>
        <w:spacing w:after="0"/>
        <w:rPr>
          <w:sz w:val="20"/>
          <w:szCs w:val="20"/>
          <w:color w:val="auto"/>
        </w:rPr>
      </w:pPr>
      <w:r>
        <w:rPr>
          <w:rFonts w:ascii="Arial" w:cs="Arial" w:eastAsia="Arial" w:hAnsi="Arial"/>
          <w:sz w:val="21"/>
          <w:szCs w:val="21"/>
          <w:b w:val="1"/>
          <w:bCs w:val="1"/>
          <w:i w:val="1"/>
          <w:iCs w:val="1"/>
          <w:color w:val="2E9947"/>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236220</wp:posOffset>
            </wp:positionV>
            <wp:extent cx="5406390" cy="4616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06390" cy="461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4"/>
          <w:szCs w:val="24"/>
          <w:b w:val="1"/>
          <w:bCs w:val="1"/>
          <w:color w:val="2E9947"/>
        </w:rPr>
        <w:t>About the Nominees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following information sets forth the names of, and certain other biographical information for, the 9 individuals proposed to be nominated for election as Directors at the Meeting.</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For the purposes of this Information Circular, “</w:t>
      </w:r>
      <w:r>
        <w:rPr>
          <w:rFonts w:ascii="Arial" w:cs="Arial" w:eastAsia="Arial" w:hAnsi="Arial"/>
          <w:sz w:val="19"/>
          <w:szCs w:val="19"/>
          <w:b w:val="1"/>
          <w:bCs w:val="1"/>
          <w:color w:val="auto"/>
        </w:rPr>
        <w:t>RSUs</w:t>
      </w:r>
      <w:r>
        <w:rPr>
          <w:rFonts w:ascii="Arial" w:cs="Arial" w:eastAsia="Arial" w:hAnsi="Arial"/>
          <w:sz w:val="19"/>
          <w:szCs w:val="19"/>
          <w:color w:val="auto"/>
        </w:rPr>
        <w:t>” means restricted share units, “</w:t>
      </w:r>
      <w:r>
        <w:rPr>
          <w:rFonts w:ascii="Arial" w:cs="Arial" w:eastAsia="Arial" w:hAnsi="Arial"/>
          <w:sz w:val="19"/>
          <w:szCs w:val="19"/>
          <w:b w:val="1"/>
          <w:bCs w:val="1"/>
          <w:color w:val="auto"/>
        </w:rPr>
        <w:t>PSUs</w:t>
      </w:r>
      <w:r>
        <w:rPr>
          <w:rFonts w:ascii="Arial" w:cs="Arial" w:eastAsia="Arial" w:hAnsi="Arial"/>
          <w:sz w:val="19"/>
          <w:szCs w:val="19"/>
          <w:color w:val="auto"/>
        </w:rPr>
        <w:t>” means performance share units, and “</w:t>
      </w:r>
      <w:r>
        <w:rPr>
          <w:rFonts w:ascii="Arial" w:cs="Arial" w:eastAsia="Arial" w:hAnsi="Arial"/>
          <w:sz w:val="19"/>
          <w:szCs w:val="19"/>
          <w:b w:val="1"/>
          <w:bCs w:val="1"/>
          <w:color w:val="auto"/>
        </w:rPr>
        <w:t>DSUs</w:t>
      </w:r>
      <w:r>
        <w:rPr>
          <w:rFonts w:ascii="Arial" w:cs="Arial" w:eastAsia="Arial" w:hAnsi="Arial"/>
          <w:sz w:val="19"/>
          <w:szCs w:val="19"/>
          <w:color w:val="auto"/>
        </w:rPr>
        <w:t>” means deferred share units, collectively granted under the omnibus incentive plan (the “</w:t>
      </w:r>
      <w:r>
        <w:rPr>
          <w:rFonts w:ascii="Arial" w:cs="Arial" w:eastAsia="Arial" w:hAnsi="Arial"/>
          <w:sz w:val="19"/>
          <w:szCs w:val="19"/>
          <w:b w:val="1"/>
          <w:bCs w:val="1"/>
          <w:color w:val="auto"/>
        </w:rPr>
        <w:t>Omnibus Incentive</w:t>
      </w:r>
      <w:r>
        <w:rPr>
          <w:rFonts w:ascii="Arial" w:cs="Arial" w:eastAsia="Arial" w:hAnsi="Arial"/>
          <w:sz w:val="19"/>
          <w:szCs w:val="19"/>
          <w:color w:val="auto"/>
        </w:rPr>
        <w:t xml:space="preserv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680"/>
          </w:cols>
          <w:pgMar w:left="600" w:top="259" w:right="619" w:bottom="1440" w:gutter="0" w:footer="0" w:header="0"/>
        </w:sectPr>
      </w:pPr>
    </w:p>
    <w:bookmarkStart w:id="27" w:name="page28"/>
    <w:bookmarkEnd w:id="27"/>
    <w:tbl>
      <w:tblPr>
        <w:tblLayout w:type="fixed"/>
        <w:tblInd w:w="340" w:type="dxa"/>
        <w:tblCellMar>
          <w:top w:w="0" w:type="dxa"/>
          <w:left w:w="0" w:type="dxa"/>
          <w:bottom w:w="0" w:type="dxa"/>
          <w:right w:w="0" w:type="dxa"/>
        </w:tblCellMar>
      </w:tblPr>
      <w:tr>
        <w:trPr>
          <w:trHeight w:val="287"/>
        </w:trPr>
        <w:tc>
          <w:tcPr>
            <w:tcW w:w="2520" w:type="dxa"/>
            <w:vAlign w:val="bottom"/>
          </w:tcPr>
          <w:p>
            <w:pPr>
              <w:spacing w:after="0"/>
              <w:rPr>
                <w:sz w:val="20"/>
                <w:szCs w:val="20"/>
                <w:color w:val="auto"/>
              </w:rPr>
            </w:pPr>
            <w:r>
              <w:rPr>
                <w:rFonts w:ascii="Arial" w:cs="Arial" w:eastAsia="Arial" w:hAnsi="Arial"/>
                <w:sz w:val="17"/>
                <w:szCs w:val="17"/>
                <w:b w:val="1"/>
                <w:bCs w:val="1"/>
                <w:color w:val="auto"/>
              </w:rPr>
              <w:t>MARY ANNE BUESCHKENS</w:t>
            </w:r>
          </w:p>
        </w:tc>
        <w:tc>
          <w:tcPr>
            <w:tcW w:w="7820" w:type="dxa"/>
            <w:vAlign w:val="bottom"/>
            <w:shd w:val="clear" w:color="auto" w:fill="003445"/>
          </w:tcPr>
          <w:p>
            <w:pPr>
              <w:ind w:left="1860"/>
              <w:spacing w:after="0"/>
              <w:rPr>
                <w:sz w:val="20"/>
                <w:szCs w:val="20"/>
                <w:color w:val="auto"/>
              </w:rPr>
            </w:pPr>
            <w:r>
              <w:rPr>
                <w:rFonts w:ascii="Arial" w:cs="Arial" w:eastAsia="Arial" w:hAnsi="Arial"/>
                <w:sz w:val="17"/>
                <w:szCs w:val="17"/>
                <w:b w:val="1"/>
                <w:bCs w:val="1"/>
                <w:color w:val="FFFFFF"/>
              </w:rPr>
              <w:t>Biographical Information and Principal Occupation</w:t>
            </w:r>
          </w:p>
        </w:tc>
      </w:tr>
      <w:tr>
        <w:trPr>
          <w:trHeight w:val="28"/>
        </w:trPr>
        <w:tc>
          <w:tcPr>
            <w:tcW w:w="2520" w:type="dxa"/>
            <w:vAlign w:val="bottom"/>
          </w:tcPr>
          <w:p>
            <w:pPr>
              <w:spacing w:after="0"/>
              <w:rPr>
                <w:sz w:val="2"/>
                <w:szCs w:val="2"/>
                <w:color w:val="auto"/>
              </w:rPr>
            </w:pPr>
          </w:p>
        </w:tc>
        <w:tc>
          <w:tcPr>
            <w:tcW w:w="7820" w:type="dxa"/>
            <w:vAlign w:val="bottom"/>
            <w:shd w:val="clear" w:color="auto" w:fill="003445"/>
          </w:tcPr>
          <w:p>
            <w:pPr>
              <w:spacing w:after="0"/>
              <w:rPr>
                <w:sz w:val="2"/>
                <w:szCs w:val="2"/>
                <w:color w:val="auto"/>
              </w:rPr>
            </w:pPr>
          </w:p>
        </w:tc>
      </w:tr>
    </w:tbl>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880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675" cy="5880735"/>
                    </a:xfrm>
                    <a:prstGeom prst="rect">
                      <a:avLst/>
                    </a:prstGeom>
                    <a:noFill/>
                  </pic:spPr>
                </pic:pic>
              </a:graphicData>
            </a:graphic>
          </wp:anchor>
        </w:drawing>
      </w:r>
    </w:p>
    <w:p>
      <w:pPr>
        <w:ind w:left="3000" w:right="60"/>
        <w:spacing w:after="0" w:line="249" w:lineRule="auto"/>
        <w:rPr>
          <w:sz w:val="20"/>
          <w:szCs w:val="20"/>
          <w:color w:val="auto"/>
        </w:rPr>
      </w:pPr>
      <w:r>
        <w:rPr>
          <w:rFonts w:ascii="Arial" w:cs="Arial" w:eastAsia="Arial" w:hAnsi="Arial"/>
          <w:sz w:val="17"/>
          <w:szCs w:val="17"/>
          <w:color w:val="auto"/>
        </w:rPr>
        <w:t>Ms. Mary Anne Bueschkens is a globally experienced business executive, corporate director, and attorney who has spent over 30 years in strategic business transformation, international expansion, R&amp;D commercialization, enterprise risk management and corporate governance within the manufacturing and automotive sectors. She champions sustainability, safety, talent management, innovation, ethical governance, and operational excellence as critical drivers of long-term corporate success.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80" w:type="dxa"/>
            <w:vAlign w:val="bottom"/>
          </w:tcPr>
          <w:p>
            <w:pPr>
              <w:spacing w:after="0"/>
              <w:rPr>
                <w:sz w:val="17"/>
                <w:szCs w:val="17"/>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From 2009 to 2021, Mary Anne held key leadership positions at ABC Technologies Inc. (now 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Automotive), including General Counsel, President, CEO, and Vice-Chair of the Board of Directors.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ABC Technologies is a leading global Tier 1 automotive parts supplier with over 35 facilities located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in 10 countries. Additionally, she served on the board and audit committee of ACPS (formerly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Bosal), a private equity owned Tier 1 European and North American automotive parts supplier.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880" w:type="dxa"/>
            <w:vAlign w:val="bottom"/>
          </w:tcPr>
          <w:p>
            <w:pPr>
              <w:spacing w:after="0"/>
              <w:rPr>
                <w:sz w:val="24"/>
                <w:szCs w:val="24"/>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Prior to her role at ABC Technologies, Mary Anne was a senior tax partner at a national Canadian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law firm, where she led the National Tax Group and served on the Executive Management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Committee, advising clients on international business structuring, governance, risk management,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880" w:type="dxa"/>
            <w:vAlign w:val="bottom"/>
            <w:tcBorders>
              <w:bottom w:val="single" w:sz="8" w:color="auto"/>
            </w:tcBorders>
          </w:tcPr>
          <w:p>
            <w:pPr>
              <w:spacing w:after="0"/>
              <w:rPr>
                <w:sz w:val="8"/>
                <w:szCs w:val="8"/>
                <w:color w:val="auto"/>
              </w:rPr>
            </w:pPr>
          </w:p>
        </w:tc>
        <w:tc>
          <w:tcPr>
            <w:tcW w:w="7800" w:type="dxa"/>
            <w:vAlign w:val="bottom"/>
            <w:gridSpan w:val="5"/>
            <w:vMerge w:val="restart"/>
          </w:tcPr>
          <w:p>
            <w:pPr>
              <w:ind w:left="120"/>
              <w:spacing w:after="0"/>
              <w:rPr>
                <w:sz w:val="20"/>
                <w:szCs w:val="20"/>
                <w:color w:val="auto"/>
              </w:rPr>
            </w:pPr>
            <w:r>
              <w:rPr>
                <w:rFonts w:ascii="Arial" w:cs="Arial" w:eastAsia="Arial" w:hAnsi="Arial"/>
                <w:sz w:val="17"/>
                <w:szCs w:val="17"/>
                <w:color w:val="auto"/>
              </w:rPr>
              <w:t>and succession planning. She earned a B.Sc., B.Comm., and MBA from the University of Windsor,</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880" w:type="dxa"/>
            <w:vAlign w:val="bottom"/>
            <w:vMerge w:val="restart"/>
          </w:tcPr>
          <w:p>
            <w:pPr>
              <w:ind w:left="160"/>
              <w:spacing w:after="0"/>
              <w:rPr>
                <w:sz w:val="20"/>
                <w:szCs w:val="20"/>
                <w:color w:val="auto"/>
              </w:rPr>
            </w:pPr>
            <w:r>
              <w:rPr>
                <w:rFonts w:ascii="Arial" w:cs="Arial" w:eastAsia="Arial" w:hAnsi="Arial"/>
                <w:sz w:val="17"/>
                <w:szCs w:val="17"/>
                <w:color w:val="auto"/>
              </w:rPr>
              <w:t>Age: 64</w:t>
            </w:r>
          </w:p>
        </w:tc>
        <w:tc>
          <w:tcPr>
            <w:tcW w:w="780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880" w:type="dxa"/>
            <w:vAlign w:val="bottom"/>
            <w:vMerge w:val="continue"/>
          </w:tcPr>
          <w:p>
            <w:pPr>
              <w:spacing w:after="0"/>
              <w:rPr>
                <w:sz w:val="15"/>
                <w:szCs w:val="15"/>
                <w:color w:val="auto"/>
              </w:rPr>
            </w:pPr>
          </w:p>
        </w:tc>
        <w:tc>
          <w:tcPr>
            <w:tcW w:w="7800" w:type="dxa"/>
            <w:vAlign w:val="bottom"/>
            <w:gridSpan w:val="5"/>
          </w:tcPr>
          <w:p>
            <w:pPr>
              <w:ind w:left="120"/>
              <w:spacing w:after="0" w:line="174" w:lineRule="exact"/>
              <w:rPr>
                <w:sz w:val="20"/>
                <w:szCs w:val="20"/>
                <w:color w:val="auto"/>
              </w:rPr>
            </w:pPr>
            <w:r>
              <w:rPr>
                <w:rFonts w:ascii="Arial" w:cs="Arial" w:eastAsia="Arial" w:hAnsi="Arial"/>
                <w:sz w:val="17"/>
                <w:szCs w:val="17"/>
                <w:color w:val="auto"/>
              </w:rPr>
              <w:t>and a J.D. Law from Osgoode Hall Law School, York University, Toronto.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80" w:type="dxa"/>
            <w:vAlign w:val="bottom"/>
          </w:tcPr>
          <w:p>
            <w:pPr>
              <w:ind w:left="160"/>
              <w:spacing w:after="0" w:line="188" w:lineRule="exact"/>
              <w:rPr>
                <w:sz w:val="20"/>
                <w:szCs w:val="20"/>
                <w:color w:val="auto"/>
              </w:rPr>
            </w:pPr>
            <w:r>
              <w:rPr>
                <w:rFonts w:ascii="Arial" w:cs="Arial" w:eastAsia="Arial" w:hAnsi="Arial"/>
                <w:sz w:val="19"/>
                <w:szCs w:val="19"/>
                <w:color w:val="auto"/>
              </w:rPr>
              <w:t>Location: Oakville, Ontario,</w:t>
            </w: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880" w:type="dxa"/>
            <w:vAlign w:val="bottom"/>
          </w:tcPr>
          <w:p>
            <w:pPr>
              <w:ind w:left="160"/>
              <w:spacing w:after="0"/>
              <w:rPr>
                <w:sz w:val="20"/>
                <w:szCs w:val="20"/>
                <w:color w:val="auto"/>
              </w:rPr>
            </w:pPr>
            <w:r>
              <w:rPr>
                <w:rFonts w:ascii="Arial" w:cs="Arial" w:eastAsia="Arial" w:hAnsi="Arial"/>
                <w:sz w:val="19"/>
                <w:szCs w:val="19"/>
                <w:color w:val="auto"/>
              </w:rPr>
              <w:t>Canada</w:t>
            </w: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Mary Anne holds the ICD.D designation from the Institute of Corporate Directors and the GCB.D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880" w:type="dxa"/>
            <w:vAlign w:val="bottom"/>
          </w:tcPr>
          <w:p>
            <w:pPr>
              <w:ind w:left="160"/>
              <w:spacing w:after="0"/>
              <w:rPr>
                <w:sz w:val="20"/>
                <w:szCs w:val="20"/>
                <w:color w:val="auto"/>
              </w:rPr>
            </w:pPr>
            <w:r>
              <w:rPr>
                <w:rFonts w:ascii="Arial" w:cs="Arial" w:eastAsia="Arial" w:hAnsi="Arial"/>
                <w:sz w:val="17"/>
                <w:szCs w:val="17"/>
                <w:color w:val="auto"/>
              </w:rPr>
              <w:t>Director Since: October 2021</w:t>
            </w: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designation in Sustainability and ESG from Global Competent Boards. She has also completed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certificate courses in Board Oversight of Business Strategy, Artificial Intelligence, HRCC Board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Effectiveness, and Climate Change for public company boards. Mary Anne currently serves on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7800" w:type="dxa"/>
            <w:vAlign w:val="bottom"/>
            <w:gridSpan w:val="5"/>
          </w:tcPr>
          <w:p>
            <w:pPr>
              <w:ind w:left="120"/>
              <w:spacing w:after="0"/>
              <w:rPr>
                <w:sz w:val="20"/>
                <w:szCs w:val="20"/>
                <w:color w:val="auto"/>
              </w:rPr>
            </w:pPr>
            <w:r>
              <w:rPr>
                <w:rFonts w:ascii="Arial" w:cs="Arial" w:eastAsia="Arial" w:hAnsi="Arial"/>
                <w:sz w:val="17"/>
                <w:szCs w:val="17"/>
                <w:color w:val="auto"/>
              </w:rPr>
              <w:t>Board of Governors of the Royal Ontario Museum in Toronto.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880" w:type="dxa"/>
            <w:vAlign w:val="bottom"/>
            <w:tcBorders>
              <w:bottom w:val="single" w:sz="8" w:color="231F20"/>
            </w:tcBorders>
          </w:tcPr>
          <w:p>
            <w:pPr>
              <w:spacing w:after="0"/>
              <w:rPr>
                <w:sz w:val="6"/>
                <w:szCs w:val="6"/>
                <w:color w:val="auto"/>
              </w:rPr>
            </w:pPr>
          </w:p>
        </w:tc>
        <w:tc>
          <w:tcPr>
            <w:tcW w:w="1520" w:type="dxa"/>
            <w:vAlign w:val="bottom"/>
            <w:tcBorders>
              <w:bottom w:val="single" w:sz="8" w:color="231F20"/>
            </w:tcBorders>
          </w:tcPr>
          <w:p>
            <w:pPr>
              <w:spacing w:after="0"/>
              <w:rPr>
                <w:sz w:val="6"/>
                <w:szCs w:val="6"/>
                <w:color w:val="auto"/>
              </w:rPr>
            </w:pPr>
          </w:p>
        </w:tc>
        <w:tc>
          <w:tcPr>
            <w:tcW w:w="540" w:type="dxa"/>
            <w:vAlign w:val="bottom"/>
            <w:tcBorders>
              <w:bottom w:val="single" w:sz="8" w:color="231F20"/>
            </w:tcBorders>
          </w:tcPr>
          <w:p>
            <w:pPr>
              <w:spacing w:after="0"/>
              <w:rPr>
                <w:sz w:val="6"/>
                <w:szCs w:val="6"/>
                <w:color w:val="auto"/>
              </w:rPr>
            </w:pPr>
          </w:p>
        </w:tc>
        <w:tc>
          <w:tcPr>
            <w:tcW w:w="520" w:type="dxa"/>
            <w:vAlign w:val="bottom"/>
            <w:tcBorders>
              <w:bottom w:val="single" w:sz="8" w:color="231F20"/>
            </w:tcBorders>
          </w:tcPr>
          <w:p>
            <w:pPr>
              <w:spacing w:after="0"/>
              <w:rPr>
                <w:sz w:val="6"/>
                <w:szCs w:val="6"/>
                <w:color w:val="auto"/>
              </w:rPr>
            </w:pPr>
          </w:p>
        </w:tc>
        <w:tc>
          <w:tcPr>
            <w:tcW w:w="1840" w:type="dxa"/>
            <w:vAlign w:val="bottom"/>
            <w:tcBorders>
              <w:bottom w:val="single" w:sz="8" w:color="231F20"/>
            </w:tcBorders>
          </w:tcPr>
          <w:p>
            <w:pPr>
              <w:spacing w:after="0"/>
              <w:rPr>
                <w:sz w:val="6"/>
                <w:szCs w:val="6"/>
                <w:color w:val="auto"/>
              </w:rPr>
            </w:pPr>
          </w:p>
        </w:tc>
        <w:tc>
          <w:tcPr>
            <w:tcW w:w="3380" w:type="dxa"/>
            <w:vAlign w:val="bottom"/>
            <w:tcBorders>
              <w:bottom w:val="single" w:sz="8" w:color="231F20"/>
            </w:tcBorders>
          </w:tcPr>
          <w:p>
            <w:pPr>
              <w:spacing w:after="0"/>
              <w:rPr>
                <w:sz w:val="6"/>
                <w:szCs w:val="6"/>
                <w:color w:val="auto"/>
              </w:rPr>
            </w:pPr>
          </w:p>
        </w:tc>
        <w:tc>
          <w:tcPr>
            <w:tcW w:w="20" w:type="dxa"/>
            <w:vAlign w:val="bottom"/>
            <w:tcBorders>
              <w:bottom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301"/>
        </w:trPr>
        <w:tc>
          <w:tcPr>
            <w:tcW w:w="2880" w:type="dxa"/>
            <w:vAlign w:val="bottom"/>
            <w:tcBorders>
              <w:bottom w:val="single" w:sz="8" w:color="231F20"/>
              <w:right w:val="single" w:sz="8" w:color="231F20"/>
            </w:tcBorders>
          </w:tcPr>
          <w:p>
            <w:pPr>
              <w:ind w:left="160"/>
              <w:spacing w:after="0"/>
              <w:rPr>
                <w:sz w:val="20"/>
                <w:szCs w:val="20"/>
                <w:color w:val="auto"/>
              </w:rPr>
            </w:pPr>
            <w:r>
              <w:rPr>
                <w:rFonts w:ascii="Arial" w:cs="Arial" w:eastAsia="Arial" w:hAnsi="Arial"/>
                <w:sz w:val="19"/>
                <w:szCs w:val="19"/>
                <w:color w:val="auto"/>
              </w:rPr>
              <w:t xml:space="preserve">Status: </w:t>
            </w:r>
            <w:r>
              <w:rPr>
                <w:rFonts w:ascii="Arial" w:cs="Arial" w:eastAsia="Arial" w:hAnsi="Arial"/>
                <w:sz w:val="19"/>
                <w:szCs w:val="19"/>
                <w:b w:val="1"/>
                <w:bCs w:val="1"/>
                <w:color w:val="auto"/>
              </w:rPr>
              <w:t>INDEPENDENT</w:t>
            </w:r>
          </w:p>
        </w:tc>
        <w:tc>
          <w:tcPr>
            <w:tcW w:w="1520" w:type="dxa"/>
            <w:vAlign w:val="bottom"/>
            <w:tcBorders>
              <w:bottom w:val="single" w:sz="8" w:color="231F20"/>
            </w:tcBorders>
            <w:shd w:val="clear" w:color="auto" w:fill="003445"/>
          </w:tcPr>
          <w:p>
            <w:pPr>
              <w:spacing w:after="0"/>
              <w:rPr>
                <w:sz w:val="24"/>
                <w:szCs w:val="24"/>
                <w:color w:val="auto"/>
              </w:rPr>
            </w:pPr>
          </w:p>
        </w:tc>
        <w:tc>
          <w:tcPr>
            <w:tcW w:w="540" w:type="dxa"/>
            <w:vAlign w:val="bottom"/>
            <w:tcBorders>
              <w:bottom w:val="single" w:sz="8" w:color="231F20"/>
              <w:right w:val="single" w:sz="8" w:color="003445"/>
            </w:tcBorders>
            <w:shd w:val="clear" w:color="auto" w:fill="003445"/>
          </w:tcPr>
          <w:p>
            <w:pPr>
              <w:spacing w:after="0"/>
              <w:rPr>
                <w:sz w:val="24"/>
                <w:szCs w:val="24"/>
                <w:color w:val="auto"/>
              </w:rPr>
            </w:pPr>
          </w:p>
        </w:tc>
        <w:tc>
          <w:tcPr>
            <w:tcW w:w="5740" w:type="dxa"/>
            <w:vAlign w:val="bottom"/>
            <w:tcBorders>
              <w:bottom w:val="single" w:sz="8" w:color="231F20"/>
            </w:tcBorders>
            <w:gridSpan w:val="3"/>
            <w:shd w:val="clear" w:color="auto" w:fill="003445"/>
          </w:tcPr>
          <w:p>
            <w:pPr>
              <w:jc w:val="right"/>
              <w:ind w:right="2388"/>
              <w:spacing w:after="0"/>
              <w:rPr>
                <w:sz w:val="20"/>
                <w:szCs w:val="20"/>
                <w:color w:val="auto"/>
              </w:rPr>
            </w:pPr>
            <w:r>
              <w:rPr>
                <w:rFonts w:ascii="Arial" w:cs="Arial" w:eastAsia="Arial" w:hAnsi="Arial"/>
                <w:sz w:val="17"/>
                <w:szCs w:val="17"/>
                <w:b w:val="1"/>
                <w:bCs w:val="1"/>
                <w:color w:val="FFFFFF"/>
              </w:rPr>
              <w:t>Other Public Board Memberships</w:t>
            </w: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80" w:type="dxa"/>
            <w:vAlign w:val="bottom"/>
            <w:tcBorders>
              <w:bottom w:val="single" w:sz="8" w:color="231F20"/>
              <w:right w:val="single" w:sz="8" w:color="231F20"/>
            </w:tcBorders>
          </w:tcPr>
          <w:p>
            <w:pPr>
              <w:spacing w:after="0"/>
              <w:rPr>
                <w:sz w:val="22"/>
                <w:szCs w:val="22"/>
                <w:color w:val="auto"/>
              </w:rPr>
            </w:pPr>
          </w:p>
        </w:tc>
        <w:tc>
          <w:tcPr>
            <w:tcW w:w="152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tcPr>
          <w:p>
            <w:pPr>
              <w:spacing w:after="0"/>
              <w:rPr>
                <w:sz w:val="22"/>
                <w:szCs w:val="22"/>
                <w:color w:val="auto"/>
              </w:rPr>
            </w:pPr>
          </w:p>
        </w:tc>
        <w:tc>
          <w:tcPr>
            <w:tcW w:w="520" w:type="dxa"/>
            <w:vAlign w:val="bottom"/>
            <w:tcBorders>
              <w:bottom w:val="single" w:sz="8" w:color="231F20"/>
            </w:tcBorders>
          </w:tcPr>
          <w:p>
            <w:pPr>
              <w:spacing w:after="0"/>
              <w:rPr>
                <w:sz w:val="22"/>
                <w:szCs w:val="22"/>
                <w:color w:val="auto"/>
              </w:rPr>
            </w:pPr>
          </w:p>
        </w:tc>
        <w:tc>
          <w:tcPr>
            <w:tcW w:w="1840" w:type="dxa"/>
            <w:vAlign w:val="bottom"/>
            <w:tcBorders>
              <w:bottom w:val="single" w:sz="8" w:color="231F20"/>
            </w:tcBorders>
          </w:tcPr>
          <w:p>
            <w:pPr>
              <w:spacing w:after="0"/>
              <w:rPr>
                <w:sz w:val="22"/>
                <w:szCs w:val="22"/>
                <w:color w:val="auto"/>
              </w:rPr>
            </w:pPr>
          </w:p>
        </w:tc>
        <w:tc>
          <w:tcPr>
            <w:tcW w:w="3380" w:type="dxa"/>
            <w:vAlign w:val="bottom"/>
            <w:tcBorders>
              <w:bottom w:val="single" w:sz="8" w:color="231F20"/>
            </w:tcBorders>
          </w:tcPr>
          <w:p>
            <w:pPr>
              <w:spacing w:after="0"/>
              <w:rPr>
                <w:sz w:val="22"/>
                <w:szCs w:val="22"/>
                <w:color w:val="auto"/>
              </w:rPr>
            </w:pPr>
          </w:p>
        </w:tc>
        <w:tc>
          <w:tcPr>
            <w:tcW w:w="2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4400" w:type="dxa"/>
            <w:vAlign w:val="bottom"/>
            <w:gridSpan w:val="2"/>
            <w:vMerge w:val="restart"/>
            <w:shd w:val="clear" w:color="auto" w:fill="003445"/>
          </w:tcPr>
          <w:p>
            <w:pPr>
              <w:jc w:val="center"/>
              <w:ind w:left="587"/>
              <w:spacing w:after="0"/>
              <w:rPr>
                <w:sz w:val="20"/>
                <w:szCs w:val="20"/>
                <w:color w:val="auto"/>
              </w:rPr>
            </w:pPr>
            <w:r>
              <w:rPr>
                <w:rFonts w:ascii="Arial" w:cs="Arial" w:eastAsia="Arial" w:hAnsi="Arial"/>
                <w:sz w:val="19"/>
                <w:szCs w:val="19"/>
                <w:b w:val="1"/>
                <w:bCs w:val="1"/>
                <w:color w:val="FFFFFF"/>
              </w:rPr>
              <w:t>Board / Committee Memberships</w:t>
            </w:r>
          </w:p>
        </w:tc>
        <w:tc>
          <w:tcPr>
            <w:tcW w:w="540" w:type="dxa"/>
            <w:vAlign w:val="bottom"/>
            <w:tcBorders>
              <w:right w:val="single" w:sz="8" w:color="231F20"/>
            </w:tcBorders>
            <w:shd w:val="clear" w:color="auto" w:fill="003445"/>
          </w:tcPr>
          <w:p>
            <w:pPr>
              <w:spacing w:after="0"/>
              <w:rPr>
                <w:sz w:val="18"/>
                <w:szCs w:val="18"/>
                <w:color w:val="auto"/>
              </w:rPr>
            </w:pPr>
          </w:p>
        </w:tc>
        <w:tc>
          <w:tcPr>
            <w:tcW w:w="520" w:type="dxa"/>
            <w:vAlign w:val="bottom"/>
            <w:tcBorders>
              <w:right w:val="single" w:sz="8" w:color="003445"/>
            </w:tcBorders>
            <w:shd w:val="clear" w:color="auto" w:fill="003445"/>
          </w:tcPr>
          <w:p>
            <w:pPr>
              <w:spacing w:after="0"/>
              <w:rPr>
                <w:sz w:val="18"/>
                <w:szCs w:val="18"/>
                <w:color w:val="auto"/>
              </w:rPr>
            </w:pPr>
          </w:p>
        </w:tc>
        <w:tc>
          <w:tcPr>
            <w:tcW w:w="1840" w:type="dxa"/>
            <w:vAlign w:val="bottom"/>
            <w:tcBorders>
              <w:right w:val="single" w:sz="8" w:color="231F20"/>
            </w:tcBorders>
            <w:shd w:val="clear" w:color="auto" w:fill="003445"/>
          </w:tcPr>
          <w:p>
            <w:pPr>
              <w:jc w:val="center"/>
              <w:ind w:right="344"/>
              <w:spacing w:after="0"/>
              <w:rPr>
                <w:sz w:val="20"/>
                <w:szCs w:val="20"/>
                <w:color w:val="auto"/>
              </w:rPr>
            </w:pPr>
            <w:r>
              <w:rPr>
                <w:rFonts w:ascii="Arial" w:cs="Arial" w:eastAsia="Arial" w:hAnsi="Arial"/>
                <w:sz w:val="19"/>
                <w:szCs w:val="19"/>
                <w:b w:val="1"/>
                <w:bCs w:val="1"/>
                <w:color w:val="FFFFFF"/>
              </w:rPr>
              <w:t>Attendance at</w:t>
            </w:r>
          </w:p>
        </w:tc>
        <w:tc>
          <w:tcPr>
            <w:tcW w:w="3380" w:type="dxa"/>
            <w:vAlign w:val="bottom"/>
            <w:vMerge w:val="restart"/>
            <w:shd w:val="clear" w:color="auto" w:fill="003445"/>
          </w:tcPr>
          <w:p>
            <w:pPr>
              <w:jc w:val="right"/>
              <w:ind w:right="228"/>
              <w:spacing w:after="0"/>
              <w:rPr>
                <w:sz w:val="20"/>
                <w:szCs w:val="20"/>
                <w:color w:val="auto"/>
              </w:rPr>
            </w:pPr>
            <w:r>
              <w:rPr>
                <w:rFonts w:ascii="Arial" w:cs="Arial" w:eastAsia="Arial" w:hAnsi="Arial"/>
                <w:sz w:val="19"/>
                <w:szCs w:val="19"/>
                <w:b w:val="1"/>
                <w:bCs w:val="1"/>
                <w:color w:val="FFFFFF"/>
              </w:rPr>
              <w:t xml:space="preserve">         Overall Attendance 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gridSpan w:val="2"/>
            <w:vMerge w:val="continue"/>
            <w:shd w:val="clear" w:color="auto" w:fill="003445"/>
          </w:tcPr>
          <w:p>
            <w:pPr>
              <w:spacing w:after="0"/>
              <w:rPr>
                <w:sz w:val="18"/>
                <w:szCs w:val="18"/>
                <w:color w:val="auto"/>
              </w:rPr>
            </w:pPr>
          </w:p>
        </w:tc>
        <w:tc>
          <w:tcPr>
            <w:tcW w:w="540" w:type="dxa"/>
            <w:vAlign w:val="bottom"/>
            <w:tcBorders>
              <w:right w:val="single" w:sz="8" w:color="231F20"/>
            </w:tcBorders>
            <w:shd w:val="clear" w:color="auto" w:fill="003445"/>
          </w:tcPr>
          <w:p>
            <w:pPr>
              <w:spacing w:after="0"/>
              <w:rPr>
                <w:sz w:val="18"/>
                <w:szCs w:val="18"/>
                <w:color w:val="auto"/>
              </w:rPr>
            </w:pPr>
          </w:p>
        </w:tc>
        <w:tc>
          <w:tcPr>
            <w:tcW w:w="2360" w:type="dxa"/>
            <w:vAlign w:val="bottom"/>
            <w:tcBorders>
              <w:right w:val="single" w:sz="8" w:color="231F20"/>
            </w:tcBorders>
            <w:gridSpan w:val="2"/>
            <w:shd w:val="clear" w:color="auto" w:fill="003445"/>
          </w:tcPr>
          <w:p>
            <w:pPr>
              <w:ind w:left="240"/>
              <w:spacing w:after="0" w:line="210" w:lineRule="exact"/>
              <w:rPr>
                <w:sz w:val="20"/>
                <w:szCs w:val="20"/>
                <w:color w:val="auto"/>
              </w:rPr>
            </w:pPr>
            <w:r>
              <w:rPr>
                <w:rFonts w:ascii="Arial" w:cs="Arial" w:eastAsia="Arial" w:hAnsi="Arial"/>
                <w:sz w:val="19"/>
                <w:szCs w:val="19"/>
                <w:b w:val="1"/>
                <w:bCs w:val="1"/>
                <w:color w:val="FFFFFF"/>
              </w:rPr>
              <w:t>   Regular Meetings</w:t>
            </w:r>
          </w:p>
        </w:tc>
        <w:tc>
          <w:tcPr>
            <w:tcW w:w="3380" w:type="dxa"/>
            <w:vAlign w:val="bottom"/>
            <w:vMerge w:val="continue"/>
            <w:shd w:val="clear" w:color="auto" w:fill="00344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880" w:type="dxa"/>
            <w:vAlign w:val="bottom"/>
            <w:tcBorders>
              <w:bottom w:val="single" w:sz="8" w:color="003445"/>
              <w:right w:val="single" w:sz="8" w:color="003445"/>
            </w:tcBorders>
            <w:shd w:val="clear" w:color="auto" w:fill="003445"/>
          </w:tcPr>
          <w:p>
            <w:pPr>
              <w:spacing w:after="0"/>
              <w:rPr>
                <w:sz w:val="24"/>
                <w:szCs w:val="24"/>
                <w:color w:val="auto"/>
              </w:rPr>
            </w:pPr>
          </w:p>
        </w:tc>
        <w:tc>
          <w:tcPr>
            <w:tcW w:w="1520" w:type="dxa"/>
            <w:vAlign w:val="bottom"/>
            <w:tcBorders>
              <w:bottom w:val="single" w:sz="8" w:color="003445"/>
            </w:tcBorders>
            <w:shd w:val="clear" w:color="auto" w:fill="003445"/>
          </w:tcPr>
          <w:p>
            <w:pPr>
              <w:spacing w:after="0"/>
              <w:rPr>
                <w:sz w:val="24"/>
                <w:szCs w:val="24"/>
                <w:color w:val="auto"/>
              </w:rPr>
            </w:pPr>
          </w:p>
        </w:tc>
        <w:tc>
          <w:tcPr>
            <w:tcW w:w="540" w:type="dxa"/>
            <w:vAlign w:val="bottom"/>
            <w:tcBorders>
              <w:bottom w:val="single" w:sz="8" w:color="003445"/>
              <w:right w:val="single" w:sz="8" w:color="231F20"/>
            </w:tcBorders>
            <w:shd w:val="clear" w:color="auto" w:fill="003445"/>
          </w:tcPr>
          <w:p>
            <w:pPr>
              <w:spacing w:after="0"/>
              <w:rPr>
                <w:sz w:val="24"/>
                <w:szCs w:val="24"/>
                <w:color w:val="auto"/>
              </w:rPr>
            </w:pPr>
          </w:p>
        </w:tc>
        <w:tc>
          <w:tcPr>
            <w:tcW w:w="520" w:type="dxa"/>
            <w:vAlign w:val="bottom"/>
            <w:tcBorders>
              <w:bottom w:val="single" w:sz="8" w:color="003445"/>
              <w:right w:val="single" w:sz="8" w:color="003445"/>
            </w:tcBorders>
            <w:shd w:val="clear" w:color="auto" w:fill="003445"/>
          </w:tcPr>
          <w:p>
            <w:pPr>
              <w:spacing w:after="0"/>
              <w:rPr>
                <w:sz w:val="24"/>
                <w:szCs w:val="24"/>
                <w:color w:val="auto"/>
              </w:rPr>
            </w:pPr>
          </w:p>
        </w:tc>
        <w:tc>
          <w:tcPr>
            <w:tcW w:w="1840" w:type="dxa"/>
            <w:vAlign w:val="bottom"/>
            <w:tcBorders>
              <w:bottom w:val="single" w:sz="8" w:color="003445"/>
              <w:right w:val="single" w:sz="8" w:color="231F20"/>
            </w:tcBorders>
            <w:shd w:val="clear" w:color="auto" w:fill="003445"/>
          </w:tcPr>
          <w:p>
            <w:pPr>
              <w:jc w:val="center"/>
              <w:ind w:right="344"/>
              <w:spacing w:after="0"/>
              <w:rPr>
                <w:sz w:val="20"/>
                <w:szCs w:val="20"/>
                <w:color w:val="auto"/>
              </w:rPr>
            </w:pPr>
            <w:r>
              <w:rPr>
                <w:rFonts w:ascii="Arial" w:cs="Arial" w:eastAsia="Arial" w:hAnsi="Arial"/>
                <w:sz w:val="19"/>
                <w:szCs w:val="19"/>
                <w:b w:val="1"/>
                <w:bCs w:val="1"/>
                <w:color w:val="FFFFFF"/>
              </w:rPr>
              <w:t>in Fiscal 2025</w:t>
            </w:r>
          </w:p>
        </w:tc>
        <w:tc>
          <w:tcPr>
            <w:tcW w:w="3380" w:type="dxa"/>
            <w:vAlign w:val="bottom"/>
            <w:tcBorders>
              <w:bottom w:val="single" w:sz="8" w:color="003445"/>
            </w:tcBorders>
            <w:shd w:val="clear" w:color="auto" w:fill="00344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80" w:type="dxa"/>
            <w:vAlign w:val="bottom"/>
            <w:tcBorders>
              <w:top w:val="single" w:sz="8" w:color="231F20"/>
            </w:tcBorders>
          </w:tcPr>
          <w:p>
            <w:pPr>
              <w:jc w:val="center"/>
              <w:ind w:left="2107"/>
              <w:spacing w:after="0"/>
              <w:rPr>
                <w:sz w:val="20"/>
                <w:szCs w:val="20"/>
                <w:color w:val="auto"/>
              </w:rPr>
            </w:pPr>
            <w:r>
              <w:rPr>
                <w:rFonts w:ascii="Arial" w:cs="Arial" w:eastAsia="Arial" w:hAnsi="Arial"/>
                <w:sz w:val="19"/>
                <w:szCs w:val="19"/>
                <w:color w:val="auto"/>
              </w:rPr>
              <w:t>Board</w:t>
            </w:r>
          </w:p>
        </w:tc>
        <w:tc>
          <w:tcPr>
            <w:tcW w:w="1520" w:type="dxa"/>
            <w:vAlign w:val="bottom"/>
            <w:tcBorders>
              <w:top w:val="single" w:sz="8" w:color="231F20"/>
            </w:tcBorders>
          </w:tcPr>
          <w:p>
            <w:pPr>
              <w:spacing w:after="0"/>
              <w:rPr>
                <w:sz w:val="23"/>
                <w:szCs w:val="23"/>
                <w:color w:val="auto"/>
              </w:rPr>
            </w:pPr>
          </w:p>
        </w:tc>
        <w:tc>
          <w:tcPr>
            <w:tcW w:w="540" w:type="dxa"/>
            <w:vAlign w:val="bottom"/>
            <w:tcBorders>
              <w:top w:val="single" w:sz="8" w:color="231F20"/>
              <w:right w:val="single" w:sz="8" w:color="231F20"/>
            </w:tcBorders>
          </w:tcPr>
          <w:p>
            <w:pPr>
              <w:spacing w:after="0"/>
              <w:rPr>
                <w:sz w:val="23"/>
                <w:szCs w:val="23"/>
                <w:color w:val="auto"/>
              </w:rPr>
            </w:pPr>
          </w:p>
        </w:tc>
        <w:tc>
          <w:tcPr>
            <w:tcW w:w="2360" w:type="dxa"/>
            <w:vAlign w:val="bottom"/>
            <w:tcBorders>
              <w:top w:val="single" w:sz="8" w:color="231F20"/>
              <w:right w:val="single" w:sz="8" w:color="231F20"/>
            </w:tcBorders>
            <w:gridSpan w:val="2"/>
          </w:tcPr>
          <w:p>
            <w:pPr>
              <w:jc w:val="center"/>
              <w:spacing w:after="0"/>
              <w:rPr>
                <w:sz w:val="20"/>
                <w:szCs w:val="20"/>
                <w:color w:val="auto"/>
              </w:rPr>
            </w:pPr>
            <w:r>
              <w:rPr>
                <w:rFonts w:ascii="Arial" w:cs="Arial" w:eastAsia="Arial" w:hAnsi="Arial"/>
                <w:sz w:val="19"/>
                <w:szCs w:val="19"/>
                <w:color w:val="auto"/>
              </w:rPr>
              <w:t>7/7</w:t>
            </w:r>
          </w:p>
        </w:tc>
        <w:tc>
          <w:tcPr>
            <w:tcW w:w="3380" w:type="dxa"/>
            <w:vAlign w:val="bottom"/>
            <w:tcBorders>
              <w:top w:val="single" w:sz="8" w:color="231F20"/>
            </w:tcBorders>
          </w:tcPr>
          <w:p>
            <w:pPr>
              <w:jc w:val="right"/>
              <w:ind w:right="1328"/>
              <w:spacing w:after="0"/>
              <w:rPr>
                <w:sz w:val="20"/>
                <w:szCs w:val="20"/>
                <w:color w:val="auto"/>
              </w:rPr>
            </w:pPr>
            <w:r>
              <w:rPr>
                <w:rFonts w:ascii="Arial" w:cs="Arial" w:eastAsia="Arial" w:hAnsi="Arial"/>
                <w:sz w:val="19"/>
                <w:szCs w:val="19"/>
                <w:color w:val="auto"/>
              </w:rPr>
              <w:t>100%</w:t>
            </w:r>
          </w:p>
        </w:tc>
        <w:tc>
          <w:tcPr>
            <w:tcW w:w="20" w:type="dxa"/>
            <w:vAlign w:val="bottom"/>
            <w:tcBorders>
              <w:top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400" w:type="dxa"/>
            <w:vAlign w:val="bottom"/>
            <w:gridSpan w:val="2"/>
          </w:tcPr>
          <w:p>
            <w:pPr>
              <w:jc w:val="center"/>
              <w:ind w:left="587"/>
              <w:spacing w:after="0"/>
              <w:rPr>
                <w:sz w:val="20"/>
                <w:szCs w:val="20"/>
                <w:color w:val="auto"/>
              </w:rPr>
            </w:pPr>
            <w:r>
              <w:rPr>
                <w:rFonts w:ascii="Arial" w:cs="Arial" w:eastAsia="Arial" w:hAnsi="Arial"/>
                <w:sz w:val="19"/>
                <w:szCs w:val="19"/>
                <w:color w:val="auto"/>
              </w:rPr>
              <w:t>Nominating and Governance Committee</w:t>
            </w:r>
          </w:p>
        </w:tc>
        <w:tc>
          <w:tcPr>
            <w:tcW w:w="540" w:type="dxa"/>
            <w:vAlign w:val="bottom"/>
            <w:tcBorders>
              <w:right w:val="single" w:sz="8" w:color="231F20"/>
            </w:tcBorders>
          </w:tcPr>
          <w:p>
            <w:pPr>
              <w:spacing w:after="0"/>
              <w:rPr>
                <w:sz w:val="20"/>
                <w:szCs w:val="20"/>
                <w:color w:val="auto"/>
              </w:rPr>
            </w:pPr>
          </w:p>
        </w:tc>
        <w:tc>
          <w:tcPr>
            <w:tcW w:w="2360" w:type="dxa"/>
            <w:vAlign w:val="bottom"/>
            <w:tcBorders>
              <w:right w:val="single" w:sz="8" w:color="231F20"/>
            </w:tcBorders>
            <w:gridSpan w:val="2"/>
          </w:tcPr>
          <w:p>
            <w:pPr>
              <w:jc w:val="center"/>
              <w:spacing w:after="0"/>
              <w:rPr>
                <w:sz w:val="20"/>
                <w:szCs w:val="20"/>
                <w:color w:val="auto"/>
              </w:rPr>
            </w:pPr>
            <w:r>
              <w:rPr>
                <w:rFonts w:ascii="Arial" w:cs="Arial" w:eastAsia="Arial" w:hAnsi="Arial"/>
                <w:sz w:val="19"/>
                <w:szCs w:val="19"/>
                <w:color w:val="auto"/>
              </w:rPr>
              <w:t>5/5</w:t>
            </w: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880" w:type="dxa"/>
            <w:vAlign w:val="bottom"/>
          </w:tcPr>
          <w:p>
            <w:pPr>
              <w:jc w:val="center"/>
              <w:ind w:left="2107"/>
              <w:spacing w:after="0"/>
              <w:rPr>
                <w:sz w:val="20"/>
                <w:szCs w:val="20"/>
                <w:color w:val="auto"/>
              </w:rPr>
            </w:pPr>
            <w:r>
              <w:rPr>
                <w:rFonts w:ascii="Arial" w:cs="Arial" w:eastAsia="Arial" w:hAnsi="Arial"/>
                <w:sz w:val="19"/>
                <w:szCs w:val="19"/>
                <w:color w:val="auto"/>
              </w:rPr>
              <w:t>(Chair)</w:t>
            </w:r>
          </w:p>
        </w:tc>
        <w:tc>
          <w:tcPr>
            <w:tcW w:w="1520" w:type="dxa"/>
            <w:vAlign w:val="bottom"/>
          </w:tcPr>
          <w:p>
            <w:pPr>
              <w:spacing w:after="0"/>
              <w:rPr>
                <w:sz w:val="22"/>
                <w:szCs w:val="22"/>
                <w:color w:val="auto"/>
              </w:rPr>
            </w:pPr>
          </w:p>
        </w:tc>
        <w:tc>
          <w:tcPr>
            <w:tcW w:w="540" w:type="dxa"/>
            <w:vAlign w:val="bottom"/>
            <w:tcBorders>
              <w:right w:val="single" w:sz="8" w:color="231F20"/>
            </w:tcBorders>
          </w:tcPr>
          <w:p>
            <w:pPr>
              <w:spacing w:after="0"/>
              <w:rPr>
                <w:sz w:val="22"/>
                <w:szCs w:val="22"/>
                <w:color w:val="auto"/>
              </w:rPr>
            </w:pPr>
          </w:p>
        </w:tc>
        <w:tc>
          <w:tcPr>
            <w:tcW w:w="520" w:type="dxa"/>
            <w:vAlign w:val="bottom"/>
          </w:tcPr>
          <w:p>
            <w:pPr>
              <w:spacing w:after="0"/>
              <w:rPr>
                <w:sz w:val="22"/>
                <w:szCs w:val="22"/>
                <w:color w:val="auto"/>
              </w:rPr>
            </w:pPr>
          </w:p>
        </w:tc>
        <w:tc>
          <w:tcPr>
            <w:tcW w:w="1840" w:type="dxa"/>
            <w:vAlign w:val="bottom"/>
            <w:tcBorders>
              <w:right w:val="single" w:sz="8" w:color="231F20"/>
            </w:tcBorders>
          </w:tcPr>
          <w:p>
            <w:pPr>
              <w:spacing w:after="0"/>
              <w:rPr>
                <w:sz w:val="22"/>
                <w:szCs w:val="22"/>
                <w:color w:val="auto"/>
              </w:rPr>
            </w:pPr>
          </w:p>
        </w:tc>
        <w:tc>
          <w:tcPr>
            <w:tcW w:w="3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400" w:type="dxa"/>
            <w:vAlign w:val="bottom"/>
            <w:gridSpan w:val="2"/>
          </w:tcPr>
          <w:p>
            <w:pPr>
              <w:jc w:val="center"/>
              <w:ind w:left="587"/>
              <w:spacing w:after="0"/>
              <w:rPr>
                <w:sz w:val="20"/>
                <w:szCs w:val="20"/>
                <w:color w:val="auto"/>
              </w:rPr>
            </w:pPr>
            <w:r>
              <w:rPr>
                <w:rFonts w:ascii="Arial" w:cs="Arial" w:eastAsia="Arial" w:hAnsi="Arial"/>
                <w:sz w:val="19"/>
                <w:szCs w:val="19"/>
                <w:color w:val="auto"/>
              </w:rPr>
              <w:t>Human Resources and Compensation</w:t>
            </w:r>
          </w:p>
        </w:tc>
        <w:tc>
          <w:tcPr>
            <w:tcW w:w="540" w:type="dxa"/>
            <w:vAlign w:val="bottom"/>
            <w:tcBorders>
              <w:right w:val="single" w:sz="8" w:color="231F20"/>
            </w:tcBorders>
          </w:tcPr>
          <w:p>
            <w:pPr>
              <w:spacing w:after="0"/>
              <w:rPr>
                <w:sz w:val="20"/>
                <w:szCs w:val="20"/>
                <w:color w:val="auto"/>
              </w:rPr>
            </w:pPr>
          </w:p>
        </w:tc>
        <w:tc>
          <w:tcPr>
            <w:tcW w:w="2360" w:type="dxa"/>
            <w:vAlign w:val="bottom"/>
            <w:tcBorders>
              <w:right w:val="single" w:sz="8" w:color="231F20"/>
            </w:tcBorders>
            <w:gridSpan w:val="2"/>
          </w:tcPr>
          <w:p>
            <w:pPr>
              <w:jc w:val="center"/>
              <w:spacing w:after="0"/>
              <w:rPr>
                <w:sz w:val="20"/>
                <w:szCs w:val="20"/>
                <w:color w:val="auto"/>
              </w:rPr>
            </w:pPr>
            <w:r>
              <w:rPr>
                <w:rFonts w:ascii="Arial" w:cs="Arial" w:eastAsia="Arial" w:hAnsi="Arial"/>
                <w:sz w:val="19"/>
                <w:szCs w:val="19"/>
                <w:color w:val="auto"/>
              </w:rPr>
              <w:t>5/5</w:t>
            </w:r>
          </w:p>
        </w:tc>
        <w:tc>
          <w:tcPr>
            <w:tcW w:w="3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231F20"/>
            </w:tcBorders>
            <w:gridSpan w:val="2"/>
          </w:tcPr>
          <w:p>
            <w:pPr>
              <w:jc w:val="center"/>
              <w:ind w:left="587"/>
              <w:spacing w:after="0"/>
              <w:rPr>
                <w:sz w:val="20"/>
                <w:szCs w:val="20"/>
                <w:color w:val="auto"/>
              </w:rPr>
            </w:pPr>
            <w:r>
              <w:rPr>
                <w:rFonts w:ascii="Arial" w:cs="Arial" w:eastAsia="Arial" w:hAnsi="Arial"/>
                <w:sz w:val="19"/>
                <w:szCs w:val="19"/>
                <w:color w:val="auto"/>
              </w:rPr>
              <w:t>Committee</w:t>
            </w:r>
          </w:p>
        </w:tc>
        <w:tc>
          <w:tcPr>
            <w:tcW w:w="540" w:type="dxa"/>
            <w:vAlign w:val="bottom"/>
            <w:tcBorders>
              <w:bottom w:val="single" w:sz="8" w:color="231F20"/>
              <w:right w:val="single" w:sz="8" w:color="231F20"/>
            </w:tcBorders>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1840" w:type="dxa"/>
            <w:vAlign w:val="bottom"/>
            <w:tcBorders>
              <w:bottom w:val="single" w:sz="8" w:color="231F20"/>
              <w:right w:val="single" w:sz="8" w:color="231F20"/>
            </w:tcBorders>
          </w:tcPr>
          <w:p>
            <w:pPr>
              <w:spacing w:after="0"/>
              <w:rPr>
                <w:sz w:val="21"/>
                <w:szCs w:val="21"/>
                <w:color w:val="auto"/>
              </w:rPr>
            </w:pPr>
          </w:p>
        </w:tc>
        <w:tc>
          <w:tcPr>
            <w:tcW w:w="338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880" w:type="dxa"/>
            <w:vAlign w:val="bottom"/>
            <w:tcBorders>
              <w:right w:val="single" w:sz="8" w:color="D9D9D9"/>
            </w:tcBorders>
            <w:shd w:val="clear" w:color="auto" w:fill="D9D9D9"/>
          </w:tcPr>
          <w:p>
            <w:pPr>
              <w:spacing w:after="0"/>
              <w:rPr>
                <w:sz w:val="20"/>
                <w:szCs w:val="20"/>
                <w:color w:val="auto"/>
              </w:rPr>
            </w:pPr>
          </w:p>
        </w:tc>
        <w:tc>
          <w:tcPr>
            <w:tcW w:w="4420" w:type="dxa"/>
            <w:vAlign w:val="bottom"/>
            <w:tcBorders>
              <w:right w:val="single" w:sz="8" w:color="D9D9D9"/>
            </w:tcBorders>
            <w:gridSpan w:val="4"/>
            <w:shd w:val="clear" w:color="auto" w:fill="D9D9D9"/>
          </w:tcPr>
          <w:p>
            <w:pPr>
              <w:jc w:val="center"/>
              <w:ind w:left="533"/>
              <w:spacing w:after="0"/>
              <w:rPr>
                <w:sz w:val="20"/>
                <w:szCs w:val="20"/>
                <w:color w:val="auto"/>
              </w:rPr>
            </w:pPr>
            <w:r>
              <w:rPr>
                <w:rFonts w:ascii="Arial" w:cs="Arial" w:eastAsia="Arial" w:hAnsi="Arial"/>
                <w:sz w:val="17"/>
                <w:szCs w:val="17"/>
                <w:b w:val="1"/>
                <w:bCs w:val="1"/>
                <w:color w:val="auto"/>
              </w:rPr>
              <w:t>Securities Beneficially Owned or Controlled</w:t>
            </w:r>
          </w:p>
        </w:tc>
        <w:tc>
          <w:tcPr>
            <w:tcW w:w="338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880" w:type="dxa"/>
            <w:vAlign w:val="bottom"/>
            <w:tcBorders>
              <w:bottom w:val="single" w:sz="8" w:color="D9D9D9"/>
              <w:right w:val="single" w:sz="8" w:color="D9D9D9"/>
            </w:tcBorders>
            <w:shd w:val="clear" w:color="auto" w:fill="D9D9D9"/>
          </w:tcPr>
          <w:p>
            <w:pPr>
              <w:spacing w:after="0"/>
              <w:rPr>
                <w:sz w:val="23"/>
                <w:szCs w:val="23"/>
                <w:color w:val="auto"/>
              </w:rPr>
            </w:pPr>
          </w:p>
        </w:tc>
        <w:tc>
          <w:tcPr>
            <w:tcW w:w="1520" w:type="dxa"/>
            <w:vAlign w:val="bottom"/>
            <w:tcBorders>
              <w:bottom w:val="single" w:sz="8" w:color="D9D9D9"/>
            </w:tcBorders>
            <w:shd w:val="clear" w:color="auto" w:fill="D9D9D9"/>
          </w:tcPr>
          <w:p>
            <w:pPr>
              <w:spacing w:after="0"/>
              <w:rPr>
                <w:sz w:val="23"/>
                <w:szCs w:val="23"/>
                <w:color w:val="auto"/>
              </w:rPr>
            </w:pPr>
          </w:p>
        </w:tc>
        <w:tc>
          <w:tcPr>
            <w:tcW w:w="2900" w:type="dxa"/>
            <w:vAlign w:val="bottom"/>
            <w:tcBorders>
              <w:bottom w:val="single" w:sz="8" w:color="D9D9D9"/>
              <w:right w:val="single" w:sz="8" w:color="D9D9D9"/>
            </w:tcBorders>
            <w:gridSpan w:val="3"/>
            <w:shd w:val="clear" w:color="auto" w:fill="D9D9D9"/>
          </w:tcPr>
          <w:p>
            <w:pPr>
              <w:jc w:val="center"/>
              <w:ind w:right="804"/>
              <w:spacing w:after="0"/>
              <w:rPr>
                <w:sz w:val="20"/>
                <w:szCs w:val="20"/>
                <w:color w:val="auto"/>
              </w:rPr>
            </w:pPr>
            <w:r>
              <w:rPr>
                <w:rFonts w:ascii="Arial" w:cs="Arial" w:eastAsia="Arial" w:hAnsi="Arial"/>
                <w:sz w:val="17"/>
                <w:szCs w:val="17"/>
                <w:b w:val="1"/>
                <w:bCs w:val="1"/>
                <w:color w:val="auto"/>
              </w:rPr>
              <w:t>(as at April 30, 2026)</w:t>
            </w:r>
          </w:p>
        </w:tc>
        <w:tc>
          <w:tcPr>
            <w:tcW w:w="3380" w:type="dxa"/>
            <w:vAlign w:val="bottom"/>
            <w:tcBorders>
              <w:bottom w:val="single" w:sz="8" w:color="D9D9D9"/>
            </w:tcBorders>
            <w:shd w:val="clear" w:color="auto" w:fill="D9D9D9"/>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400" w:type="dxa"/>
            <w:vAlign w:val="bottom"/>
            <w:tcBorders>
              <w:top w:val="single" w:sz="8" w:color="231F20"/>
              <w:bottom w:val="single" w:sz="8" w:color="231F20"/>
            </w:tcBorders>
            <w:gridSpan w:val="2"/>
            <w:shd w:val="clear" w:color="auto" w:fill="F2F2F2"/>
          </w:tcPr>
          <w:p>
            <w:pPr>
              <w:ind w:left="2020"/>
              <w:spacing w:after="0" w:line="295" w:lineRule="exact"/>
              <w:rPr>
                <w:sz w:val="20"/>
                <w:szCs w:val="20"/>
                <w:color w:val="auto"/>
              </w:rPr>
            </w:pPr>
            <w:r>
              <w:rPr>
                <w:rFonts w:ascii="Arial" w:cs="Arial" w:eastAsia="Arial" w:hAnsi="Arial"/>
                <w:sz w:val="17"/>
                <w:szCs w:val="17"/>
                <w:b w:val="1"/>
                <w:bCs w:val="1"/>
                <w:color w:val="auto"/>
              </w:rPr>
              <w:t>Number of DSUs</w:t>
            </w:r>
            <w:r>
              <w:rPr>
                <w:rFonts w:ascii="Arial" w:cs="Arial" w:eastAsia="Arial" w:hAnsi="Arial"/>
                <w:sz w:val="26"/>
                <w:szCs w:val="26"/>
                <w:b w:val="1"/>
                <w:bCs w:val="1"/>
                <w:color w:val="auto"/>
                <w:vertAlign w:val="superscript"/>
              </w:rPr>
              <w:t>(3)</w:t>
            </w:r>
          </w:p>
        </w:tc>
        <w:tc>
          <w:tcPr>
            <w:tcW w:w="54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520" w:type="dxa"/>
            <w:vAlign w:val="bottom"/>
            <w:tcBorders>
              <w:top w:val="single" w:sz="8" w:color="231F20"/>
              <w:bottom w:val="single" w:sz="8" w:color="231F20"/>
              <w:right w:val="single" w:sz="8" w:color="231F20"/>
            </w:tcBorders>
            <w:shd w:val="clear" w:color="auto" w:fill="F2F2F2"/>
          </w:tcPr>
          <w:p>
            <w:pPr>
              <w:spacing w:after="0"/>
              <w:rPr>
                <w:sz w:val="24"/>
                <w:szCs w:val="24"/>
                <w:color w:val="auto"/>
              </w:rPr>
            </w:pPr>
          </w:p>
        </w:tc>
        <w:tc>
          <w:tcPr>
            <w:tcW w:w="184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3380" w:type="dxa"/>
            <w:vAlign w:val="bottom"/>
            <w:tcBorders>
              <w:top w:val="single" w:sz="8" w:color="231F20"/>
              <w:bottom w:val="single" w:sz="8" w:color="231F20"/>
            </w:tcBorders>
            <w:shd w:val="clear" w:color="auto" w:fill="F2F2F2"/>
          </w:tcPr>
          <w:p>
            <w:pPr>
              <w:jc w:val="center"/>
              <w:ind w:right="1668"/>
              <w:spacing w:after="0" w:line="295" w:lineRule="exact"/>
              <w:rPr>
                <w:sz w:val="20"/>
                <w:szCs w:val="20"/>
                <w:color w:val="auto"/>
              </w:rPr>
            </w:pPr>
            <w:r>
              <w:rPr>
                <w:rFonts w:ascii="Arial" w:cs="Arial" w:eastAsia="Arial" w:hAnsi="Arial"/>
                <w:sz w:val="17"/>
                <w:szCs w:val="17"/>
                <w:b w:val="1"/>
                <w:bCs w:val="1"/>
                <w:color w:val="auto"/>
                <w:w w:val="96"/>
              </w:rPr>
              <w:t>Market Value</w:t>
            </w:r>
            <w:r>
              <w:rPr>
                <w:rFonts w:ascii="Arial" w:cs="Arial" w:eastAsia="Arial" w:hAnsi="Arial"/>
                <w:sz w:val="26"/>
                <w:szCs w:val="26"/>
                <w:b w:val="1"/>
                <w:bCs w:val="1"/>
                <w:color w:val="auto"/>
                <w:w w:val="96"/>
                <w:vertAlign w:val="superscript"/>
              </w:rPr>
              <w:t>(1)</w:t>
            </w:r>
          </w:p>
        </w:tc>
        <w:tc>
          <w:tcPr>
            <w:tcW w:w="20" w:type="dxa"/>
            <w:vAlign w:val="bottom"/>
            <w:tcBorders>
              <w:top w:val="single" w:sz="8" w:color="231F20"/>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00" w:type="dxa"/>
            <w:vAlign w:val="bottom"/>
            <w:gridSpan w:val="2"/>
          </w:tcPr>
          <w:p>
            <w:pPr>
              <w:ind w:left="2540"/>
              <w:spacing w:after="0"/>
              <w:rPr>
                <w:sz w:val="20"/>
                <w:szCs w:val="20"/>
                <w:color w:val="auto"/>
              </w:rPr>
            </w:pPr>
            <w:r>
              <w:rPr>
                <w:rFonts w:ascii="Arial" w:cs="Arial" w:eastAsia="Arial" w:hAnsi="Arial"/>
                <w:sz w:val="17"/>
                <w:szCs w:val="17"/>
                <w:color w:val="auto"/>
              </w:rPr>
              <w:t>89,156</w:t>
            </w:r>
          </w:p>
        </w:tc>
        <w:tc>
          <w:tcPr>
            <w:tcW w:w="540" w:type="dxa"/>
            <w:vAlign w:val="bottom"/>
          </w:tcPr>
          <w:p>
            <w:pPr>
              <w:spacing w:after="0"/>
              <w:rPr>
                <w:sz w:val="23"/>
                <w:szCs w:val="23"/>
                <w:color w:val="auto"/>
              </w:rPr>
            </w:pPr>
          </w:p>
        </w:tc>
        <w:tc>
          <w:tcPr>
            <w:tcW w:w="520" w:type="dxa"/>
            <w:vAlign w:val="bottom"/>
            <w:tcBorders>
              <w:right w:val="single" w:sz="8" w:color="231F20"/>
            </w:tcBorders>
          </w:tcPr>
          <w:p>
            <w:pPr>
              <w:spacing w:after="0"/>
              <w:rPr>
                <w:sz w:val="23"/>
                <w:szCs w:val="23"/>
                <w:color w:val="auto"/>
              </w:rPr>
            </w:pPr>
          </w:p>
        </w:tc>
        <w:tc>
          <w:tcPr>
            <w:tcW w:w="1840" w:type="dxa"/>
            <w:vAlign w:val="bottom"/>
          </w:tcPr>
          <w:p>
            <w:pPr>
              <w:spacing w:after="0"/>
              <w:rPr>
                <w:sz w:val="23"/>
                <w:szCs w:val="23"/>
                <w:color w:val="auto"/>
              </w:rPr>
            </w:pPr>
          </w:p>
        </w:tc>
        <w:tc>
          <w:tcPr>
            <w:tcW w:w="3380" w:type="dxa"/>
            <w:vAlign w:val="bottom"/>
          </w:tcPr>
          <w:p>
            <w:pPr>
              <w:jc w:val="right"/>
              <w:ind w:right="2108"/>
              <w:spacing w:after="0"/>
              <w:rPr>
                <w:sz w:val="20"/>
                <w:szCs w:val="20"/>
                <w:color w:val="auto"/>
              </w:rPr>
            </w:pPr>
            <w:r>
              <w:rPr>
                <w:rFonts w:ascii="Arial" w:cs="Arial" w:eastAsia="Arial" w:hAnsi="Arial"/>
                <w:sz w:val="17"/>
                <w:szCs w:val="17"/>
                <w:color w:val="auto"/>
              </w:rPr>
              <w:t>$567,924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880" w:type="dxa"/>
            <w:vAlign w:val="bottom"/>
            <w:tcBorders>
              <w:bottom w:val="single" w:sz="8" w:color="231F20"/>
            </w:tcBorders>
          </w:tcPr>
          <w:p>
            <w:pPr>
              <w:spacing w:after="0"/>
              <w:rPr>
                <w:sz w:val="5"/>
                <w:szCs w:val="5"/>
                <w:color w:val="auto"/>
              </w:rPr>
            </w:pPr>
          </w:p>
        </w:tc>
        <w:tc>
          <w:tcPr>
            <w:tcW w:w="1520" w:type="dxa"/>
            <w:vAlign w:val="bottom"/>
            <w:tcBorders>
              <w:bottom w:val="single" w:sz="8" w:color="231F20"/>
            </w:tcBorders>
          </w:tcPr>
          <w:p>
            <w:pPr>
              <w:spacing w:after="0"/>
              <w:rPr>
                <w:sz w:val="5"/>
                <w:szCs w:val="5"/>
                <w:color w:val="auto"/>
              </w:rPr>
            </w:pPr>
          </w:p>
        </w:tc>
        <w:tc>
          <w:tcPr>
            <w:tcW w:w="540" w:type="dxa"/>
            <w:vAlign w:val="bottom"/>
            <w:tcBorders>
              <w:bottom w:val="single" w:sz="8" w:color="231F20"/>
            </w:tcBorders>
          </w:tcPr>
          <w:p>
            <w:pPr>
              <w:spacing w:after="0"/>
              <w:rPr>
                <w:sz w:val="5"/>
                <w:szCs w:val="5"/>
                <w:color w:val="auto"/>
              </w:rPr>
            </w:pPr>
          </w:p>
        </w:tc>
        <w:tc>
          <w:tcPr>
            <w:tcW w:w="520" w:type="dxa"/>
            <w:vAlign w:val="bottom"/>
            <w:tcBorders>
              <w:bottom w:val="single" w:sz="8" w:color="231F20"/>
              <w:right w:val="single" w:sz="8" w:color="231F20"/>
            </w:tcBorders>
          </w:tcPr>
          <w:p>
            <w:pPr>
              <w:spacing w:after="0"/>
              <w:rPr>
                <w:sz w:val="5"/>
                <w:szCs w:val="5"/>
                <w:color w:val="auto"/>
              </w:rPr>
            </w:pPr>
          </w:p>
        </w:tc>
        <w:tc>
          <w:tcPr>
            <w:tcW w:w="1840" w:type="dxa"/>
            <w:vAlign w:val="bottom"/>
            <w:tcBorders>
              <w:bottom w:val="single" w:sz="8" w:color="231F20"/>
            </w:tcBorders>
          </w:tcPr>
          <w:p>
            <w:pPr>
              <w:spacing w:after="0"/>
              <w:rPr>
                <w:sz w:val="5"/>
                <w:szCs w:val="5"/>
                <w:color w:val="auto"/>
              </w:rPr>
            </w:pPr>
          </w:p>
        </w:tc>
        <w:tc>
          <w:tcPr>
            <w:tcW w:w="3380" w:type="dxa"/>
            <w:vAlign w:val="bottom"/>
            <w:tcBorders>
              <w:bottom w:val="single" w:sz="8" w:color="231F20"/>
            </w:tcBorders>
          </w:tcPr>
          <w:p>
            <w:pPr>
              <w:spacing w:after="0"/>
              <w:rPr>
                <w:sz w:val="5"/>
                <w:szCs w:val="5"/>
                <w:color w:val="auto"/>
              </w:rPr>
            </w:pPr>
          </w:p>
        </w:tc>
        <w:tc>
          <w:tcPr>
            <w:tcW w:w="20" w:type="dxa"/>
            <w:vAlign w:val="bottom"/>
            <w:tcBorders>
              <w:bottom w:val="single" w:sz="8" w:color="231F2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700"/>
          </w:cols>
          <w:pgMar w:left="600" w:top="284" w:right="599" w:bottom="1440" w:gutter="0" w:footer="0" w:header="0"/>
        </w:sectPr>
      </w:pPr>
    </w:p>
    <w:bookmarkStart w:id="28" w:name="page29"/>
    <w:bookmarkEnd w:id="28"/>
    <w:tbl>
      <w:tblPr>
        <w:tblLayout w:type="fixed"/>
        <w:tblInd w:w="10" w:type="dxa"/>
        <w:tblCellMar>
          <w:top w:w="0" w:type="dxa"/>
          <w:left w:w="0" w:type="dxa"/>
          <w:bottom w:w="0" w:type="dxa"/>
          <w:right w:w="0" w:type="dxa"/>
        </w:tblCellMar>
      </w:tblPr>
      <w:tr>
        <w:trPr>
          <w:trHeight w:val="314"/>
        </w:trPr>
        <w:tc>
          <w:tcPr>
            <w:tcW w:w="3080" w:type="dxa"/>
            <w:vAlign w:val="bottom"/>
            <w:tcBorders>
              <w:top w:val="single" w:sz="8" w:color="231F20"/>
              <w:left w:val="single" w:sz="8" w:color="231F20"/>
              <w:right w:val="single" w:sz="8" w:color="auto"/>
            </w:tcBorders>
          </w:tcPr>
          <w:p>
            <w:pPr>
              <w:ind w:left="820"/>
              <w:spacing w:after="0"/>
              <w:rPr>
                <w:sz w:val="20"/>
                <w:szCs w:val="20"/>
                <w:color w:val="auto"/>
              </w:rPr>
            </w:pPr>
            <w:r>
              <w:rPr>
                <w:rFonts w:ascii="Arial" w:cs="Arial" w:eastAsia="Arial" w:hAnsi="Arial"/>
                <w:sz w:val="17"/>
                <w:szCs w:val="17"/>
                <w:b w:val="1"/>
                <w:bCs w:val="1"/>
                <w:color w:val="auto"/>
              </w:rPr>
              <w:t>SEAN DONNELLY</w:t>
            </w:r>
          </w:p>
        </w:tc>
        <w:tc>
          <w:tcPr>
            <w:tcW w:w="1460" w:type="dxa"/>
            <w:vAlign w:val="bottom"/>
            <w:tcBorders>
              <w:top w:val="single" w:sz="8" w:color="231F20"/>
              <w:bottom w:val="single" w:sz="8" w:color="003445"/>
            </w:tcBorders>
            <w:shd w:val="clear" w:color="auto" w:fill="003445"/>
          </w:tcPr>
          <w:p>
            <w:pPr>
              <w:spacing w:after="0"/>
              <w:rPr>
                <w:sz w:val="24"/>
                <w:szCs w:val="24"/>
                <w:color w:val="auto"/>
              </w:rPr>
            </w:pPr>
          </w:p>
        </w:tc>
        <w:tc>
          <w:tcPr>
            <w:tcW w:w="6160" w:type="dxa"/>
            <w:vAlign w:val="bottom"/>
            <w:tcBorders>
              <w:top w:val="single" w:sz="8" w:color="231F20"/>
              <w:bottom w:val="single" w:sz="8" w:color="003445"/>
              <w:right w:val="single" w:sz="8" w:color="231F20"/>
            </w:tcBorders>
            <w:gridSpan w:val="4"/>
            <w:shd w:val="clear" w:color="auto" w:fill="003445"/>
          </w:tcPr>
          <w:p>
            <w:pPr>
              <w:jc w:val="center"/>
              <w:ind w:right="1408"/>
              <w:spacing w:after="0"/>
              <w:rPr>
                <w:sz w:val="20"/>
                <w:szCs w:val="20"/>
                <w:color w:val="auto"/>
              </w:rPr>
            </w:pPr>
            <w:r>
              <w:rPr>
                <w:rFonts w:ascii="Arial" w:cs="Arial" w:eastAsia="Arial" w:hAnsi="Arial"/>
                <w:sz w:val="17"/>
                <w:szCs w:val="17"/>
                <w:b w:val="1"/>
                <w:bCs w:val="1"/>
                <w:color w:val="FFFFFF"/>
              </w:rPr>
              <w:t>Biographical Information and Principal Occupation</w:t>
            </w:r>
          </w:p>
        </w:tc>
        <w:tc>
          <w:tcPr>
            <w:tcW w:w="0" w:type="dxa"/>
            <w:vAlign w:val="bottom"/>
          </w:tcPr>
          <w:p>
            <w:pPr>
              <w:spacing w:after="0"/>
              <w:rPr>
                <w:sz w:val="1"/>
                <w:szCs w:val="1"/>
                <w:color w:val="auto"/>
              </w:rPr>
            </w:pPr>
          </w:p>
        </w:tc>
      </w:tr>
      <w:tr>
        <w:trPr>
          <w:trHeight w:val="238"/>
        </w:trPr>
        <w:tc>
          <w:tcPr>
            <w:tcW w:w="3080" w:type="dxa"/>
            <w:vAlign w:val="bottom"/>
            <w:tcBorders>
              <w:top w:val="single" w:sz="8" w:color="231F20"/>
              <w:left w:val="single" w:sz="8" w:color="231F20"/>
              <w:right w:val="single" w:sz="8" w:color="auto"/>
            </w:tcBorders>
          </w:tcPr>
          <w:p>
            <w:pPr>
              <w:spacing w:after="0"/>
              <w:rPr>
                <w:sz w:val="20"/>
                <w:szCs w:val="20"/>
                <w:color w:val="auto"/>
              </w:rPr>
            </w:pPr>
          </w:p>
        </w:tc>
        <w:tc>
          <w:tcPr>
            <w:tcW w:w="7620" w:type="dxa"/>
            <w:vAlign w:val="bottom"/>
            <w:tcBorders>
              <w:top w:val="single" w:sz="8" w:color="231F20"/>
              <w:right w:val="single" w:sz="8" w:color="231F20"/>
            </w:tcBorders>
            <w:gridSpan w:val="5"/>
          </w:tcPr>
          <w:p>
            <w:pPr>
              <w:ind w:left="20"/>
              <w:spacing w:after="0"/>
              <w:rPr>
                <w:sz w:val="20"/>
                <w:szCs w:val="20"/>
                <w:color w:val="auto"/>
              </w:rPr>
            </w:pPr>
            <w:r>
              <w:rPr>
                <w:rFonts w:ascii="Arial" w:cs="Arial" w:eastAsia="Arial" w:hAnsi="Arial"/>
                <w:sz w:val="17"/>
                <w:szCs w:val="17"/>
                <w:color w:val="auto"/>
              </w:rPr>
              <w:t>Mr. Donnelly earned a Metallurgical Engineering degree at McMaster University in 1981, and</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subsequently joined Dofasco as in the role of Production Engineer in the galvanizing</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manufacturing facility and gained increasing production supervision responsibilities. Sean has</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experience with new facility construction. Sean’s 40-year career in the steel industry, spent</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entirely at Dofasco (acquired by ArcelorMittal SA in 2006) expanded into managerial roles</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focused on product development and market growth. As Vice President of Technology from 2009</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to 2012, he drove crucial technological advancements, and as Vice President of Manufacturing</w:t>
            </w:r>
          </w:p>
        </w:tc>
        <w:tc>
          <w:tcPr>
            <w:tcW w:w="0" w:type="dxa"/>
            <w:vAlign w:val="bottom"/>
          </w:tcPr>
          <w:p>
            <w:pPr>
              <w:spacing w:after="0"/>
              <w:rPr>
                <w:sz w:val="1"/>
                <w:szCs w:val="1"/>
                <w:color w:val="auto"/>
              </w:rPr>
            </w:pPr>
          </w:p>
        </w:tc>
      </w:tr>
      <w:tr>
        <w:trPr>
          <w:trHeight w:val="230"/>
        </w:trPr>
        <w:tc>
          <w:tcPr>
            <w:tcW w:w="3080" w:type="dxa"/>
            <w:vAlign w:val="bottom"/>
            <w:tcBorders>
              <w:left w:val="single" w:sz="8" w:color="231F20"/>
              <w:right w:val="single" w:sz="8" w:color="auto"/>
            </w:tcBorders>
            <w:vMerge w:val="restart"/>
          </w:tcPr>
          <w:p>
            <w:pPr>
              <w:jc w:val="center"/>
              <w:ind w:left="2449"/>
              <w:spacing w:after="0"/>
              <w:rPr>
                <w:sz w:val="20"/>
                <w:szCs w:val="20"/>
                <w:color w:val="auto"/>
              </w:rPr>
            </w:pPr>
            <w:r>
              <w:rPr>
                <w:rFonts w:ascii="Arial" w:cs="Arial" w:eastAsia="Arial" w:hAnsi="Arial"/>
                <w:sz w:val="17"/>
                <w:szCs w:val="17"/>
                <w:color w:val="auto"/>
                <w:w w:val="75"/>
              </w:rPr>
              <w:t xml:space="preserve">  </w:t>
            </w: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from 2012 to 2014, he managed operations, including EAF steel production.</w:t>
            </w:r>
          </w:p>
        </w:tc>
        <w:tc>
          <w:tcPr>
            <w:tcW w:w="0" w:type="dxa"/>
            <w:vAlign w:val="bottom"/>
          </w:tcPr>
          <w:p>
            <w:pPr>
              <w:spacing w:after="0"/>
              <w:rPr>
                <w:sz w:val="1"/>
                <w:szCs w:val="1"/>
                <w:color w:val="auto"/>
              </w:rPr>
            </w:pPr>
          </w:p>
        </w:tc>
      </w:tr>
      <w:tr>
        <w:trPr>
          <w:trHeight w:val="223"/>
        </w:trPr>
        <w:tc>
          <w:tcPr>
            <w:tcW w:w="3080" w:type="dxa"/>
            <w:vAlign w:val="bottom"/>
            <w:tcBorders>
              <w:left w:val="single" w:sz="8" w:color="231F20"/>
              <w:right w:val="single" w:sz="8" w:color="auto"/>
            </w:tcBorders>
            <w:vMerge w:val="continue"/>
          </w:tcPr>
          <w:p>
            <w:pPr>
              <w:spacing w:after="0"/>
              <w:rPr>
                <w:sz w:val="19"/>
                <w:szCs w:val="19"/>
                <w:color w:val="auto"/>
              </w:rPr>
            </w:pPr>
          </w:p>
        </w:tc>
        <w:tc>
          <w:tcPr>
            <w:tcW w:w="7620" w:type="dxa"/>
            <w:vAlign w:val="bottom"/>
            <w:tcBorders>
              <w:right w:val="single" w:sz="8" w:color="231F20"/>
            </w:tcBorders>
            <w:gridSpan w:val="5"/>
            <w:vMerge w:val="restart"/>
          </w:tcPr>
          <w:p>
            <w:pPr>
              <w:ind w:left="20"/>
              <w:spacing w:after="0"/>
              <w:rPr>
                <w:sz w:val="20"/>
                <w:szCs w:val="20"/>
                <w:color w:val="auto"/>
              </w:rPr>
            </w:pPr>
            <w:r>
              <w:rPr>
                <w:rFonts w:ascii="Arial" w:cs="Arial" w:eastAsia="Arial" w:hAnsi="Arial"/>
                <w:sz w:val="17"/>
                <w:szCs w:val="17"/>
                <w:color w:val="auto"/>
              </w:rPr>
              <w:t>As President and Chief Executive Officer of ArcelorMittal Dofasco from 2014 to 2021 (when he</w:t>
            </w:r>
          </w:p>
        </w:tc>
        <w:tc>
          <w:tcPr>
            <w:tcW w:w="0" w:type="dxa"/>
            <w:vAlign w:val="bottom"/>
          </w:tcPr>
          <w:p>
            <w:pPr>
              <w:spacing w:after="0"/>
              <w:rPr>
                <w:sz w:val="1"/>
                <w:szCs w:val="1"/>
                <w:color w:val="auto"/>
              </w:rPr>
            </w:pPr>
          </w:p>
        </w:tc>
      </w:tr>
      <w:tr>
        <w:trPr>
          <w:trHeight w:val="176"/>
        </w:trPr>
        <w:tc>
          <w:tcPr>
            <w:tcW w:w="3080" w:type="dxa"/>
            <w:vAlign w:val="bottom"/>
            <w:tcBorders>
              <w:left w:val="single" w:sz="8" w:color="231F20"/>
              <w:right w:val="single" w:sz="8" w:color="auto"/>
            </w:tcBorders>
          </w:tcPr>
          <w:p>
            <w:pPr>
              <w:spacing w:after="0"/>
              <w:rPr>
                <w:sz w:val="15"/>
                <w:szCs w:val="15"/>
                <w:color w:val="auto"/>
              </w:rPr>
            </w:pPr>
          </w:p>
        </w:tc>
        <w:tc>
          <w:tcPr>
            <w:tcW w:w="7620" w:type="dxa"/>
            <w:vAlign w:val="bottom"/>
            <w:tcBorders>
              <w:right w:val="single" w:sz="8" w:color="231F20"/>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3080" w:type="dxa"/>
            <w:vAlign w:val="bottom"/>
            <w:tcBorders>
              <w:left w:val="single" w:sz="8" w:color="231F20"/>
              <w:bottom w:val="single" w:sz="8" w:color="auto"/>
              <w:right w:val="single" w:sz="8" w:color="auto"/>
            </w:tcBorders>
          </w:tcPr>
          <w:p>
            <w:pPr>
              <w:spacing w:after="0"/>
              <w:rPr>
                <w:sz w:val="3"/>
                <w:szCs w:val="3"/>
                <w:color w:val="auto"/>
              </w:rPr>
            </w:pPr>
          </w:p>
        </w:tc>
        <w:tc>
          <w:tcPr>
            <w:tcW w:w="7620" w:type="dxa"/>
            <w:vAlign w:val="bottom"/>
            <w:tcBorders>
              <w:right w:val="single" w:sz="8" w:color="231F20"/>
            </w:tcBorders>
            <w:gridSpan w:val="5"/>
            <w:vMerge w:val="restart"/>
          </w:tcPr>
          <w:p>
            <w:pPr>
              <w:ind w:left="20"/>
              <w:spacing w:after="0"/>
              <w:rPr>
                <w:sz w:val="20"/>
                <w:szCs w:val="20"/>
                <w:color w:val="auto"/>
              </w:rPr>
            </w:pPr>
            <w:r>
              <w:rPr>
                <w:rFonts w:ascii="Arial" w:cs="Arial" w:eastAsia="Arial" w:hAnsi="Arial"/>
                <w:sz w:val="17"/>
                <w:szCs w:val="17"/>
                <w:color w:val="auto"/>
              </w:rPr>
              <w:t>retired), Sean implemented enhanced safety measures, navigated challenges with US trade</w:t>
            </w:r>
          </w:p>
        </w:tc>
        <w:tc>
          <w:tcPr>
            <w:tcW w:w="0" w:type="dxa"/>
            <w:vAlign w:val="bottom"/>
          </w:tcPr>
          <w:p>
            <w:pPr>
              <w:spacing w:after="0"/>
              <w:rPr>
                <w:sz w:val="1"/>
                <w:szCs w:val="1"/>
                <w:color w:val="auto"/>
              </w:rPr>
            </w:pPr>
          </w:p>
        </w:tc>
      </w:tr>
      <w:tr>
        <w:trPr>
          <w:trHeight w:val="133"/>
        </w:trPr>
        <w:tc>
          <w:tcPr>
            <w:tcW w:w="3080" w:type="dxa"/>
            <w:vAlign w:val="bottom"/>
            <w:tcBorders>
              <w:left w:val="single" w:sz="8" w:color="231F20"/>
              <w:right w:val="single" w:sz="8" w:color="auto"/>
            </w:tcBorders>
            <w:vMerge w:val="restart"/>
          </w:tcPr>
          <w:p>
            <w:pPr>
              <w:ind w:left="160"/>
              <w:spacing w:after="0"/>
              <w:rPr>
                <w:sz w:val="20"/>
                <w:szCs w:val="20"/>
                <w:color w:val="auto"/>
              </w:rPr>
            </w:pPr>
            <w:r>
              <w:rPr>
                <w:rFonts w:ascii="Arial" w:cs="Arial" w:eastAsia="Arial" w:hAnsi="Arial"/>
                <w:sz w:val="17"/>
                <w:szCs w:val="17"/>
                <w:color w:val="auto"/>
              </w:rPr>
              <w:t>Age: 68</w:t>
            </w:r>
          </w:p>
        </w:tc>
        <w:tc>
          <w:tcPr>
            <w:tcW w:w="7620" w:type="dxa"/>
            <w:vAlign w:val="bottom"/>
            <w:tcBorders>
              <w:right w:val="single" w:sz="8" w:color="231F20"/>
            </w:tcBorders>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080" w:type="dxa"/>
            <w:vAlign w:val="bottom"/>
            <w:tcBorders>
              <w:left w:val="single" w:sz="8" w:color="231F20"/>
              <w:right w:val="single" w:sz="8" w:color="auto"/>
            </w:tcBorders>
            <w:vMerge w:val="continue"/>
          </w:tcPr>
          <w:p>
            <w:pPr>
              <w:spacing w:after="0"/>
              <w:rPr>
                <w:sz w:val="12"/>
                <w:szCs w:val="12"/>
                <w:color w:val="auto"/>
              </w:rPr>
            </w:pPr>
          </w:p>
        </w:tc>
        <w:tc>
          <w:tcPr>
            <w:tcW w:w="7620" w:type="dxa"/>
            <w:vAlign w:val="bottom"/>
            <w:tcBorders>
              <w:right w:val="single" w:sz="8" w:color="231F20"/>
            </w:tcBorders>
            <w:gridSpan w:val="5"/>
            <w:vMerge w:val="restart"/>
          </w:tcPr>
          <w:p>
            <w:pPr>
              <w:ind w:left="20"/>
              <w:spacing w:after="0"/>
              <w:rPr>
                <w:sz w:val="20"/>
                <w:szCs w:val="20"/>
                <w:color w:val="auto"/>
              </w:rPr>
            </w:pPr>
            <w:r>
              <w:rPr>
                <w:rFonts w:ascii="Arial" w:cs="Arial" w:eastAsia="Arial" w:hAnsi="Arial"/>
                <w:sz w:val="17"/>
                <w:szCs w:val="17"/>
                <w:color w:val="auto"/>
              </w:rPr>
              <w:t>tariffs and COVID-19. Additionally, he chaired the Canadian Steel Producers Association from</w:t>
            </w:r>
          </w:p>
        </w:tc>
        <w:tc>
          <w:tcPr>
            <w:tcW w:w="0" w:type="dxa"/>
            <w:vAlign w:val="bottom"/>
          </w:tcPr>
          <w:p>
            <w:pPr>
              <w:spacing w:after="0"/>
              <w:rPr>
                <w:sz w:val="1"/>
                <w:szCs w:val="1"/>
                <w:color w:val="auto"/>
              </w:rPr>
            </w:pPr>
          </w:p>
        </w:tc>
      </w:tr>
      <w:tr>
        <w:trPr>
          <w:trHeight w:val="58"/>
        </w:trPr>
        <w:tc>
          <w:tcPr>
            <w:tcW w:w="3080" w:type="dxa"/>
            <w:vAlign w:val="bottom"/>
            <w:tcBorders>
              <w:left w:val="single" w:sz="8" w:color="231F20"/>
              <w:right w:val="single" w:sz="8" w:color="auto"/>
            </w:tcBorders>
            <w:vMerge w:val="restart"/>
          </w:tcPr>
          <w:p>
            <w:pPr>
              <w:ind w:left="160"/>
              <w:spacing w:after="0"/>
              <w:rPr>
                <w:sz w:val="20"/>
                <w:szCs w:val="20"/>
                <w:color w:val="auto"/>
              </w:rPr>
            </w:pPr>
            <w:r>
              <w:rPr>
                <w:rFonts w:ascii="Arial" w:cs="Arial" w:eastAsia="Arial" w:hAnsi="Arial"/>
                <w:sz w:val="17"/>
                <w:szCs w:val="17"/>
                <w:color w:val="auto"/>
              </w:rPr>
              <w:t>Location: Stoney Creek, Ontario,</w:t>
            </w:r>
          </w:p>
        </w:tc>
        <w:tc>
          <w:tcPr>
            <w:tcW w:w="7620" w:type="dxa"/>
            <w:vAlign w:val="bottom"/>
            <w:tcBorders>
              <w:right w:val="single" w:sz="8" w:color="231F20"/>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4"/>
        </w:trPr>
        <w:tc>
          <w:tcPr>
            <w:tcW w:w="3080" w:type="dxa"/>
            <w:vAlign w:val="bottom"/>
            <w:tcBorders>
              <w:left w:val="single" w:sz="8" w:color="231F20"/>
              <w:right w:val="single" w:sz="8" w:color="auto"/>
            </w:tcBorders>
            <w:vMerge w:val="continue"/>
          </w:tcPr>
          <w:p>
            <w:pPr>
              <w:spacing w:after="0"/>
              <w:rPr>
                <w:sz w:val="15"/>
                <w:szCs w:val="15"/>
                <w:color w:val="auto"/>
              </w:rPr>
            </w:pPr>
          </w:p>
        </w:tc>
        <w:tc>
          <w:tcPr>
            <w:tcW w:w="7620" w:type="dxa"/>
            <w:vAlign w:val="bottom"/>
            <w:tcBorders>
              <w:right w:val="single" w:sz="8" w:color="231F20"/>
            </w:tcBorders>
            <w:gridSpan w:val="5"/>
          </w:tcPr>
          <w:p>
            <w:pPr>
              <w:ind w:left="20"/>
              <w:spacing w:after="0" w:line="174" w:lineRule="exact"/>
              <w:rPr>
                <w:sz w:val="20"/>
                <w:szCs w:val="20"/>
                <w:color w:val="auto"/>
              </w:rPr>
            </w:pPr>
            <w:r>
              <w:rPr>
                <w:rFonts w:ascii="Arial" w:cs="Arial" w:eastAsia="Arial" w:hAnsi="Arial"/>
                <w:sz w:val="17"/>
                <w:szCs w:val="17"/>
                <w:color w:val="auto"/>
              </w:rPr>
              <w:t>2016 to 2021, and joined the Board of Alectra Inc., an Ontario electric utility company,</w:t>
            </w:r>
          </w:p>
        </w:tc>
        <w:tc>
          <w:tcPr>
            <w:tcW w:w="0" w:type="dxa"/>
            <w:vAlign w:val="bottom"/>
          </w:tcPr>
          <w:p>
            <w:pPr>
              <w:spacing w:after="0"/>
              <w:rPr>
                <w:sz w:val="1"/>
                <w:szCs w:val="1"/>
                <w:color w:val="auto"/>
              </w:rPr>
            </w:pPr>
          </w:p>
        </w:tc>
      </w:tr>
      <w:tr>
        <w:trPr>
          <w:trHeight w:val="219"/>
        </w:trPr>
        <w:tc>
          <w:tcPr>
            <w:tcW w:w="3080" w:type="dxa"/>
            <w:vAlign w:val="bottom"/>
            <w:tcBorders>
              <w:left w:val="single" w:sz="8" w:color="231F20"/>
              <w:right w:val="single" w:sz="8" w:color="auto"/>
            </w:tcBorders>
          </w:tcPr>
          <w:p>
            <w:pPr>
              <w:ind w:left="160"/>
              <w:spacing w:after="0"/>
              <w:rPr>
                <w:sz w:val="20"/>
                <w:szCs w:val="20"/>
                <w:color w:val="auto"/>
              </w:rPr>
            </w:pPr>
            <w:r>
              <w:rPr>
                <w:rFonts w:ascii="Arial" w:cs="Arial" w:eastAsia="Arial" w:hAnsi="Arial"/>
                <w:sz w:val="17"/>
                <w:szCs w:val="17"/>
                <w:color w:val="auto"/>
              </w:rPr>
              <w:t>Canada</w:t>
            </w: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showcasing his versatile expertise and significant industry contributions. In addition to his role as</w:t>
            </w:r>
          </w:p>
        </w:tc>
        <w:tc>
          <w:tcPr>
            <w:tcW w:w="0" w:type="dxa"/>
            <w:vAlign w:val="bottom"/>
          </w:tcPr>
          <w:p>
            <w:pPr>
              <w:spacing w:after="0"/>
              <w:rPr>
                <w:sz w:val="1"/>
                <w:szCs w:val="1"/>
                <w:color w:val="auto"/>
              </w:rPr>
            </w:pPr>
          </w:p>
        </w:tc>
      </w:tr>
      <w:tr>
        <w:trPr>
          <w:trHeight w:val="213"/>
        </w:trPr>
        <w:tc>
          <w:tcPr>
            <w:tcW w:w="3080" w:type="dxa"/>
            <w:vAlign w:val="bottom"/>
            <w:tcBorders>
              <w:left w:val="single" w:sz="8" w:color="231F20"/>
              <w:right w:val="single" w:sz="8" w:color="auto"/>
            </w:tcBorders>
          </w:tcPr>
          <w:p>
            <w:pPr>
              <w:ind w:left="160"/>
              <w:spacing w:after="0"/>
              <w:rPr>
                <w:sz w:val="20"/>
                <w:szCs w:val="20"/>
                <w:color w:val="auto"/>
              </w:rPr>
            </w:pPr>
            <w:r>
              <w:rPr>
                <w:rFonts w:ascii="Arial" w:cs="Arial" w:eastAsia="Arial" w:hAnsi="Arial"/>
                <w:sz w:val="17"/>
                <w:szCs w:val="17"/>
                <w:color w:val="auto"/>
              </w:rPr>
              <w:t>Director Since: September 2024</w:t>
            </w: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a Director on the Alectra board of directors, Sean is a past chair of the Corporate Governance</w:t>
            </w:r>
          </w:p>
        </w:tc>
        <w:tc>
          <w:tcPr>
            <w:tcW w:w="0" w:type="dxa"/>
            <w:vAlign w:val="bottom"/>
          </w:tcPr>
          <w:p>
            <w:pPr>
              <w:spacing w:after="0"/>
              <w:rPr>
                <w:sz w:val="1"/>
                <w:szCs w:val="1"/>
                <w:color w:val="auto"/>
              </w:rPr>
            </w:pPr>
          </w:p>
        </w:tc>
      </w:tr>
      <w:tr>
        <w:trPr>
          <w:trHeight w:val="180"/>
        </w:trPr>
        <w:tc>
          <w:tcPr>
            <w:tcW w:w="3080" w:type="dxa"/>
            <w:vAlign w:val="bottom"/>
            <w:tcBorders>
              <w:left w:val="single" w:sz="8" w:color="231F20"/>
              <w:right w:val="single" w:sz="8" w:color="auto"/>
            </w:tcBorders>
          </w:tcPr>
          <w:p>
            <w:pPr>
              <w:spacing w:after="0"/>
              <w:rPr>
                <w:sz w:val="15"/>
                <w:szCs w:val="15"/>
                <w:color w:val="auto"/>
              </w:rPr>
            </w:pPr>
          </w:p>
        </w:tc>
        <w:tc>
          <w:tcPr>
            <w:tcW w:w="7620" w:type="dxa"/>
            <w:vAlign w:val="bottom"/>
            <w:tcBorders>
              <w:right w:val="single" w:sz="8" w:color="231F20"/>
            </w:tcBorders>
            <w:gridSpan w:val="5"/>
          </w:tcPr>
          <w:p>
            <w:pPr>
              <w:ind w:left="20"/>
              <w:spacing w:after="0" w:line="180" w:lineRule="exact"/>
              <w:rPr>
                <w:sz w:val="20"/>
                <w:szCs w:val="20"/>
                <w:color w:val="auto"/>
              </w:rPr>
            </w:pPr>
            <w:r>
              <w:rPr>
                <w:rFonts w:ascii="Arial" w:cs="Arial" w:eastAsia="Arial" w:hAnsi="Arial"/>
                <w:sz w:val="17"/>
                <w:szCs w:val="17"/>
                <w:color w:val="auto"/>
              </w:rPr>
              <w:t>and Nominating Committee, a past chair of the People and Safety Committee, the current chair of</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the Development Committee, and a current member of the Audit Finance and Risk Management</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Committee. In October 2025, Sean joined the Board of Directors of Stella-Jones Inc., a Canadian</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infrastructure manufacturing company that services Canada and the US. Sean sits on the</w:t>
            </w:r>
          </w:p>
        </w:tc>
        <w:tc>
          <w:tcPr>
            <w:tcW w:w="0" w:type="dxa"/>
            <w:vAlign w:val="bottom"/>
          </w:tcPr>
          <w:p>
            <w:pPr>
              <w:spacing w:after="0"/>
              <w:rPr>
                <w:sz w:val="1"/>
                <w:szCs w:val="1"/>
                <w:color w:val="auto"/>
              </w:rPr>
            </w:pPr>
          </w:p>
        </w:tc>
      </w:tr>
      <w:tr>
        <w:trPr>
          <w:trHeight w:val="226"/>
        </w:trPr>
        <w:tc>
          <w:tcPr>
            <w:tcW w:w="3080" w:type="dxa"/>
            <w:vAlign w:val="bottom"/>
            <w:tcBorders>
              <w:left w:val="single" w:sz="8" w:color="231F20"/>
              <w:bottom w:val="single" w:sz="8" w:color="231F20"/>
              <w:right w:val="single" w:sz="8" w:color="auto"/>
            </w:tcBorders>
          </w:tcPr>
          <w:p>
            <w:pPr>
              <w:spacing w:after="0"/>
              <w:rPr>
                <w:sz w:val="19"/>
                <w:szCs w:val="19"/>
                <w:color w:val="auto"/>
              </w:rPr>
            </w:pPr>
          </w:p>
        </w:tc>
        <w:tc>
          <w:tcPr>
            <w:tcW w:w="7620" w:type="dxa"/>
            <w:vAlign w:val="bottom"/>
            <w:tcBorders>
              <w:bottom w:val="single" w:sz="8" w:color="231F20"/>
              <w:right w:val="single" w:sz="8" w:color="231F20"/>
            </w:tcBorders>
            <w:gridSpan w:val="5"/>
          </w:tcPr>
          <w:p>
            <w:pPr>
              <w:ind w:left="20"/>
              <w:spacing w:after="0"/>
              <w:rPr>
                <w:sz w:val="20"/>
                <w:szCs w:val="20"/>
                <w:color w:val="auto"/>
              </w:rPr>
            </w:pPr>
            <w:r>
              <w:rPr>
                <w:rFonts w:ascii="Arial" w:cs="Arial" w:eastAsia="Arial" w:hAnsi="Arial"/>
                <w:sz w:val="17"/>
                <w:szCs w:val="17"/>
                <w:color w:val="auto"/>
              </w:rPr>
              <w:t>Governance and Nominating and the Environment, Health and Safety committees.</w:t>
            </w:r>
          </w:p>
        </w:tc>
        <w:tc>
          <w:tcPr>
            <w:tcW w:w="0" w:type="dxa"/>
            <w:vAlign w:val="bottom"/>
          </w:tcPr>
          <w:p>
            <w:pPr>
              <w:spacing w:after="0"/>
              <w:rPr>
                <w:sz w:val="1"/>
                <w:szCs w:val="1"/>
                <w:color w:val="auto"/>
              </w:rPr>
            </w:pPr>
          </w:p>
        </w:tc>
      </w:tr>
      <w:tr>
        <w:trPr>
          <w:trHeight w:val="301"/>
        </w:trPr>
        <w:tc>
          <w:tcPr>
            <w:tcW w:w="3080" w:type="dxa"/>
            <w:vAlign w:val="bottom"/>
            <w:tcBorders>
              <w:left w:val="single" w:sz="8" w:color="231F20"/>
              <w:bottom w:val="single" w:sz="8" w:color="231F20"/>
              <w:right w:val="single" w:sz="8" w:color="231F20"/>
            </w:tcBorders>
          </w:tcPr>
          <w:p>
            <w:pPr>
              <w:ind w:left="160"/>
              <w:spacing w:after="0"/>
              <w:rPr>
                <w:sz w:val="20"/>
                <w:szCs w:val="20"/>
                <w:color w:val="auto"/>
              </w:rPr>
            </w:pPr>
            <w:r>
              <w:rPr>
                <w:rFonts w:ascii="Arial" w:cs="Arial" w:eastAsia="Arial" w:hAnsi="Arial"/>
                <w:sz w:val="19"/>
                <w:szCs w:val="19"/>
                <w:color w:val="auto"/>
              </w:rPr>
              <w:t xml:space="preserve">Status: </w:t>
            </w:r>
            <w:r>
              <w:rPr>
                <w:rFonts w:ascii="Arial" w:cs="Arial" w:eastAsia="Arial" w:hAnsi="Arial"/>
                <w:sz w:val="19"/>
                <w:szCs w:val="19"/>
                <w:b w:val="1"/>
                <w:bCs w:val="1"/>
                <w:color w:val="auto"/>
              </w:rPr>
              <w:t>INDEPENDENT</w:t>
            </w:r>
          </w:p>
        </w:tc>
        <w:tc>
          <w:tcPr>
            <w:tcW w:w="1460" w:type="dxa"/>
            <w:vAlign w:val="bottom"/>
            <w:tcBorders>
              <w:bottom w:val="single" w:sz="8" w:color="231F20"/>
            </w:tcBorders>
            <w:shd w:val="clear" w:color="auto" w:fill="003445"/>
          </w:tcPr>
          <w:p>
            <w:pPr>
              <w:spacing w:after="0"/>
              <w:rPr>
                <w:sz w:val="24"/>
                <w:szCs w:val="24"/>
                <w:color w:val="auto"/>
              </w:rPr>
            </w:pPr>
          </w:p>
        </w:tc>
        <w:tc>
          <w:tcPr>
            <w:tcW w:w="400" w:type="dxa"/>
            <w:vAlign w:val="bottom"/>
            <w:tcBorders>
              <w:bottom w:val="single" w:sz="8" w:color="231F20"/>
              <w:right w:val="single" w:sz="8" w:color="003445"/>
            </w:tcBorders>
            <w:shd w:val="clear" w:color="auto" w:fill="003445"/>
          </w:tcPr>
          <w:p>
            <w:pPr>
              <w:spacing w:after="0"/>
              <w:rPr>
                <w:sz w:val="24"/>
                <w:szCs w:val="24"/>
                <w:color w:val="auto"/>
              </w:rPr>
            </w:pPr>
          </w:p>
        </w:tc>
        <w:tc>
          <w:tcPr>
            <w:tcW w:w="520" w:type="dxa"/>
            <w:vAlign w:val="bottom"/>
            <w:tcBorders>
              <w:bottom w:val="single" w:sz="8" w:color="231F20"/>
              <w:right w:val="single" w:sz="8" w:color="003445"/>
            </w:tcBorders>
            <w:shd w:val="clear" w:color="auto" w:fill="003445"/>
          </w:tcPr>
          <w:p>
            <w:pPr>
              <w:spacing w:after="0"/>
              <w:rPr>
                <w:sz w:val="24"/>
                <w:szCs w:val="24"/>
                <w:color w:val="auto"/>
              </w:rPr>
            </w:pPr>
          </w:p>
        </w:tc>
        <w:tc>
          <w:tcPr>
            <w:tcW w:w="5240" w:type="dxa"/>
            <w:vAlign w:val="bottom"/>
            <w:tcBorders>
              <w:bottom w:val="single" w:sz="8" w:color="231F20"/>
              <w:right w:val="single" w:sz="8" w:color="231F20"/>
            </w:tcBorders>
            <w:gridSpan w:val="2"/>
            <w:shd w:val="clear" w:color="auto" w:fill="003445"/>
          </w:tcPr>
          <w:p>
            <w:pPr>
              <w:jc w:val="center"/>
              <w:ind w:right="2308"/>
              <w:spacing w:after="0"/>
              <w:rPr>
                <w:sz w:val="20"/>
                <w:szCs w:val="20"/>
                <w:color w:val="auto"/>
              </w:rPr>
            </w:pPr>
            <w:r>
              <w:rPr>
                <w:rFonts w:ascii="Arial" w:cs="Arial" w:eastAsia="Arial" w:hAnsi="Arial"/>
                <w:sz w:val="17"/>
                <w:szCs w:val="17"/>
                <w:b w:val="1"/>
                <w:bCs w:val="1"/>
                <w:color w:val="FFFFFF"/>
              </w:rPr>
              <w:t>Other Public Board Memberships</w:t>
            </w:r>
          </w:p>
        </w:tc>
        <w:tc>
          <w:tcPr>
            <w:tcW w:w="0" w:type="dxa"/>
            <w:vAlign w:val="bottom"/>
          </w:tcPr>
          <w:p>
            <w:pPr>
              <w:spacing w:after="0"/>
              <w:rPr>
                <w:sz w:val="1"/>
                <w:szCs w:val="1"/>
                <w:color w:val="auto"/>
              </w:rPr>
            </w:pPr>
          </w:p>
        </w:tc>
      </w:tr>
      <w:tr>
        <w:trPr>
          <w:trHeight w:val="240"/>
        </w:trPr>
        <w:tc>
          <w:tcPr>
            <w:tcW w:w="3080" w:type="dxa"/>
            <w:vAlign w:val="bottom"/>
            <w:tcBorders>
              <w:left w:val="single" w:sz="8" w:color="231F20"/>
              <w:right w:val="single" w:sz="8" w:color="231F20"/>
            </w:tcBorders>
          </w:tcPr>
          <w:p>
            <w:pPr>
              <w:spacing w:after="0"/>
              <w:rPr>
                <w:sz w:val="20"/>
                <w:szCs w:val="20"/>
                <w:color w:val="auto"/>
              </w:rPr>
            </w:pPr>
          </w:p>
        </w:tc>
        <w:tc>
          <w:tcPr>
            <w:tcW w:w="1460" w:type="dxa"/>
            <w:vAlign w:val="bottom"/>
          </w:tcPr>
          <w:p>
            <w:pPr>
              <w:ind w:left="20"/>
              <w:spacing w:after="0"/>
              <w:rPr>
                <w:sz w:val="20"/>
                <w:szCs w:val="20"/>
                <w:color w:val="auto"/>
              </w:rPr>
            </w:pPr>
            <w:r>
              <w:rPr>
                <w:rFonts w:ascii="Arial" w:cs="Arial" w:eastAsia="Arial" w:hAnsi="Arial"/>
                <w:sz w:val="19"/>
                <w:szCs w:val="19"/>
                <w:color w:val="auto"/>
              </w:rPr>
              <w:t>Alectra Inc.</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80" w:type="dxa"/>
            <w:vAlign w:val="bottom"/>
            <w:tcBorders>
              <w:left w:val="single" w:sz="8" w:color="231F20"/>
              <w:bottom w:val="single" w:sz="8" w:color="231F20"/>
              <w:right w:val="single" w:sz="8" w:color="231F20"/>
            </w:tcBorders>
          </w:tcPr>
          <w:p>
            <w:pPr>
              <w:spacing w:after="0"/>
              <w:rPr>
                <w:sz w:val="21"/>
                <w:szCs w:val="21"/>
                <w:color w:val="auto"/>
              </w:rPr>
            </w:pPr>
          </w:p>
        </w:tc>
        <w:tc>
          <w:tcPr>
            <w:tcW w:w="1460" w:type="dxa"/>
            <w:vAlign w:val="bottom"/>
            <w:tcBorders>
              <w:bottom w:val="single" w:sz="8" w:color="231F20"/>
            </w:tcBorders>
          </w:tcPr>
          <w:p>
            <w:pPr>
              <w:ind w:left="20"/>
              <w:spacing w:after="0"/>
              <w:rPr>
                <w:sz w:val="20"/>
                <w:szCs w:val="20"/>
                <w:color w:val="auto"/>
              </w:rPr>
            </w:pPr>
            <w:r>
              <w:rPr>
                <w:rFonts w:ascii="Arial" w:cs="Arial" w:eastAsia="Arial" w:hAnsi="Arial"/>
                <w:sz w:val="19"/>
                <w:szCs w:val="19"/>
                <w:color w:val="auto"/>
              </w:rPr>
              <w:t>Stella-Jones Inc.</w:t>
            </w:r>
          </w:p>
        </w:tc>
        <w:tc>
          <w:tcPr>
            <w:tcW w:w="400" w:type="dxa"/>
            <w:vAlign w:val="bottom"/>
            <w:tcBorders>
              <w:bottom w:val="single" w:sz="8" w:color="231F20"/>
            </w:tcBorders>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1840" w:type="dxa"/>
            <w:vAlign w:val="bottom"/>
            <w:tcBorders>
              <w:bottom w:val="single" w:sz="8" w:color="231F20"/>
            </w:tcBorders>
          </w:tcPr>
          <w:p>
            <w:pPr>
              <w:spacing w:after="0"/>
              <w:rPr>
                <w:sz w:val="21"/>
                <w:szCs w:val="21"/>
                <w:color w:val="auto"/>
              </w:rPr>
            </w:pPr>
          </w:p>
        </w:tc>
        <w:tc>
          <w:tcPr>
            <w:tcW w:w="3400" w:type="dxa"/>
            <w:vAlign w:val="bottom"/>
            <w:tcBorders>
              <w:bottom w:val="single" w:sz="8" w:color="231F20"/>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080" w:type="dxa"/>
            <w:vAlign w:val="bottom"/>
            <w:tcBorders>
              <w:left w:val="single" w:sz="8" w:color="231F20"/>
              <w:right w:val="single" w:sz="8" w:color="003445"/>
            </w:tcBorders>
            <w:shd w:val="clear" w:color="auto" w:fill="003445"/>
          </w:tcPr>
          <w:p>
            <w:pPr>
              <w:spacing w:after="0"/>
              <w:rPr>
                <w:sz w:val="19"/>
                <w:szCs w:val="19"/>
                <w:color w:val="auto"/>
              </w:rPr>
            </w:pPr>
          </w:p>
        </w:tc>
        <w:tc>
          <w:tcPr>
            <w:tcW w:w="1460" w:type="dxa"/>
            <w:vAlign w:val="bottom"/>
            <w:shd w:val="clear" w:color="auto" w:fill="003445"/>
          </w:tcPr>
          <w:p>
            <w:pPr>
              <w:spacing w:after="0"/>
              <w:rPr>
                <w:sz w:val="19"/>
                <w:szCs w:val="19"/>
                <w:color w:val="auto"/>
              </w:rPr>
            </w:pPr>
          </w:p>
        </w:tc>
        <w:tc>
          <w:tcPr>
            <w:tcW w:w="400" w:type="dxa"/>
            <w:vAlign w:val="bottom"/>
            <w:tcBorders>
              <w:right w:val="single" w:sz="8" w:color="231F20"/>
            </w:tcBorders>
            <w:shd w:val="clear" w:color="auto" w:fill="003445"/>
          </w:tcPr>
          <w:p>
            <w:pPr>
              <w:spacing w:after="0"/>
              <w:rPr>
                <w:sz w:val="19"/>
                <w:szCs w:val="19"/>
                <w:color w:val="auto"/>
              </w:rPr>
            </w:pPr>
          </w:p>
        </w:tc>
        <w:tc>
          <w:tcPr>
            <w:tcW w:w="520" w:type="dxa"/>
            <w:vAlign w:val="bottom"/>
            <w:tcBorders>
              <w:right w:val="single" w:sz="8" w:color="003445"/>
            </w:tcBorders>
            <w:shd w:val="clear" w:color="auto" w:fill="003445"/>
          </w:tcPr>
          <w:p>
            <w:pPr>
              <w:spacing w:after="0"/>
              <w:rPr>
                <w:sz w:val="19"/>
                <w:szCs w:val="19"/>
                <w:color w:val="auto"/>
              </w:rPr>
            </w:pPr>
          </w:p>
        </w:tc>
        <w:tc>
          <w:tcPr>
            <w:tcW w:w="1840" w:type="dxa"/>
            <w:vAlign w:val="bottom"/>
            <w:tcBorders>
              <w:right w:val="single" w:sz="8" w:color="231F20"/>
            </w:tcBorders>
            <w:shd w:val="clear" w:color="auto" w:fill="003445"/>
          </w:tcPr>
          <w:p>
            <w:pPr>
              <w:ind w:left="60"/>
              <w:spacing w:after="0"/>
              <w:rPr>
                <w:sz w:val="20"/>
                <w:szCs w:val="20"/>
                <w:color w:val="auto"/>
              </w:rPr>
            </w:pPr>
            <w:r>
              <w:rPr>
                <w:rFonts w:ascii="Arial" w:cs="Arial" w:eastAsia="Arial" w:hAnsi="Arial"/>
                <w:sz w:val="19"/>
                <w:szCs w:val="19"/>
                <w:b w:val="1"/>
                <w:bCs w:val="1"/>
                <w:color w:val="FFFFFF"/>
              </w:rPr>
              <w:t>Attendance at</w:t>
            </w:r>
          </w:p>
        </w:tc>
        <w:tc>
          <w:tcPr>
            <w:tcW w:w="3400" w:type="dxa"/>
            <w:vAlign w:val="bottom"/>
            <w:tcBorders>
              <w:right w:val="single" w:sz="8" w:color="231F20"/>
            </w:tcBorders>
            <w:shd w:val="clear" w:color="auto" w:fill="00344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80" w:type="dxa"/>
            <w:vAlign w:val="bottom"/>
            <w:tcBorders>
              <w:left w:val="single" w:sz="8" w:color="231F20"/>
              <w:right w:val="single" w:sz="8" w:color="003445"/>
            </w:tcBorders>
            <w:shd w:val="clear" w:color="auto" w:fill="003445"/>
          </w:tcPr>
          <w:p>
            <w:pPr>
              <w:spacing w:after="0"/>
              <w:rPr>
                <w:sz w:val="18"/>
                <w:szCs w:val="18"/>
                <w:color w:val="auto"/>
              </w:rPr>
            </w:pPr>
          </w:p>
        </w:tc>
        <w:tc>
          <w:tcPr>
            <w:tcW w:w="1460" w:type="dxa"/>
            <w:vAlign w:val="bottom"/>
            <w:shd w:val="clear" w:color="auto" w:fill="003445"/>
          </w:tcPr>
          <w:p>
            <w:pPr>
              <w:spacing w:after="0"/>
              <w:rPr>
                <w:sz w:val="18"/>
                <w:szCs w:val="18"/>
                <w:color w:val="auto"/>
              </w:rPr>
            </w:pPr>
          </w:p>
        </w:tc>
        <w:tc>
          <w:tcPr>
            <w:tcW w:w="400" w:type="dxa"/>
            <w:vAlign w:val="bottom"/>
            <w:tcBorders>
              <w:right w:val="single" w:sz="8" w:color="231F20"/>
            </w:tcBorders>
            <w:shd w:val="clear" w:color="auto" w:fill="003445"/>
          </w:tcPr>
          <w:p>
            <w:pPr>
              <w:spacing w:after="0"/>
              <w:rPr>
                <w:sz w:val="18"/>
                <w:szCs w:val="18"/>
                <w:color w:val="auto"/>
              </w:rPr>
            </w:pPr>
          </w:p>
        </w:tc>
        <w:tc>
          <w:tcPr>
            <w:tcW w:w="2360" w:type="dxa"/>
            <w:vAlign w:val="bottom"/>
            <w:tcBorders>
              <w:right w:val="single" w:sz="8" w:color="231F20"/>
            </w:tcBorders>
            <w:gridSpan w:val="2"/>
            <w:shd w:val="clear" w:color="auto" w:fill="003445"/>
          </w:tcPr>
          <w:p>
            <w:pPr>
              <w:ind w:left="240"/>
              <w:spacing w:after="0" w:line="210" w:lineRule="exact"/>
              <w:rPr>
                <w:sz w:val="20"/>
                <w:szCs w:val="20"/>
                <w:color w:val="auto"/>
              </w:rPr>
            </w:pPr>
            <w:r>
              <w:rPr>
                <w:rFonts w:ascii="Arial" w:cs="Arial" w:eastAsia="Arial" w:hAnsi="Arial"/>
                <w:sz w:val="19"/>
                <w:szCs w:val="19"/>
                <w:b w:val="1"/>
                <w:bCs w:val="1"/>
                <w:color w:val="FFFFFF"/>
              </w:rPr>
              <w:t>   Regular Meetings</w:t>
            </w:r>
          </w:p>
        </w:tc>
        <w:tc>
          <w:tcPr>
            <w:tcW w:w="3400" w:type="dxa"/>
            <w:vAlign w:val="bottom"/>
            <w:tcBorders>
              <w:right w:val="single" w:sz="8" w:color="231F20"/>
            </w:tcBorders>
            <w:shd w:val="clear" w:color="auto" w:fill="003445"/>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540" w:type="dxa"/>
            <w:vAlign w:val="bottom"/>
            <w:tcBorders>
              <w:left w:val="single" w:sz="8" w:color="231F20"/>
              <w:bottom w:val="single" w:sz="8" w:color="231F20"/>
            </w:tcBorders>
            <w:gridSpan w:val="2"/>
            <w:shd w:val="clear" w:color="auto" w:fill="003445"/>
          </w:tcPr>
          <w:p>
            <w:pPr>
              <w:jc w:val="center"/>
              <w:ind w:left="449"/>
              <w:spacing w:after="0"/>
              <w:rPr>
                <w:sz w:val="20"/>
                <w:szCs w:val="20"/>
                <w:color w:val="auto"/>
              </w:rPr>
            </w:pPr>
            <w:r>
              <w:rPr>
                <w:rFonts w:ascii="Arial" w:cs="Arial" w:eastAsia="Arial" w:hAnsi="Arial"/>
                <w:sz w:val="19"/>
                <w:szCs w:val="19"/>
                <w:b w:val="1"/>
                <w:bCs w:val="1"/>
                <w:color w:val="FFFFFF"/>
              </w:rPr>
              <w:t>Board / Committee Memberships</w:t>
            </w:r>
          </w:p>
        </w:tc>
        <w:tc>
          <w:tcPr>
            <w:tcW w:w="400" w:type="dxa"/>
            <w:vAlign w:val="bottom"/>
            <w:tcBorders>
              <w:bottom w:val="single" w:sz="8" w:color="231F20"/>
              <w:right w:val="single" w:sz="8" w:color="231F20"/>
            </w:tcBorders>
            <w:shd w:val="clear" w:color="auto" w:fill="003445"/>
          </w:tcPr>
          <w:p>
            <w:pPr>
              <w:spacing w:after="0"/>
              <w:rPr>
                <w:sz w:val="24"/>
                <w:szCs w:val="24"/>
                <w:color w:val="auto"/>
              </w:rPr>
            </w:pPr>
          </w:p>
        </w:tc>
        <w:tc>
          <w:tcPr>
            <w:tcW w:w="520" w:type="dxa"/>
            <w:vAlign w:val="bottom"/>
            <w:tcBorders>
              <w:bottom w:val="single" w:sz="8" w:color="231F20"/>
              <w:right w:val="single" w:sz="8" w:color="003445"/>
            </w:tcBorders>
            <w:shd w:val="clear" w:color="auto" w:fill="003445"/>
          </w:tcPr>
          <w:p>
            <w:pPr>
              <w:spacing w:after="0"/>
              <w:rPr>
                <w:sz w:val="24"/>
                <w:szCs w:val="24"/>
                <w:color w:val="auto"/>
              </w:rPr>
            </w:pPr>
          </w:p>
        </w:tc>
        <w:tc>
          <w:tcPr>
            <w:tcW w:w="1840" w:type="dxa"/>
            <w:vAlign w:val="bottom"/>
            <w:tcBorders>
              <w:bottom w:val="single" w:sz="8" w:color="231F20"/>
              <w:right w:val="single" w:sz="8" w:color="231F20"/>
            </w:tcBorders>
            <w:shd w:val="clear" w:color="auto" w:fill="003445"/>
          </w:tcPr>
          <w:p>
            <w:pPr>
              <w:ind w:left="80"/>
              <w:spacing w:after="0"/>
              <w:rPr>
                <w:sz w:val="20"/>
                <w:szCs w:val="20"/>
                <w:color w:val="auto"/>
              </w:rPr>
            </w:pPr>
            <w:r>
              <w:rPr>
                <w:rFonts w:ascii="Arial" w:cs="Arial" w:eastAsia="Arial" w:hAnsi="Arial"/>
                <w:sz w:val="19"/>
                <w:szCs w:val="19"/>
                <w:b w:val="1"/>
                <w:bCs w:val="1"/>
                <w:color w:val="FFFFFF"/>
              </w:rPr>
              <w:t>in Fiscal 2025</w:t>
            </w:r>
          </w:p>
        </w:tc>
        <w:tc>
          <w:tcPr>
            <w:tcW w:w="3400" w:type="dxa"/>
            <w:vAlign w:val="bottom"/>
            <w:tcBorders>
              <w:bottom w:val="single" w:sz="8" w:color="231F20"/>
              <w:right w:val="single" w:sz="8" w:color="231F20"/>
            </w:tcBorders>
            <w:shd w:val="clear" w:color="auto" w:fill="003445"/>
          </w:tcPr>
          <w:p>
            <w:pPr>
              <w:jc w:val="right"/>
              <w:ind w:right="248"/>
              <w:spacing w:after="0"/>
              <w:rPr>
                <w:sz w:val="20"/>
                <w:szCs w:val="20"/>
                <w:color w:val="auto"/>
              </w:rPr>
            </w:pPr>
            <w:r>
              <w:rPr>
                <w:rFonts w:ascii="Arial" w:cs="Arial" w:eastAsia="Arial" w:hAnsi="Arial"/>
                <w:sz w:val="19"/>
                <w:szCs w:val="19"/>
                <w:b w:val="1"/>
                <w:bCs w:val="1"/>
                <w:color w:val="FFFFFF"/>
              </w:rPr>
              <w:t xml:space="preserve">         Overall Attendance       </w:t>
            </w:r>
          </w:p>
        </w:tc>
        <w:tc>
          <w:tcPr>
            <w:tcW w:w="0" w:type="dxa"/>
            <w:vAlign w:val="bottom"/>
          </w:tcPr>
          <w:p>
            <w:pPr>
              <w:spacing w:after="0"/>
              <w:rPr>
                <w:sz w:val="1"/>
                <w:szCs w:val="1"/>
                <w:color w:val="auto"/>
              </w:rPr>
            </w:pPr>
          </w:p>
        </w:tc>
      </w:tr>
      <w:tr>
        <w:trPr>
          <w:trHeight w:val="272"/>
        </w:trPr>
        <w:tc>
          <w:tcPr>
            <w:tcW w:w="3080" w:type="dxa"/>
            <w:vAlign w:val="bottom"/>
            <w:tcBorders>
              <w:left w:val="single" w:sz="8" w:color="231F20"/>
            </w:tcBorders>
          </w:tcPr>
          <w:p>
            <w:pPr>
              <w:jc w:val="center"/>
              <w:ind w:left="1909"/>
              <w:spacing w:after="0"/>
              <w:rPr>
                <w:sz w:val="20"/>
                <w:szCs w:val="20"/>
                <w:color w:val="auto"/>
              </w:rPr>
            </w:pPr>
            <w:r>
              <w:rPr>
                <w:rFonts w:ascii="Arial" w:cs="Arial" w:eastAsia="Arial" w:hAnsi="Arial"/>
                <w:sz w:val="19"/>
                <w:szCs w:val="19"/>
                <w:color w:val="auto"/>
              </w:rPr>
              <w:t>Board</w:t>
            </w:r>
          </w:p>
        </w:tc>
        <w:tc>
          <w:tcPr>
            <w:tcW w:w="1460" w:type="dxa"/>
            <w:vAlign w:val="bottom"/>
          </w:tcPr>
          <w:p>
            <w:pPr>
              <w:spacing w:after="0"/>
              <w:rPr>
                <w:sz w:val="23"/>
                <w:szCs w:val="23"/>
                <w:color w:val="auto"/>
              </w:rPr>
            </w:pPr>
          </w:p>
        </w:tc>
        <w:tc>
          <w:tcPr>
            <w:tcW w:w="400" w:type="dxa"/>
            <w:vAlign w:val="bottom"/>
            <w:tcBorders>
              <w:right w:val="single" w:sz="8" w:color="231F20"/>
            </w:tcBorders>
          </w:tcPr>
          <w:p>
            <w:pPr>
              <w:spacing w:after="0"/>
              <w:rPr>
                <w:sz w:val="23"/>
                <w:szCs w:val="23"/>
                <w:color w:val="auto"/>
              </w:rPr>
            </w:pPr>
          </w:p>
        </w:tc>
        <w:tc>
          <w:tcPr>
            <w:tcW w:w="2360" w:type="dxa"/>
            <w:vAlign w:val="bottom"/>
            <w:tcBorders>
              <w:right w:val="single" w:sz="8" w:color="231F20"/>
            </w:tcBorders>
            <w:gridSpan w:val="2"/>
          </w:tcPr>
          <w:p>
            <w:pPr>
              <w:jc w:val="center"/>
              <w:spacing w:after="0"/>
              <w:rPr>
                <w:sz w:val="20"/>
                <w:szCs w:val="20"/>
                <w:color w:val="auto"/>
              </w:rPr>
            </w:pPr>
            <w:r>
              <w:rPr>
                <w:rFonts w:ascii="Arial" w:cs="Arial" w:eastAsia="Arial" w:hAnsi="Arial"/>
                <w:sz w:val="19"/>
                <w:szCs w:val="19"/>
                <w:color w:val="auto"/>
              </w:rPr>
              <w:t>7/7</w:t>
            </w:r>
          </w:p>
        </w:tc>
        <w:tc>
          <w:tcPr>
            <w:tcW w:w="3400" w:type="dxa"/>
            <w:vAlign w:val="bottom"/>
            <w:tcBorders>
              <w:right w:val="single" w:sz="8" w:color="231F20"/>
            </w:tcBorders>
          </w:tcPr>
          <w:p>
            <w:pPr>
              <w:jc w:val="right"/>
              <w:ind w:right="1348"/>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75"/>
        </w:trPr>
        <w:tc>
          <w:tcPr>
            <w:tcW w:w="4540" w:type="dxa"/>
            <w:vAlign w:val="bottom"/>
            <w:tcBorders>
              <w:left w:val="single" w:sz="8" w:color="231F20"/>
            </w:tcBorders>
            <w:gridSpan w:val="2"/>
          </w:tcPr>
          <w:p>
            <w:pPr>
              <w:jc w:val="center"/>
              <w:ind w:left="449"/>
              <w:spacing w:after="0"/>
              <w:rPr>
                <w:sz w:val="20"/>
                <w:szCs w:val="20"/>
                <w:color w:val="auto"/>
              </w:rPr>
            </w:pPr>
            <w:r>
              <w:rPr>
                <w:rFonts w:ascii="Arial" w:cs="Arial" w:eastAsia="Arial" w:hAnsi="Arial"/>
                <w:sz w:val="19"/>
                <w:szCs w:val="19"/>
                <w:color w:val="auto"/>
              </w:rPr>
              <w:t>Audit &amp; Risk Management Committee</w:t>
            </w:r>
          </w:p>
        </w:tc>
        <w:tc>
          <w:tcPr>
            <w:tcW w:w="400" w:type="dxa"/>
            <w:vAlign w:val="bottom"/>
            <w:tcBorders>
              <w:right w:val="single" w:sz="8" w:color="231F20"/>
            </w:tcBorders>
          </w:tcPr>
          <w:p>
            <w:pPr>
              <w:spacing w:after="0"/>
              <w:rPr>
                <w:sz w:val="23"/>
                <w:szCs w:val="23"/>
                <w:color w:val="auto"/>
              </w:rPr>
            </w:pPr>
          </w:p>
        </w:tc>
        <w:tc>
          <w:tcPr>
            <w:tcW w:w="2360" w:type="dxa"/>
            <w:vAlign w:val="bottom"/>
            <w:tcBorders>
              <w:right w:val="single" w:sz="8" w:color="231F20"/>
            </w:tcBorders>
            <w:gridSpan w:val="2"/>
          </w:tcPr>
          <w:p>
            <w:pPr>
              <w:jc w:val="center"/>
              <w:spacing w:after="0"/>
              <w:rPr>
                <w:sz w:val="20"/>
                <w:szCs w:val="20"/>
                <w:color w:val="auto"/>
              </w:rPr>
            </w:pPr>
            <w:r>
              <w:rPr>
                <w:rFonts w:ascii="Arial" w:cs="Arial" w:eastAsia="Arial" w:hAnsi="Arial"/>
                <w:sz w:val="19"/>
                <w:szCs w:val="19"/>
                <w:color w:val="auto"/>
              </w:rPr>
              <w:t>9/9</w:t>
            </w:r>
          </w:p>
        </w:tc>
        <w:tc>
          <w:tcPr>
            <w:tcW w:w="340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540" w:type="dxa"/>
            <w:vAlign w:val="bottom"/>
            <w:tcBorders>
              <w:left w:val="single" w:sz="8" w:color="231F20"/>
            </w:tcBorders>
            <w:gridSpan w:val="2"/>
          </w:tcPr>
          <w:p>
            <w:pPr>
              <w:jc w:val="center"/>
              <w:ind w:left="449"/>
              <w:spacing w:after="0"/>
              <w:rPr>
                <w:sz w:val="20"/>
                <w:szCs w:val="20"/>
                <w:color w:val="auto"/>
              </w:rPr>
            </w:pPr>
            <w:r>
              <w:rPr>
                <w:rFonts w:ascii="Arial" w:cs="Arial" w:eastAsia="Arial" w:hAnsi="Arial"/>
                <w:sz w:val="19"/>
                <w:szCs w:val="19"/>
                <w:color w:val="auto"/>
              </w:rPr>
              <w:t>Operations and Capital Projects Committee</w:t>
            </w:r>
          </w:p>
        </w:tc>
        <w:tc>
          <w:tcPr>
            <w:tcW w:w="400" w:type="dxa"/>
            <w:vAlign w:val="bottom"/>
            <w:tcBorders>
              <w:right w:val="single" w:sz="8" w:color="231F20"/>
            </w:tcBorders>
          </w:tcPr>
          <w:p>
            <w:pPr>
              <w:spacing w:after="0"/>
              <w:rPr>
                <w:sz w:val="23"/>
                <w:szCs w:val="23"/>
                <w:color w:val="auto"/>
              </w:rPr>
            </w:pPr>
          </w:p>
        </w:tc>
        <w:tc>
          <w:tcPr>
            <w:tcW w:w="2360" w:type="dxa"/>
            <w:vAlign w:val="bottom"/>
            <w:tcBorders>
              <w:right w:val="single" w:sz="8" w:color="231F20"/>
            </w:tcBorders>
            <w:gridSpan w:val="2"/>
          </w:tcPr>
          <w:p>
            <w:pPr>
              <w:jc w:val="center"/>
              <w:spacing w:after="0"/>
              <w:rPr>
                <w:sz w:val="20"/>
                <w:szCs w:val="20"/>
                <w:color w:val="auto"/>
              </w:rPr>
            </w:pPr>
            <w:r>
              <w:rPr>
                <w:rFonts w:ascii="Arial" w:cs="Arial" w:eastAsia="Arial" w:hAnsi="Arial"/>
                <w:sz w:val="19"/>
                <w:szCs w:val="19"/>
                <w:color w:val="auto"/>
              </w:rPr>
              <w:t>19/19</w:t>
            </w:r>
          </w:p>
        </w:tc>
        <w:tc>
          <w:tcPr>
            <w:tcW w:w="340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3080" w:type="dxa"/>
            <w:vAlign w:val="bottom"/>
            <w:tcBorders>
              <w:left w:val="single" w:sz="8" w:color="231F20"/>
              <w:bottom w:val="single" w:sz="8" w:color="231F20"/>
            </w:tcBorders>
          </w:tcPr>
          <w:p>
            <w:pPr>
              <w:spacing w:after="0"/>
              <w:rPr>
                <w:sz w:val="9"/>
                <w:szCs w:val="9"/>
                <w:color w:val="auto"/>
              </w:rPr>
            </w:pPr>
          </w:p>
        </w:tc>
        <w:tc>
          <w:tcPr>
            <w:tcW w:w="1860" w:type="dxa"/>
            <w:vAlign w:val="bottom"/>
            <w:tcBorders>
              <w:bottom w:val="single" w:sz="8" w:color="231F20"/>
              <w:right w:val="single" w:sz="8" w:color="231F20"/>
            </w:tcBorders>
            <w:gridSpan w:val="2"/>
          </w:tcPr>
          <w:p>
            <w:pPr>
              <w:spacing w:after="0"/>
              <w:rPr>
                <w:sz w:val="9"/>
                <w:szCs w:val="9"/>
                <w:color w:val="auto"/>
              </w:rPr>
            </w:pPr>
          </w:p>
        </w:tc>
        <w:tc>
          <w:tcPr>
            <w:tcW w:w="520" w:type="dxa"/>
            <w:vAlign w:val="bottom"/>
            <w:tcBorders>
              <w:bottom w:val="single" w:sz="8" w:color="231F20"/>
            </w:tcBorders>
          </w:tcPr>
          <w:p>
            <w:pPr>
              <w:spacing w:after="0"/>
              <w:rPr>
                <w:sz w:val="9"/>
                <w:szCs w:val="9"/>
                <w:color w:val="auto"/>
              </w:rPr>
            </w:pPr>
          </w:p>
        </w:tc>
        <w:tc>
          <w:tcPr>
            <w:tcW w:w="1840" w:type="dxa"/>
            <w:vAlign w:val="bottom"/>
            <w:tcBorders>
              <w:bottom w:val="single" w:sz="8" w:color="231F20"/>
              <w:right w:val="single" w:sz="8" w:color="231F20"/>
            </w:tcBorders>
          </w:tcPr>
          <w:p>
            <w:pPr>
              <w:spacing w:after="0"/>
              <w:rPr>
                <w:sz w:val="9"/>
                <w:szCs w:val="9"/>
                <w:color w:val="auto"/>
              </w:rPr>
            </w:pPr>
          </w:p>
        </w:tc>
        <w:tc>
          <w:tcPr>
            <w:tcW w:w="340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080" w:type="dxa"/>
            <w:vAlign w:val="bottom"/>
            <w:tcBorders>
              <w:left w:val="single" w:sz="8" w:color="231F20"/>
              <w:right w:val="single" w:sz="8" w:color="003445"/>
            </w:tcBorders>
            <w:shd w:val="clear" w:color="auto" w:fill="003445"/>
          </w:tcPr>
          <w:p>
            <w:pPr>
              <w:spacing w:after="0"/>
              <w:rPr>
                <w:sz w:val="20"/>
                <w:szCs w:val="20"/>
                <w:color w:val="auto"/>
              </w:rPr>
            </w:pPr>
          </w:p>
        </w:tc>
        <w:tc>
          <w:tcPr>
            <w:tcW w:w="4220" w:type="dxa"/>
            <w:vAlign w:val="bottom"/>
            <w:tcBorders>
              <w:right w:val="single" w:sz="8" w:color="003445"/>
            </w:tcBorders>
            <w:gridSpan w:val="4"/>
            <w:shd w:val="clear" w:color="auto" w:fill="003445"/>
          </w:tcPr>
          <w:p>
            <w:pPr>
              <w:jc w:val="center"/>
              <w:ind w:left="332"/>
              <w:spacing w:after="0"/>
              <w:rPr>
                <w:sz w:val="20"/>
                <w:szCs w:val="20"/>
                <w:color w:val="auto"/>
              </w:rPr>
            </w:pPr>
            <w:r>
              <w:rPr>
                <w:rFonts w:ascii="Arial" w:cs="Arial" w:eastAsia="Arial" w:hAnsi="Arial"/>
                <w:sz w:val="17"/>
                <w:szCs w:val="17"/>
                <w:b w:val="1"/>
                <w:bCs w:val="1"/>
                <w:color w:val="FFFFFF"/>
              </w:rPr>
              <w:t>Securities Beneficially Owned or Controlled</w:t>
            </w:r>
          </w:p>
        </w:tc>
        <w:tc>
          <w:tcPr>
            <w:tcW w:w="3400" w:type="dxa"/>
            <w:vAlign w:val="bottom"/>
            <w:tcBorders>
              <w:right w:val="single" w:sz="8" w:color="231F20"/>
            </w:tcBorders>
            <w:shd w:val="clear" w:color="auto" w:fill="003445"/>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3080" w:type="dxa"/>
            <w:vAlign w:val="bottom"/>
            <w:tcBorders>
              <w:left w:val="single" w:sz="8" w:color="231F20"/>
              <w:bottom w:val="single" w:sz="8" w:color="003445"/>
              <w:right w:val="single" w:sz="8" w:color="003445"/>
            </w:tcBorders>
            <w:shd w:val="clear" w:color="auto" w:fill="003445"/>
          </w:tcPr>
          <w:p>
            <w:pPr>
              <w:spacing w:after="0"/>
              <w:rPr>
                <w:sz w:val="23"/>
                <w:szCs w:val="23"/>
                <w:color w:val="auto"/>
              </w:rPr>
            </w:pPr>
          </w:p>
        </w:tc>
        <w:tc>
          <w:tcPr>
            <w:tcW w:w="1460" w:type="dxa"/>
            <w:vAlign w:val="bottom"/>
            <w:tcBorders>
              <w:bottom w:val="single" w:sz="8" w:color="003445"/>
            </w:tcBorders>
            <w:shd w:val="clear" w:color="auto" w:fill="003445"/>
          </w:tcPr>
          <w:p>
            <w:pPr>
              <w:spacing w:after="0"/>
              <w:rPr>
                <w:sz w:val="23"/>
                <w:szCs w:val="23"/>
                <w:color w:val="auto"/>
              </w:rPr>
            </w:pPr>
          </w:p>
        </w:tc>
        <w:tc>
          <w:tcPr>
            <w:tcW w:w="2760" w:type="dxa"/>
            <w:vAlign w:val="bottom"/>
            <w:tcBorders>
              <w:bottom w:val="single" w:sz="8" w:color="003445"/>
              <w:right w:val="single" w:sz="8" w:color="003445"/>
            </w:tcBorders>
            <w:gridSpan w:val="3"/>
            <w:shd w:val="clear" w:color="auto" w:fill="003445"/>
          </w:tcPr>
          <w:p>
            <w:pPr>
              <w:jc w:val="center"/>
              <w:ind w:right="947"/>
              <w:spacing w:after="0"/>
              <w:rPr>
                <w:sz w:val="20"/>
                <w:szCs w:val="20"/>
                <w:color w:val="auto"/>
              </w:rPr>
            </w:pPr>
            <w:r>
              <w:rPr>
                <w:rFonts w:ascii="Arial" w:cs="Arial" w:eastAsia="Arial" w:hAnsi="Arial"/>
                <w:sz w:val="17"/>
                <w:szCs w:val="17"/>
                <w:b w:val="1"/>
                <w:bCs w:val="1"/>
                <w:color w:val="FFFFFF"/>
              </w:rPr>
              <w:t>(as at April 30, 2026)</w:t>
            </w:r>
          </w:p>
        </w:tc>
        <w:tc>
          <w:tcPr>
            <w:tcW w:w="3400" w:type="dxa"/>
            <w:vAlign w:val="bottom"/>
            <w:tcBorders>
              <w:bottom w:val="single" w:sz="8" w:color="003445"/>
              <w:right w:val="single" w:sz="8" w:color="231F20"/>
            </w:tcBorders>
            <w:shd w:val="clear" w:color="auto" w:fill="003445"/>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540" w:type="dxa"/>
            <w:vAlign w:val="bottom"/>
            <w:tcBorders>
              <w:top w:val="single" w:sz="8" w:color="231F20"/>
              <w:left w:val="single" w:sz="8" w:color="231F20"/>
              <w:bottom w:val="single" w:sz="8" w:color="231F20"/>
            </w:tcBorders>
            <w:gridSpan w:val="2"/>
            <w:shd w:val="clear" w:color="auto" w:fill="F2F2F2"/>
          </w:tcPr>
          <w:p>
            <w:pPr>
              <w:jc w:val="center"/>
              <w:ind w:left="969"/>
              <w:spacing w:after="0" w:line="295" w:lineRule="exact"/>
              <w:rPr>
                <w:sz w:val="20"/>
                <w:szCs w:val="20"/>
                <w:color w:val="auto"/>
              </w:rPr>
            </w:pPr>
            <w:r>
              <w:rPr>
                <w:rFonts w:ascii="Arial" w:cs="Arial" w:eastAsia="Arial" w:hAnsi="Arial"/>
                <w:sz w:val="17"/>
                <w:szCs w:val="17"/>
                <w:b w:val="1"/>
                <w:bCs w:val="1"/>
                <w:color w:val="auto"/>
                <w:w w:val="99"/>
              </w:rPr>
              <w:t>Number of DSUs</w:t>
            </w:r>
            <w:r>
              <w:rPr>
                <w:rFonts w:ascii="Arial" w:cs="Arial" w:eastAsia="Arial" w:hAnsi="Arial"/>
                <w:sz w:val="26"/>
                <w:szCs w:val="26"/>
                <w:b w:val="1"/>
                <w:bCs w:val="1"/>
                <w:color w:val="auto"/>
                <w:w w:val="99"/>
                <w:vertAlign w:val="superscript"/>
              </w:rPr>
              <w:t>(3)</w:t>
            </w:r>
          </w:p>
        </w:tc>
        <w:tc>
          <w:tcPr>
            <w:tcW w:w="40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520" w:type="dxa"/>
            <w:vAlign w:val="bottom"/>
            <w:tcBorders>
              <w:top w:val="single" w:sz="8" w:color="231F20"/>
              <w:bottom w:val="single" w:sz="8" w:color="231F20"/>
              <w:right w:val="single" w:sz="8" w:color="231F20"/>
            </w:tcBorders>
            <w:shd w:val="clear" w:color="auto" w:fill="F2F2F2"/>
          </w:tcPr>
          <w:p>
            <w:pPr>
              <w:spacing w:after="0"/>
              <w:rPr>
                <w:sz w:val="24"/>
                <w:szCs w:val="24"/>
                <w:color w:val="auto"/>
              </w:rPr>
            </w:pPr>
          </w:p>
        </w:tc>
        <w:tc>
          <w:tcPr>
            <w:tcW w:w="184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3400" w:type="dxa"/>
            <w:vAlign w:val="bottom"/>
            <w:tcBorders>
              <w:top w:val="single" w:sz="8" w:color="231F20"/>
              <w:bottom w:val="single" w:sz="8" w:color="231F20"/>
              <w:right w:val="single" w:sz="8" w:color="231F20"/>
            </w:tcBorders>
            <w:shd w:val="clear" w:color="auto" w:fill="F2F2F2"/>
          </w:tcPr>
          <w:p>
            <w:pPr>
              <w:jc w:val="center"/>
              <w:ind w:right="1688"/>
              <w:spacing w:after="0" w:line="295" w:lineRule="exact"/>
              <w:rPr>
                <w:sz w:val="20"/>
                <w:szCs w:val="20"/>
                <w:color w:val="auto"/>
              </w:rPr>
            </w:pPr>
            <w:r>
              <w:rPr>
                <w:rFonts w:ascii="Arial" w:cs="Arial" w:eastAsia="Arial" w:hAnsi="Arial"/>
                <w:sz w:val="17"/>
                <w:szCs w:val="17"/>
                <w:b w:val="1"/>
                <w:bCs w:val="1"/>
                <w:color w:val="auto"/>
                <w:w w:val="96"/>
              </w:rPr>
              <w:t>Market Value</w:t>
            </w:r>
            <w:r>
              <w:rPr>
                <w:rFonts w:ascii="Arial" w:cs="Arial" w:eastAsia="Arial" w:hAnsi="Arial"/>
                <w:sz w:val="26"/>
                <w:szCs w:val="26"/>
                <w:b w:val="1"/>
                <w:bCs w:val="1"/>
                <w:color w:val="auto"/>
                <w:w w:val="96"/>
                <w:vertAlign w:val="superscript"/>
              </w:rPr>
              <w:t>(1)</w:t>
            </w:r>
          </w:p>
        </w:tc>
        <w:tc>
          <w:tcPr>
            <w:tcW w:w="0" w:type="dxa"/>
            <w:vAlign w:val="bottom"/>
          </w:tcPr>
          <w:p>
            <w:pPr>
              <w:spacing w:after="0"/>
              <w:rPr>
                <w:sz w:val="1"/>
                <w:szCs w:val="1"/>
                <w:color w:val="auto"/>
              </w:rPr>
            </w:pPr>
          </w:p>
        </w:tc>
      </w:tr>
      <w:tr>
        <w:trPr>
          <w:trHeight w:val="272"/>
        </w:trPr>
        <w:tc>
          <w:tcPr>
            <w:tcW w:w="3080" w:type="dxa"/>
            <w:vAlign w:val="bottom"/>
            <w:tcBorders>
              <w:left w:val="single" w:sz="8" w:color="231F20"/>
            </w:tcBorders>
          </w:tcPr>
          <w:p>
            <w:pPr>
              <w:jc w:val="center"/>
              <w:ind w:left="2429"/>
              <w:spacing w:after="0"/>
              <w:rPr>
                <w:sz w:val="20"/>
                <w:szCs w:val="20"/>
                <w:color w:val="auto"/>
              </w:rPr>
            </w:pPr>
            <w:r>
              <w:rPr>
                <w:rFonts w:ascii="Arial" w:cs="Arial" w:eastAsia="Arial" w:hAnsi="Arial"/>
                <w:sz w:val="17"/>
                <w:szCs w:val="17"/>
                <w:color w:val="auto"/>
                <w:w w:val="99"/>
              </w:rPr>
              <w:t>40,586</w:t>
            </w:r>
          </w:p>
        </w:tc>
        <w:tc>
          <w:tcPr>
            <w:tcW w:w="1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Borders>
              <w:right w:val="single" w:sz="8" w:color="231F20"/>
            </w:tcBorders>
          </w:tcPr>
          <w:p>
            <w:pPr>
              <w:spacing w:after="0"/>
              <w:rPr>
                <w:sz w:val="23"/>
                <w:szCs w:val="23"/>
                <w:color w:val="auto"/>
              </w:rPr>
            </w:pPr>
          </w:p>
        </w:tc>
        <w:tc>
          <w:tcPr>
            <w:tcW w:w="1840" w:type="dxa"/>
            <w:vAlign w:val="bottom"/>
          </w:tcPr>
          <w:p>
            <w:pPr>
              <w:spacing w:after="0"/>
              <w:rPr>
                <w:sz w:val="23"/>
                <w:szCs w:val="23"/>
                <w:color w:val="auto"/>
              </w:rPr>
            </w:pPr>
          </w:p>
        </w:tc>
        <w:tc>
          <w:tcPr>
            <w:tcW w:w="3400" w:type="dxa"/>
            <w:vAlign w:val="bottom"/>
            <w:tcBorders>
              <w:right w:val="single" w:sz="8" w:color="231F20"/>
            </w:tcBorders>
          </w:tcPr>
          <w:p>
            <w:pPr>
              <w:jc w:val="right"/>
              <w:ind w:right="2128"/>
              <w:spacing w:after="0"/>
              <w:rPr>
                <w:sz w:val="20"/>
                <w:szCs w:val="20"/>
                <w:color w:val="auto"/>
              </w:rPr>
            </w:pPr>
            <w:r>
              <w:rPr>
                <w:rFonts w:ascii="Arial" w:cs="Arial" w:eastAsia="Arial" w:hAnsi="Arial"/>
                <w:sz w:val="17"/>
                <w:szCs w:val="17"/>
                <w:color w:val="auto"/>
              </w:rPr>
              <w:t>$258,533</w:t>
            </w:r>
          </w:p>
        </w:tc>
        <w:tc>
          <w:tcPr>
            <w:tcW w:w="0" w:type="dxa"/>
            <w:vAlign w:val="bottom"/>
          </w:tcPr>
          <w:p>
            <w:pPr>
              <w:spacing w:after="0"/>
              <w:rPr>
                <w:sz w:val="1"/>
                <w:szCs w:val="1"/>
                <w:color w:val="auto"/>
              </w:rPr>
            </w:pPr>
          </w:p>
        </w:tc>
      </w:tr>
      <w:tr>
        <w:trPr>
          <w:trHeight w:val="62"/>
        </w:trPr>
        <w:tc>
          <w:tcPr>
            <w:tcW w:w="3080" w:type="dxa"/>
            <w:vAlign w:val="bottom"/>
            <w:tcBorders>
              <w:left w:val="single" w:sz="8" w:color="231F20"/>
              <w:bottom w:val="single" w:sz="8" w:color="231F20"/>
            </w:tcBorders>
          </w:tcPr>
          <w:p>
            <w:pPr>
              <w:spacing w:after="0"/>
              <w:rPr>
                <w:sz w:val="5"/>
                <w:szCs w:val="5"/>
                <w:color w:val="auto"/>
              </w:rPr>
            </w:pPr>
          </w:p>
        </w:tc>
        <w:tc>
          <w:tcPr>
            <w:tcW w:w="1460" w:type="dxa"/>
            <w:vAlign w:val="bottom"/>
            <w:tcBorders>
              <w:bottom w:val="single" w:sz="8" w:color="231F20"/>
            </w:tcBorders>
          </w:tcPr>
          <w:p>
            <w:pPr>
              <w:spacing w:after="0"/>
              <w:rPr>
                <w:sz w:val="5"/>
                <w:szCs w:val="5"/>
                <w:color w:val="auto"/>
              </w:rPr>
            </w:pPr>
          </w:p>
        </w:tc>
        <w:tc>
          <w:tcPr>
            <w:tcW w:w="400" w:type="dxa"/>
            <w:vAlign w:val="bottom"/>
            <w:tcBorders>
              <w:bottom w:val="single" w:sz="8" w:color="231F20"/>
            </w:tcBorders>
          </w:tcPr>
          <w:p>
            <w:pPr>
              <w:spacing w:after="0"/>
              <w:rPr>
                <w:sz w:val="5"/>
                <w:szCs w:val="5"/>
                <w:color w:val="auto"/>
              </w:rPr>
            </w:pPr>
          </w:p>
        </w:tc>
        <w:tc>
          <w:tcPr>
            <w:tcW w:w="520" w:type="dxa"/>
            <w:vAlign w:val="bottom"/>
            <w:tcBorders>
              <w:bottom w:val="single" w:sz="8" w:color="231F20"/>
              <w:right w:val="single" w:sz="8" w:color="231F20"/>
            </w:tcBorders>
          </w:tcPr>
          <w:p>
            <w:pPr>
              <w:spacing w:after="0"/>
              <w:rPr>
                <w:sz w:val="5"/>
                <w:szCs w:val="5"/>
                <w:color w:val="auto"/>
              </w:rPr>
            </w:pPr>
          </w:p>
        </w:tc>
        <w:tc>
          <w:tcPr>
            <w:tcW w:w="1840" w:type="dxa"/>
            <w:vAlign w:val="bottom"/>
            <w:tcBorders>
              <w:bottom w:val="single" w:sz="8" w:color="231F20"/>
            </w:tcBorders>
          </w:tcPr>
          <w:p>
            <w:pPr>
              <w:spacing w:after="0"/>
              <w:rPr>
                <w:sz w:val="5"/>
                <w:szCs w:val="5"/>
                <w:color w:val="auto"/>
              </w:rPr>
            </w:pPr>
          </w:p>
        </w:tc>
        <w:tc>
          <w:tcPr>
            <w:tcW w:w="340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-4898390</wp:posOffset>
            </wp:positionV>
            <wp:extent cx="1605280" cy="11144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05280" cy="111442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700"/>
          </w:cols>
          <w:pgMar w:left="600" w:top="264" w:right="59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314"/>
        </w:trPr>
        <w:tc>
          <w:tcPr>
            <w:tcW w:w="3080" w:type="dxa"/>
            <w:vAlign w:val="bottom"/>
            <w:tcBorders>
              <w:top w:val="single" w:sz="8" w:color="231F20"/>
              <w:left w:val="single" w:sz="8" w:color="231F20"/>
              <w:right w:val="single" w:sz="8" w:color="auto"/>
            </w:tcBorders>
          </w:tcPr>
          <w:p>
            <w:pPr>
              <w:ind w:left="960"/>
              <w:spacing w:after="0"/>
              <w:rPr>
                <w:sz w:val="20"/>
                <w:szCs w:val="20"/>
                <w:color w:val="auto"/>
              </w:rPr>
            </w:pPr>
            <w:r>
              <w:rPr>
                <w:rFonts w:ascii="Arial" w:cs="Arial" w:eastAsia="Arial" w:hAnsi="Arial"/>
                <w:sz w:val="17"/>
                <w:szCs w:val="17"/>
                <w:b w:val="1"/>
                <w:bCs w:val="1"/>
                <w:color w:val="auto"/>
              </w:rPr>
              <w:t>JAMES GOUIN</w:t>
            </w:r>
          </w:p>
        </w:tc>
        <w:tc>
          <w:tcPr>
            <w:tcW w:w="7620" w:type="dxa"/>
            <w:vAlign w:val="bottom"/>
            <w:tcBorders>
              <w:top w:val="single" w:sz="8" w:color="231F20"/>
              <w:bottom w:val="single" w:sz="8" w:color="003445"/>
              <w:right w:val="single" w:sz="8" w:color="231F20"/>
            </w:tcBorders>
            <w:gridSpan w:val="5"/>
            <w:shd w:val="clear" w:color="auto" w:fill="003445"/>
          </w:tcPr>
          <w:p>
            <w:pPr>
              <w:jc w:val="center"/>
              <w:spacing w:after="0"/>
              <w:rPr>
                <w:sz w:val="20"/>
                <w:szCs w:val="20"/>
                <w:color w:val="auto"/>
              </w:rPr>
            </w:pPr>
            <w:r>
              <w:rPr>
                <w:rFonts w:ascii="Arial" w:cs="Arial" w:eastAsia="Arial" w:hAnsi="Arial"/>
                <w:sz w:val="17"/>
                <w:szCs w:val="17"/>
                <w:b w:val="1"/>
                <w:bCs w:val="1"/>
                <w:color w:val="FFFFFF"/>
              </w:rPr>
              <w:t>Biographical Information and Principal Occupation</w:t>
            </w:r>
          </w:p>
        </w:tc>
        <w:tc>
          <w:tcPr>
            <w:tcW w:w="0" w:type="dxa"/>
            <w:vAlign w:val="bottom"/>
          </w:tcPr>
          <w:p>
            <w:pPr>
              <w:spacing w:after="0"/>
              <w:rPr>
                <w:sz w:val="1"/>
                <w:szCs w:val="1"/>
                <w:color w:val="auto"/>
              </w:rPr>
            </w:pPr>
          </w:p>
        </w:tc>
      </w:tr>
      <w:tr>
        <w:trPr>
          <w:trHeight w:val="173"/>
        </w:trPr>
        <w:tc>
          <w:tcPr>
            <w:tcW w:w="3080" w:type="dxa"/>
            <w:vAlign w:val="bottom"/>
            <w:tcBorders>
              <w:top w:val="single" w:sz="8" w:color="231F20"/>
              <w:left w:val="single" w:sz="8" w:color="231F20"/>
              <w:right w:val="single" w:sz="8" w:color="auto"/>
            </w:tcBorders>
          </w:tcPr>
          <w:p>
            <w:pPr>
              <w:spacing w:after="0"/>
              <w:rPr>
                <w:sz w:val="15"/>
                <w:szCs w:val="15"/>
                <w:color w:val="auto"/>
              </w:rPr>
            </w:pPr>
          </w:p>
        </w:tc>
        <w:tc>
          <w:tcPr>
            <w:tcW w:w="7620" w:type="dxa"/>
            <w:vAlign w:val="bottom"/>
            <w:tcBorders>
              <w:top w:val="single" w:sz="8" w:color="231F20"/>
              <w:right w:val="single" w:sz="8" w:color="231F20"/>
            </w:tcBorders>
            <w:gridSpan w:val="5"/>
          </w:tcPr>
          <w:p>
            <w:pPr>
              <w:ind w:left="20"/>
              <w:spacing w:after="0" w:line="173" w:lineRule="exact"/>
              <w:rPr>
                <w:sz w:val="20"/>
                <w:szCs w:val="20"/>
                <w:color w:val="auto"/>
              </w:rPr>
            </w:pPr>
            <w:r>
              <w:rPr>
                <w:rFonts w:ascii="Arial" w:cs="Arial" w:eastAsia="Arial" w:hAnsi="Arial"/>
                <w:sz w:val="17"/>
                <w:szCs w:val="17"/>
                <w:color w:val="auto"/>
              </w:rPr>
              <w:t>Mr. Gouin is a finance and executive business leader with extensive board and governance</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experience developed during his four-decade career in the global manufacturing sector.</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Mr. Gouin has an advanced level of expertise in risk oversight, sales and marketing, and is an</w:t>
            </w:r>
          </w:p>
        </w:tc>
        <w:tc>
          <w:tcPr>
            <w:tcW w:w="0" w:type="dxa"/>
            <w:vAlign w:val="bottom"/>
          </w:tcPr>
          <w:p>
            <w:pPr>
              <w:spacing w:after="0"/>
              <w:rPr>
                <w:sz w:val="1"/>
                <w:szCs w:val="1"/>
                <w:color w:val="auto"/>
              </w:rPr>
            </w:pPr>
          </w:p>
        </w:tc>
      </w:tr>
      <w:tr>
        <w:trPr>
          <w:trHeight w:val="230"/>
        </w:trPr>
        <w:tc>
          <w:tcPr>
            <w:tcW w:w="3080" w:type="dxa"/>
            <w:vAlign w:val="bottom"/>
            <w:tcBorders>
              <w:left w:val="single" w:sz="8" w:color="231F20"/>
              <w:right w:val="single" w:sz="8" w:color="auto"/>
            </w:tcBorders>
          </w:tcPr>
          <w:p>
            <w:pPr>
              <w:spacing w:after="0"/>
              <w:rPr>
                <w:sz w:val="20"/>
                <w:szCs w:val="20"/>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“audit committee financial expert” as defined in Item 407(d)(5)(ii) of Regulation S-K.</w:t>
            </w:r>
          </w:p>
        </w:tc>
        <w:tc>
          <w:tcPr>
            <w:tcW w:w="0" w:type="dxa"/>
            <w:vAlign w:val="bottom"/>
          </w:tcPr>
          <w:p>
            <w:pPr>
              <w:spacing w:after="0"/>
              <w:rPr>
                <w:sz w:val="1"/>
                <w:szCs w:val="1"/>
                <w:color w:val="auto"/>
              </w:rPr>
            </w:pPr>
          </w:p>
        </w:tc>
      </w:tr>
      <w:tr>
        <w:trPr>
          <w:trHeight w:val="399"/>
        </w:trPr>
        <w:tc>
          <w:tcPr>
            <w:tcW w:w="3080" w:type="dxa"/>
            <w:vAlign w:val="bottom"/>
            <w:tcBorders>
              <w:left w:val="single" w:sz="8" w:color="231F20"/>
              <w:right w:val="single" w:sz="8" w:color="auto"/>
            </w:tcBorders>
          </w:tcPr>
          <w:p>
            <w:pPr>
              <w:spacing w:after="0"/>
              <w:rPr>
                <w:sz w:val="24"/>
                <w:szCs w:val="24"/>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Mr. Gouin joined Tower International, Inc. in November 2007 as Executive Vice President and</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Chief Financial Officer and served as President beginning in 2016. He became Chief Executive</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Officer and a member of Tower’s Board of Directors in 2017, serving until the company’s sale in</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2019. Prior to Tower, Mr. Gouin served as a Senior Managing Director of the corporate finance</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practice of FTI Consulting, Inc., a business advisory firm. Mr. Gouin spent 28 years at Ford Motor</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Company in a variety of senior positions, including Vice President, Finance and Global Corporate</w:t>
            </w:r>
          </w:p>
        </w:tc>
        <w:tc>
          <w:tcPr>
            <w:tcW w:w="0" w:type="dxa"/>
            <w:vAlign w:val="bottom"/>
          </w:tcPr>
          <w:p>
            <w:pPr>
              <w:spacing w:after="0"/>
              <w:rPr>
                <w:sz w:val="1"/>
                <w:szCs w:val="1"/>
                <w:color w:val="auto"/>
              </w:rPr>
            </w:pPr>
          </w:p>
        </w:tc>
      </w:tr>
      <w:tr>
        <w:trPr>
          <w:trHeight w:val="196"/>
        </w:trPr>
        <w:tc>
          <w:tcPr>
            <w:tcW w:w="3080" w:type="dxa"/>
            <w:vAlign w:val="bottom"/>
            <w:tcBorders>
              <w:left w:val="single" w:sz="8" w:color="231F20"/>
              <w:right w:val="single" w:sz="8" w:color="auto"/>
            </w:tcBorders>
          </w:tcPr>
          <w:p>
            <w:pPr>
              <w:spacing w:after="0"/>
              <w:rPr>
                <w:sz w:val="17"/>
                <w:szCs w:val="17"/>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Controller, and Vice President of Finance, Strategy and Business Development for Ford Motor</w:t>
            </w:r>
          </w:p>
        </w:tc>
        <w:tc>
          <w:tcPr>
            <w:tcW w:w="0" w:type="dxa"/>
            <w:vAlign w:val="bottom"/>
          </w:tcPr>
          <w:p>
            <w:pPr>
              <w:spacing w:after="0"/>
              <w:rPr>
                <w:sz w:val="1"/>
                <w:szCs w:val="1"/>
                <w:color w:val="auto"/>
              </w:rPr>
            </w:pPr>
          </w:p>
        </w:tc>
      </w:tr>
      <w:tr>
        <w:trPr>
          <w:trHeight w:val="230"/>
        </w:trPr>
        <w:tc>
          <w:tcPr>
            <w:tcW w:w="3080" w:type="dxa"/>
            <w:vAlign w:val="bottom"/>
            <w:tcBorders>
              <w:left w:val="single" w:sz="8" w:color="231F20"/>
              <w:right w:val="single" w:sz="8" w:color="auto"/>
            </w:tcBorders>
          </w:tcPr>
          <w:p>
            <w:pPr>
              <w:spacing w:after="0"/>
              <w:rPr>
                <w:sz w:val="20"/>
                <w:szCs w:val="20"/>
                <w:color w:val="auto"/>
              </w:rPr>
            </w:pPr>
          </w:p>
        </w:tc>
        <w:tc>
          <w:tcPr>
            <w:tcW w:w="4220" w:type="dxa"/>
            <w:vAlign w:val="bottom"/>
            <w:gridSpan w:val="4"/>
          </w:tcPr>
          <w:p>
            <w:pPr>
              <w:ind w:left="20"/>
              <w:spacing w:after="0"/>
              <w:rPr>
                <w:sz w:val="20"/>
                <w:szCs w:val="20"/>
                <w:color w:val="auto"/>
              </w:rPr>
            </w:pPr>
            <w:r>
              <w:rPr>
                <w:rFonts w:ascii="Arial" w:cs="Arial" w:eastAsia="Arial" w:hAnsi="Arial"/>
                <w:sz w:val="17"/>
                <w:szCs w:val="17"/>
                <w:color w:val="auto"/>
              </w:rPr>
              <w:t>Company’s international operations.</w:t>
            </w:r>
          </w:p>
        </w:tc>
        <w:tc>
          <w:tcPr>
            <w:tcW w:w="340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080" w:type="dxa"/>
            <w:vAlign w:val="bottom"/>
            <w:tcBorders>
              <w:left w:val="single" w:sz="8" w:color="231F20"/>
              <w:right w:val="single" w:sz="8" w:color="auto"/>
            </w:tcBorders>
          </w:tcPr>
          <w:p>
            <w:pPr>
              <w:spacing w:after="0"/>
              <w:rPr>
                <w:sz w:val="24"/>
                <w:szCs w:val="24"/>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Mr. Gouin currently serves as a Director of International Automotive Components Group, a private</w:t>
            </w:r>
          </w:p>
        </w:tc>
        <w:tc>
          <w:tcPr>
            <w:tcW w:w="0" w:type="dxa"/>
            <w:vAlign w:val="bottom"/>
          </w:tcPr>
          <w:p>
            <w:pPr>
              <w:spacing w:after="0"/>
              <w:rPr>
                <w:sz w:val="1"/>
                <w:szCs w:val="1"/>
                <w:color w:val="auto"/>
              </w:rPr>
            </w:pPr>
          </w:p>
        </w:tc>
      </w:tr>
      <w:tr>
        <w:trPr>
          <w:trHeight w:val="212"/>
        </w:trPr>
        <w:tc>
          <w:tcPr>
            <w:tcW w:w="3080" w:type="dxa"/>
            <w:vAlign w:val="bottom"/>
            <w:tcBorders>
              <w:left w:val="single" w:sz="8" w:color="231F20"/>
              <w:right w:val="single" w:sz="8" w:color="auto"/>
            </w:tcBorders>
          </w:tcPr>
          <w:p>
            <w:pPr>
              <w:ind w:left="2680"/>
              <w:spacing w:after="0"/>
              <w:rPr>
                <w:sz w:val="20"/>
                <w:szCs w:val="20"/>
                <w:color w:val="auto"/>
              </w:rPr>
            </w:pPr>
            <w:r>
              <w:rPr>
                <w:rFonts w:ascii="Arial" w:cs="Arial" w:eastAsia="Arial" w:hAnsi="Arial"/>
                <w:sz w:val="17"/>
                <w:szCs w:val="17"/>
                <w:color w:val="auto"/>
              </w:rPr>
              <w:t xml:space="preserve">  </w:t>
            </w: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company, where he chairs the Audit Committee. He also serves on the board of Enerflex Ltd. and</w:t>
            </w:r>
          </w:p>
        </w:tc>
        <w:tc>
          <w:tcPr>
            <w:tcW w:w="0" w:type="dxa"/>
            <w:vAlign w:val="bottom"/>
          </w:tcPr>
          <w:p>
            <w:pPr>
              <w:spacing w:after="0"/>
              <w:rPr>
                <w:sz w:val="1"/>
                <w:szCs w:val="1"/>
                <w:color w:val="auto"/>
              </w:rPr>
            </w:pPr>
          </w:p>
        </w:tc>
      </w:tr>
      <w:tr>
        <w:trPr>
          <w:trHeight w:val="53"/>
        </w:trPr>
        <w:tc>
          <w:tcPr>
            <w:tcW w:w="3080" w:type="dxa"/>
            <w:vAlign w:val="bottom"/>
            <w:tcBorders>
              <w:left w:val="single" w:sz="8" w:color="231F20"/>
              <w:bottom w:val="single" w:sz="8" w:color="auto"/>
              <w:right w:val="single" w:sz="8" w:color="auto"/>
            </w:tcBorders>
          </w:tcPr>
          <w:p>
            <w:pPr>
              <w:spacing w:after="0"/>
              <w:rPr>
                <w:sz w:val="4"/>
                <w:szCs w:val="4"/>
                <w:color w:val="auto"/>
              </w:rPr>
            </w:pPr>
          </w:p>
        </w:tc>
        <w:tc>
          <w:tcPr>
            <w:tcW w:w="7620" w:type="dxa"/>
            <w:vAlign w:val="bottom"/>
            <w:tcBorders>
              <w:right w:val="single" w:sz="8" w:color="231F20"/>
            </w:tcBorders>
            <w:gridSpan w:val="5"/>
            <w:vMerge w:val="restart"/>
          </w:tcPr>
          <w:p>
            <w:pPr>
              <w:ind w:left="20"/>
              <w:spacing w:after="0" w:line="180" w:lineRule="exact"/>
              <w:rPr>
                <w:sz w:val="20"/>
                <w:szCs w:val="20"/>
                <w:color w:val="auto"/>
              </w:rPr>
            </w:pPr>
            <w:r>
              <w:rPr>
                <w:rFonts w:ascii="Arial" w:cs="Arial" w:eastAsia="Arial" w:hAnsi="Arial"/>
                <w:sz w:val="17"/>
                <w:szCs w:val="17"/>
                <w:color w:val="auto"/>
              </w:rPr>
              <w:t>its audit committee, following the sale of Exterran Corporation in 2022, where he previously</w:t>
            </w:r>
          </w:p>
        </w:tc>
        <w:tc>
          <w:tcPr>
            <w:tcW w:w="0" w:type="dxa"/>
            <w:vAlign w:val="bottom"/>
          </w:tcPr>
          <w:p>
            <w:pPr>
              <w:spacing w:after="0"/>
              <w:rPr>
                <w:sz w:val="1"/>
                <w:szCs w:val="1"/>
                <w:color w:val="auto"/>
              </w:rPr>
            </w:pPr>
          </w:p>
        </w:tc>
      </w:tr>
      <w:tr>
        <w:trPr>
          <w:trHeight w:val="107"/>
        </w:trPr>
        <w:tc>
          <w:tcPr>
            <w:tcW w:w="3080" w:type="dxa"/>
            <w:vAlign w:val="bottom"/>
            <w:tcBorders>
              <w:left w:val="single" w:sz="8" w:color="231F20"/>
              <w:right w:val="single" w:sz="8" w:color="auto"/>
            </w:tcBorders>
            <w:vMerge w:val="restart"/>
          </w:tcPr>
          <w:p>
            <w:pPr>
              <w:ind w:left="160"/>
              <w:spacing w:after="0"/>
              <w:rPr>
                <w:sz w:val="20"/>
                <w:szCs w:val="20"/>
                <w:color w:val="auto"/>
              </w:rPr>
            </w:pPr>
            <w:r>
              <w:rPr>
                <w:rFonts w:ascii="Arial" w:cs="Arial" w:eastAsia="Arial" w:hAnsi="Arial"/>
                <w:sz w:val="17"/>
                <w:szCs w:val="17"/>
                <w:color w:val="auto"/>
              </w:rPr>
              <w:t>Age: 66</w:t>
            </w:r>
          </w:p>
        </w:tc>
        <w:tc>
          <w:tcPr>
            <w:tcW w:w="7620" w:type="dxa"/>
            <w:vAlign w:val="bottom"/>
            <w:tcBorders>
              <w:right w:val="single" w:sz="8" w:color="231F20"/>
            </w:tcBorders>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3080" w:type="dxa"/>
            <w:vAlign w:val="bottom"/>
            <w:tcBorders>
              <w:left w:val="single" w:sz="8" w:color="231F20"/>
              <w:right w:val="single" w:sz="8" w:color="auto"/>
            </w:tcBorders>
            <w:vMerge w:val="continue"/>
          </w:tcPr>
          <w:p>
            <w:pPr>
              <w:spacing w:after="0"/>
              <w:rPr>
                <w:sz w:val="16"/>
                <w:szCs w:val="16"/>
                <w:color w:val="auto"/>
              </w:rPr>
            </w:pPr>
          </w:p>
        </w:tc>
        <w:tc>
          <w:tcPr>
            <w:tcW w:w="7620" w:type="dxa"/>
            <w:vAlign w:val="bottom"/>
            <w:tcBorders>
              <w:right w:val="single" w:sz="8" w:color="231F20"/>
            </w:tcBorders>
            <w:gridSpan w:val="5"/>
          </w:tcPr>
          <w:p>
            <w:pPr>
              <w:ind w:left="20"/>
              <w:spacing w:after="0" w:line="192" w:lineRule="exact"/>
              <w:rPr>
                <w:sz w:val="20"/>
                <w:szCs w:val="20"/>
                <w:color w:val="auto"/>
              </w:rPr>
            </w:pPr>
            <w:r>
              <w:rPr>
                <w:rFonts w:ascii="Arial" w:cs="Arial" w:eastAsia="Arial" w:hAnsi="Arial"/>
                <w:sz w:val="17"/>
                <w:szCs w:val="17"/>
                <w:color w:val="auto"/>
              </w:rPr>
              <w:t>served on the board, audit committee, and compensation committee from 2015. Board of</w:t>
            </w:r>
          </w:p>
        </w:tc>
        <w:tc>
          <w:tcPr>
            <w:tcW w:w="0" w:type="dxa"/>
            <w:vAlign w:val="bottom"/>
          </w:tcPr>
          <w:p>
            <w:pPr>
              <w:spacing w:after="0"/>
              <w:rPr>
                <w:sz w:val="1"/>
                <w:szCs w:val="1"/>
                <w:color w:val="auto"/>
              </w:rPr>
            </w:pPr>
          </w:p>
        </w:tc>
      </w:tr>
      <w:tr>
        <w:trPr>
          <w:trHeight w:val="201"/>
        </w:trPr>
        <w:tc>
          <w:tcPr>
            <w:tcW w:w="3080" w:type="dxa"/>
            <w:vAlign w:val="bottom"/>
            <w:tcBorders>
              <w:left w:val="single" w:sz="8" w:color="231F20"/>
              <w:right w:val="single" w:sz="8" w:color="auto"/>
            </w:tcBorders>
          </w:tcPr>
          <w:p>
            <w:pPr>
              <w:ind w:left="160"/>
              <w:spacing w:after="0" w:line="201" w:lineRule="exact"/>
              <w:rPr>
                <w:sz w:val="20"/>
                <w:szCs w:val="20"/>
                <w:color w:val="auto"/>
              </w:rPr>
            </w:pPr>
            <w:r>
              <w:rPr>
                <w:rFonts w:ascii="Arial" w:cs="Arial" w:eastAsia="Arial" w:hAnsi="Arial"/>
                <w:sz w:val="19"/>
                <w:szCs w:val="19"/>
                <w:color w:val="auto"/>
              </w:rPr>
              <w:t>Location: Belle River, Ontario,</w:t>
            </w: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Directors. In addition, Mr. Gouin served on the boards of Azure Dynamics, a hybrid electric drive</w:t>
            </w:r>
          </w:p>
        </w:tc>
        <w:tc>
          <w:tcPr>
            <w:tcW w:w="0" w:type="dxa"/>
            <w:vAlign w:val="bottom"/>
          </w:tcPr>
          <w:p>
            <w:pPr>
              <w:spacing w:after="0"/>
              <w:rPr>
                <w:sz w:val="1"/>
                <w:szCs w:val="1"/>
                <w:color w:val="auto"/>
              </w:rPr>
            </w:pPr>
          </w:p>
        </w:tc>
      </w:tr>
      <w:tr>
        <w:trPr>
          <w:trHeight w:val="200"/>
        </w:trPr>
        <w:tc>
          <w:tcPr>
            <w:tcW w:w="3080" w:type="dxa"/>
            <w:vAlign w:val="bottom"/>
            <w:tcBorders>
              <w:left w:val="single" w:sz="8" w:color="231F20"/>
              <w:right w:val="single" w:sz="8" w:color="auto"/>
            </w:tcBorders>
          </w:tcPr>
          <w:p>
            <w:pPr>
              <w:ind w:left="160"/>
              <w:spacing w:after="0" w:line="200" w:lineRule="exact"/>
              <w:rPr>
                <w:sz w:val="20"/>
                <w:szCs w:val="20"/>
                <w:color w:val="auto"/>
              </w:rPr>
            </w:pPr>
            <w:r>
              <w:rPr>
                <w:rFonts w:ascii="Arial" w:cs="Arial" w:eastAsia="Arial" w:hAnsi="Arial"/>
                <w:sz w:val="19"/>
                <w:szCs w:val="19"/>
                <w:color w:val="auto"/>
              </w:rPr>
              <w:t>Canada</w:t>
            </w: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train company, until 2012, and the Board of Trustees of the University of Detroit Mercy until</w:t>
            </w:r>
          </w:p>
        </w:tc>
        <w:tc>
          <w:tcPr>
            <w:tcW w:w="0" w:type="dxa"/>
            <w:vAlign w:val="bottom"/>
          </w:tcPr>
          <w:p>
            <w:pPr>
              <w:spacing w:after="0"/>
              <w:rPr>
                <w:sz w:val="1"/>
                <w:szCs w:val="1"/>
                <w:color w:val="auto"/>
              </w:rPr>
            </w:pPr>
          </w:p>
        </w:tc>
      </w:tr>
      <w:tr>
        <w:trPr>
          <w:trHeight w:val="193"/>
        </w:trPr>
        <w:tc>
          <w:tcPr>
            <w:tcW w:w="3080" w:type="dxa"/>
            <w:vAlign w:val="bottom"/>
            <w:tcBorders>
              <w:left w:val="single" w:sz="8" w:color="231F20"/>
              <w:right w:val="single" w:sz="8" w:color="auto"/>
            </w:tcBorders>
            <w:vMerge w:val="restart"/>
          </w:tcPr>
          <w:p>
            <w:pPr>
              <w:ind w:left="160"/>
              <w:spacing w:after="0"/>
              <w:rPr>
                <w:sz w:val="20"/>
                <w:szCs w:val="20"/>
                <w:color w:val="auto"/>
              </w:rPr>
            </w:pPr>
            <w:r>
              <w:rPr>
                <w:rFonts w:ascii="Arial" w:cs="Arial" w:eastAsia="Arial" w:hAnsi="Arial"/>
                <w:sz w:val="17"/>
                <w:szCs w:val="17"/>
                <w:color w:val="auto"/>
              </w:rPr>
              <w:t>Director Since: October 2021</w:t>
            </w:r>
          </w:p>
        </w:tc>
        <w:tc>
          <w:tcPr>
            <w:tcW w:w="7620" w:type="dxa"/>
            <w:vAlign w:val="bottom"/>
            <w:tcBorders>
              <w:right w:val="single" w:sz="8" w:color="231F20"/>
            </w:tcBorders>
            <w:gridSpan w:val="5"/>
          </w:tcPr>
          <w:p>
            <w:pPr>
              <w:ind w:left="20"/>
              <w:spacing w:after="0" w:line="193" w:lineRule="exact"/>
              <w:rPr>
                <w:sz w:val="20"/>
                <w:szCs w:val="20"/>
                <w:color w:val="auto"/>
              </w:rPr>
            </w:pPr>
            <w:r>
              <w:rPr>
                <w:rFonts w:ascii="Arial" w:cs="Arial" w:eastAsia="Arial" w:hAnsi="Arial"/>
                <w:sz w:val="17"/>
                <w:szCs w:val="17"/>
                <w:color w:val="auto"/>
              </w:rPr>
              <w:t>October 2017. He served as Chair of the Board of Vista Maria, a non-profit corporation, until</w:t>
            </w:r>
          </w:p>
        </w:tc>
        <w:tc>
          <w:tcPr>
            <w:tcW w:w="0" w:type="dxa"/>
            <w:vAlign w:val="bottom"/>
          </w:tcPr>
          <w:p>
            <w:pPr>
              <w:spacing w:after="0"/>
              <w:rPr>
                <w:sz w:val="1"/>
                <w:szCs w:val="1"/>
                <w:color w:val="auto"/>
              </w:rPr>
            </w:pPr>
          </w:p>
        </w:tc>
      </w:tr>
      <w:tr>
        <w:trPr>
          <w:trHeight w:val="125"/>
        </w:trPr>
        <w:tc>
          <w:tcPr>
            <w:tcW w:w="3080" w:type="dxa"/>
            <w:vAlign w:val="bottom"/>
            <w:tcBorders>
              <w:left w:val="single" w:sz="8" w:color="231F20"/>
              <w:right w:val="single" w:sz="8" w:color="auto"/>
            </w:tcBorders>
            <w:vMerge w:val="continue"/>
          </w:tcPr>
          <w:p>
            <w:pPr>
              <w:spacing w:after="0"/>
              <w:rPr>
                <w:sz w:val="10"/>
                <w:szCs w:val="10"/>
                <w:color w:val="auto"/>
              </w:rPr>
            </w:pPr>
          </w:p>
        </w:tc>
        <w:tc>
          <w:tcPr>
            <w:tcW w:w="1860" w:type="dxa"/>
            <w:vAlign w:val="bottom"/>
            <w:vMerge w:val="restart"/>
          </w:tcPr>
          <w:p>
            <w:pPr>
              <w:ind w:left="20"/>
              <w:spacing w:after="0"/>
              <w:rPr>
                <w:sz w:val="20"/>
                <w:szCs w:val="20"/>
                <w:color w:val="auto"/>
              </w:rPr>
            </w:pPr>
            <w:r>
              <w:rPr>
                <w:rFonts w:ascii="Arial" w:cs="Arial" w:eastAsia="Arial" w:hAnsi="Arial"/>
                <w:sz w:val="17"/>
                <w:szCs w:val="17"/>
                <w:color w:val="auto"/>
              </w:rPr>
              <w:t>2019.</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340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080" w:type="dxa"/>
            <w:vAlign w:val="bottom"/>
            <w:tcBorders>
              <w:left w:val="single" w:sz="8" w:color="231F20"/>
              <w:right w:val="single" w:sz="8" w:color="auto"/>
            </w:tcBorders>
          </w:tcPr>
          <w:p>
            <w:pPr>
              <w:spacing w:after="0"/>
              <w:rPr>
                <w:sz w:val="9"/>
                <w:szCs w:val="9"/>
                <w:color w:val="auto"/>
              </w:rPr>
            </w:pPr>
          </w:p>
        </w:tc>
        <w:tc>
          <w:tcPr>
            <w:tcW w:w="18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3400" w:type="dxa"/>
            <w:vAlign w:val="bottom"/>
            <w:tcBorders>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399"/>
        </w:trPr>
        <w:tc>
          <w:tcPr>
            <w:tcW w:w="3080" w:type="dxa"/>
            <w:vAlign w:val="bottom"/>
            <w:tcBorders>
              <w:left w:val="single" w:sz="8" w:color="231F20"/>
              <w:right w:val="single" w:sz="8" w:color="auto"/>
            </w:tcBorders>
          </w:tcPr>
          <w:p>
            <w:pPr>
              <w:spacing w:after="0"/>
              <w:rPr>
                <w:sz w:val="24"/>
                <w:szCs w:val="24"/>
                <w:color w:val="auto"/>
              </w:rPr>
            </w:pPr>
          </w:p>
        </w:tc>
        <w:tc>
          <w:tcPr>
            <w:tcW w:w="7620" w:type="dxa"/>
            <w:vAlign w:val="bottom"/>
            <w:tcBorders>
              <w:right w:val="single" w:sz="8" w:color="231F20"/>
            </w:tcBorders>
            <w:gridSpan w:val="5"/>
          </w:tcPr>
          <w:p>
            <w:pPr>
              <w:ind w:left="20"/>
              <w:spacing w:after="0"/>
              <w:rPr>
                <w:sz w:val="20"/>
                <w:szCs w:val="20"/>
                <w:color w:val="auto"/>
              </w:rPr>
            </w:pPr>
            <w:r>
              <w:rPr>
                <w:rFonts w:ascii="Arial" w:cs="Arial" w:eastAsia="Arial" w:hAnsi="Arial"/>
                <w:sz w:val="17"/>
                <w:szCs w:val="17"/>
                <w:color w:val="auto"/>
              </w:rPr>
              <w:t>Mr. Gouin received a B.B.A. from the Detroit Institute of Technology and an M.B.A. from the</w:t>
            </w:r>
          </w:p>
        </w:tc>
        <w:tc>
          <w:tcPr>
            <w:tcW w:w="0" w:type="dxa"/>
            <w:vAlign w:val="bottom"/>
          </w:tcPr>
          <w:p>
            <w:pPr>
              <w:spacing w:after="0"/>
              <w:rPr>
                <w:sz w:val="1"/>
                <w:szCs w:val="1"/>
                <w:color w:val="auto"/>
              </w:rPr>
            </w:pPr>
          </w:p>
        </w:tc>
      </w:tr>
      <w:tr>
        <w:trPr>
          <w:trHeight w:val="230"/>
        </w:trPr>
        <w:tc>
          <w:tcPr>
            <w:tcW w:w="3080" w:type="dxa"/>
            <w:vAlign w:val="bottom"/>
            <w:tcBorders>
              <w:left w:val="single" w:sz="8" w:color="231F20"/>
              <w:right w:val="single" w:sz="8" w:color="auto"/>
            </w:tcBorders>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Arial" w:cs="Arial" w:eastAsia="Arial" w:hAnsi="Arial"/>
                <w:sz w:val="17"/>
                <w:szCs w:val="17"/>
                <w:color w:val="auto"/>
              </w:rPr>
              <w:t>University of Detroit Mercy.</w:t>
            </w:r>
          </w:p>
        </w:tc>
        <w:tc>
          <w:tcPr>
            <w:tcW w:w="1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3080" w:type="dxa"/>
            <w:vAlign w:val="bottom"/>
            <w:tcBorders>
              <w:left w:val="single" w:sz="8" w:color="231F20"/>
              <w:bottom w:val="single" w:sz="8" w:color="231F20"/>
              <w:right w:val="single" w:sz="8" w:color="auto"/>
            </w:tcBorders>
          </w:tcPr>
          <w:p>
            <w:pPr>
              <w:spacing w:after="0"/>
              <w:rPr>
                <w:sz w:val="4"/>
                <w:szCs w:val="4"/>
                <w:color w:val="auto"/>
              </w:rPr>
            </w:pPr>
          </w:p>
        </w:tc>
        <w:tc>
          <w:tcPr>
            <w:tcW w:w="1860" w:type="dxa"/>
            <w:vAlign w:val="bottom"/>
            <w:tcBorders>
              <w:bottom w:val="single" w:sz="8" w:color="231F20"/>
            </w:tcBorders>
          </w:tcPr>
          <w:p>
            <w:pPr>
              <w:spacing w:after="0"/>
              <w:rPr>
                <w:sz w:val="4"/>
                <w:szCs w:val="4"/>
                <w:color w:val="auto"/>
              </w:rPr>
            </w:pPr>
          </w:p>
        </w:tc>
        <w:tc>
          <w:tcPr>
            <w:tcW w:w="360" w:type="dxa"/>
            <w:vAlign w:val="bottom"/>
            <w:tcBorders>
              <w:bottom w:val="single" w:sz="8" w:color="231F20"/>
            </w:tcBorders>
          </w:tcPr>
          <w:p>
            <w:pPr>
              <w:spacing w:after="0"/>
              <w:rPr>
                <w:sz w:val="4"/>
                <w:szCs w:val="4"/>
                <w:color w:val="auto"/>
              </w:rPr>
            </w:pPr>
          </w:p>
        </w:tc>
        <w:tc>
          <w:tcPr>
            <w:tcW w:w="160" w:type="dxa"/>
            <w:vAlign w:val="bottom"/>
            <w:tcBorders>
              <w:bottom w:val="single" w:sz="8" w:color="231F20"/>
            </w:tcBorders>
          </w:tcPr>
          <w:p>
            <w:pPr>
              <w:spacing w:after="0"/>
              <w:rPr>
                <w:sz w:val="4"/>
                <w:szCs w:val="4"/>
                <w:color w:val="auto"/>
              </w:rPr>
            </w:pPr>
          </w:p>
        </w:tc>
        <w:tc>
          <w:tcPr>
            <w:tcW w:w="1840" w:type="dxa"/>
            <w:vAlign w:val="bottom"/>
            <w:tcBorders>
              <w:bottom w:val="single" w:sz="8" w:color="231F20"/>
            </w:tcBorders>
          </w:tcPr>
          <w:p>
            <w:pPr>
              <w:spacing w:after="0"/>
              <w:rPr>
                <w:sz w:val="4"/>
                <w:szCs w:val="4"/>
                <w:color w:val="auto"/>
              </w:rPr>
            </w:pPr>
          </w:p>
        </w:tc>
        <w:tc>
          <w:tcPr>
            <w:tcW w:w="340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3080" w:type="dxa"/>
            <w:vAlign w:val="bottom"/>
            <w:tcBorders>
              <w:left w:val="single" w:sz="8" w:color="231F20"/>
              <w:bottom w:val="single" w:sz="8" w:color="231F20"/>
              <w:right w:val="single" w:sz="8" w:color="231F20"/>
            </w:tcBorders>
          </w:tcPr>
          <w:p>
            <w:pPr>
              <w:ind w:left="160"/>
              <w:spacing w:after="0"/>
              <w:rPr>
                <w:sz w:val="20"/>
                <w:szCs w:val="20"/>
                <w:color w:val="auto"/>
              </w:rPr>
            </w:pPr>
            <w:r>
              <w:rPr>
                <w:rFonts w:ascii="Arial" w:cs="Arial" w:eastAsia="Arial" w:hAnsi="Arial"/>
                <w:sz w:val="19"/>
                <w:szCs w:val="19"/>
                <w:color w:val="auto"/>
              </w:rPr>
              <w:t xml:space="preserve">Status: </w:t>
            </w:r>
            <w:r>
              <w:rPr>
                <w:rFonts w:ascii="Arial" w:cs="Arial" w:eastAsia="Arial" w:hAnsi="Arial"/>
                <w:sz w:val="19"/>
                <w:szCs w:val="19"/>
                <w:b w:val="1"/>
                <w:bCs w:val="1"/>
                <w:color w:val="auto"/>
              </w:rPr>
              <w:t>INDEPENDENT</w:t>
            </w:r>
          </w:p>
        </w:tc>
        <w:tc>
          <w:tcPr>
            <w:tcW w:w="1860" w:type="dxa"/>
            <w:vAlign w:val="bottom"/>
            <w:tcBorders>
              <w:bottom w:val="single" w:sz="8" w:color="231F20"/>
              <w:right w:val="single" w:sz="8" w:color="003445"/>
            </w:tcBorders>
            <w:shd w:val="clear" w:color="auto" w:fill="003445"/>
          </w:tcPr>
          <w:p>
            <w:pPr>
              <w:spacing w:after="0"/>
              <w:rPr>
                <w:sz w:val="24"/>
                <w:szCs w:val="24"/>
                <w:color w:val="auto"/>
              </w:rPr>
            </w:pPr>
          </w:p>
        </w:tc>
        <w:tc>
          <w:tcPr>
            <w:tcW w:w="360" w:type="dxa"/>
            <w:vAlign w:val="bottom"/>
            <w:tcBorders>
              <w:bottom w:val="single" w:sz="8" w:color="231F20"/>
            </w:tcBorders>
            <w:shd w:val="clear" w:color="auto" w:fill="003445"/>
          </w:tcPr>
          <w:p>
            <w:pPr>
              <w:spacing w:after="0"/>
              <w:rPr>
                <w:sz w:val="24"/>
                <w:szCs w:val="24"/>
                <w:color w:val="auto"/>
              </w:rPr>
            </w:pPr>
          </w:p>
        </w:tc>
        <w:tc>
          <w:tcPr>
            <w:tcW w:w="160" w:type="dxa"/>
            <w:vAlign w:val="bottom"/>
            <w:tcBorders>
              <w:bottom w:val="single" w:sz="8" w:color="231F20"/>
              <w:right w:val="single" w:sz="8" w:color="003445"/>
            </w:tcBorders>
            <w:shd w:val="clear" w:color="auto" w:fill="003445"/>
          </w:tcPr>
          <w:p>
            <w:pPr>
              <w:spacing w:after="0"/>
              <w:rPr>
                <w:sz w:val="24"/>
                <w:szCs w:val="24"/>
                <w:color w:val="auto"/>
              </w:rPr>
            </w:pPr>
          </w:p>
        </w:tc>
        <w:tc>
          <w:tcPr>
            <w:tcW w:w="5240" w:type="dxa"/>
            <w:vAlign w:val="bottom"/>
            <w:tcBorders>
              <w:bottom w:val="single" w:sz="8" w:color="231F20"/>
              <w:right w:val="single" w:sz="8" w:color="231F20"/>
            </w:tcBorders>
            <w:gridSpan w:val="2"/>
            <w:shd w:val="clear" w:color="auto" w:fill="003445"/>
          </w:tcPr>
          <w:p>
            <w:pPr>
              <w:jc w:val="center"/>
              <w:ind w:right="2308"/>
              <w:spacing w:after="0"/>
              <w:rPr>
                <w:sz w:val="20"/>
                <w:szCs w:val="20"/>
                <w:color w:val="auto"/>
              </w:rPr>
            </w:pPr>
            <w:r>
              <w:rPr>
                <w:rFonts w:ascii="Arial" w:cs="Arial" w:eastAsia="Arial" w:hAnsi="Arial"/>
                <w:sz w:val="17"/>
                <w:szCs w:val="17"/>
                <w:b w:val="1"/>
                <w:bCs w:val="1"/>
                <w:color w:val="FFFFFF"/>
              </w:rPr>
              <w:t>Other Public Board Memberships</w:t>
            </w:r>
          </w:p>
        </w:tc>
        <w:tc>
          <w:tcPr>
            <w:tcW w:w="0" w:type="dxa"/>
            <w:vAlign w:val="bottom"/>
          </w:tcPr>
          <w:p>
            <w:pPr>
              <w:spacing w:after="0"/>
              <w:rPr>
                <w:sz w:val="1"/>
                <w:szCs w:val="1"/>
                <w:color w:val="auto"/>
              </w:rPr>
            </w:pPr>
          </w:p>
        </w:tc>
      </w:tr>
      <w:tr>
        <w:trPr>
          <w:trHeight w:val="262"/>
        </w:trPr>
        <w:tc>
          <w:tcPr>
            <w:tcW w:w="3080" w:type="dxa"/>
            <w:vAlign w:val="bottom"/>
            <w:tcBorders>
              <w:left w:val="single" w:sz="8" w:color="231F20"/>
              <w:bottom w:val="single" w:sz="8" w:color="231F20"/>
              <w:right w:val="single" w:sz="8" w:color="231F20"/>
            </w:tcBorders>
          </w:tcPr>
          <w:p>
            <w:pPr>
              <w:spacing w:after="0"/>
              <w:rPr>
                <w:sz w:val="22"/>
                <w:szCs w:val="22"/>
                <w:color w:val="auto"/>
              </w:rPr>
            </w:pPr>
          </w:p>
        </w:tc>
        <w:tc>
          <w:tcPr>
            <w:tcW w:w="2220" w:type="dxa"/>
            <w:vAlign w:val="bottom"/>
            <w:tcBorders>
              <w:bottom w:val="single" w:sz="8" w:color="231F20"/>
            </w:tcBorders>
            <w:gridSpan w:val="2"/>
          </w:tcPr>
          <w:p>
            <w:pPr>
              <w:ind w:left="20"/>
              <w:spacing w:after="0"/>
              <w:rPr>
                <w:sz w:val="20"/>
                <w:szCs w:val="20"/>
                <w:color w:val="auto"/>
              </w:rPr>
            </w:pPr>
            <w:r>
              <w:rPr>
                <w:rFonts w:ascii="Arial" w:cs="Arial" w:eastAsia="Arial" w:hAnsi="Arial"/>
                <w:sz w:val="19"/>
                <w:szCs w:val="19"/>
                <w:color w:val="auto"/>
              </w:rPr>
              <w:t>Enerflex Ltd.</w:t>
            </w:r>
          </w:p>
        </w:tc>
        <w:tc>
          <w:tcPr>
            <w:tcW w:w="160" w:type="dxa"/>
            <w:vAlign w:val="bottom"/>
            <w:tcBorders>
              <w:bottom w:val="single" w:sz="8" w:color="231F20"/>
            </w:tcBorders>
          </w:tcPr>
          <w:p>
            <w:pPr>
              <w:spacing w:after="0"/>
              <w:rPr>
                <w:sz w:val="22"/>
                <w:szCs w:val="22"/>
                <w:color w:val="auto"/>
              </w:rPr>
            </w:pPr>
          </w:p>
        </w:tc>
        <w:tc>
          <w:tcPr>
            <w:tcW w:w="1840" w:type="dxa"/>
            <w:vAlign w:val="bottom"/>
            <w:tcBorders>
              <w:bottom w:val="single" w:sz="8" w:color="231F20"/>
            </w:tcBorders>
          </w:tcPr>
          <w:p>
            <w:pPr>
              <w:spacing w:after="0"/>
              <w:rPr>
                <w:sz w:val="22"/>
                <w:szCs w:val="22"/>
                <w:color w:val="auto"/>
              </w:rPr>
            </w:pPr>
          </w:p>
        </w:tc>
        <w:tc>
          <w:tcPr>
            <w:tcW w:w="3400" w:type="dxa"/>
            <w:vAlign w:val="bottom"/>
            <w:tcBorders>
              <w:bottom w:val="single" w:sz="8" w:color="231F20"/>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080" w:type="dxa"/>
            <w:vAlign w:val="bottom"/>
            <w:tcBorders>
              <w:left w:val="single" w:sz="8" w:color="231F20"/>
              <w:right w:val="single" w:sz="8" w:color="003445"/>
            </w:tcBorders>
            <w:shd w:val="clear" w:color="auto" w:fill="003445"/>
          </w:tcPr>
          <w:p>
            <w:pPr>
              <w:spacing w:after="0"/>
              <w:rPr>
                <w:sz w:val="18"/>
                <w:szCs w:val="18"/>
                <w:color w:val="auto"/>
              </w:rPr>
            </w:pPr>
          </w:p>
        </w:tc>
        <w:tc>
          <w:tcPr>
            <w:tcW w:w="1860" w:type="dxa"/>
            <w:vAlign w:val="bottom"/>
            <w:tcBorders>
              <w:right w:val="single" w:sz="8" w:color="231F20"/>
            </w:tcBorders>
            <w:shd w:val="clear" w:color="auto" w:fill="003445"/>
          </w:tcPr>
          <w:p>
            <w:pPr>
              <w:spacing w:after="0"/>
              <w:rPr>
                <w:sz w:val="18"/>
                <w:szCs w:val="18"/>
                <w:color w:val="auto"/>
              </w:rPr>
            </w:pPr>
          </w:p>
        </w:tc>
        <w:tc>
          <w:tcPr>
            <w:tcW w:w="360" w:type="dxa"/>
            <w:vAlign w:val="bottom"/>
            <w:vMerge w:val="restart"/>
            <w:shd w:val="clear" w:color="auto" w:fill="003445"/>
          </w:tcPr>
          <w:p>
            <w:pPr>
              <w:ind w:left="240"/>
              <w:spacing w:after="0"/>
              <w:rPr>
                <w:sz w:val="20"/>
                <w:szCs w:val="20"/>
                <w:color w:val="auto"/>
              </w:rPr>
            </w:pPr>
            <w:r>
              <w:rPr>
                <w:rFonts w:ascii="Arial" w:cs="Arial" w:eastAsia="Arial" w:hAnsi="Arial"/>
                <w:sz w:val="14"/>
                <w:szCs w:val="14"/>
                <w:b w:val="1"/>
                <w:bCs w:val="1"/>
                <w:color w:val="FFFFFF"/>
                <w:w w:val="71"/>
              </w:rPr>
              <w:t> </w:t>
            </w:r>
          </w:p>
        </w:tc>
        <w:tc>
          <w:tcPr>
            <w:tcW w:w="160" w:type="dxa"/>
            <w:vAlign w:val="bottom"/>
            <w:tcBorders>
              <w:right w:val="single" w:sz="8" w:color="003445"/>
            </w:tcBorders>
            <w:shd w:val="clear" w:color="auto" w:fill="003445"/>
          </w:tcPr>
          <w:p>
            <w:pPr>
              <w:spacing w:after="0"/>
              <w:rPr>
                <w:sz w:val="18"/>
                <w:szCs w:val="18"/>
                <w:color w:val="auto"/>
              </w:rPr>
            </w:pPr>
          </w:p>
        </w:tc>
        <w:tc>
          <w:tcPr>
            <w:tcW w:w="1840" w:type="dxa"/>
            <w:vAlign w:val="bottom"/>
            <w:tcBorders>
              <w:right w:val="single" w:sz="8" w:color="231F20"/>
            </w:tcBorders>
            <w:shd w:val="clear" w:color="auto" w:fill="003445"/>
          </w:tcPr>
          <w:p>
            <w:pPr>
              <w:jc w:val="center"/>
              <w:ind w:right="347"/>
              <w:spacing w:after="0"/>
              <w:rPr>
                <w:sz w:val="20"/>
                <w:szCs w:val="20"/>
                <w:color w:val="auto"/>
              </w:rPr>
            </w:pPr>
            <w:r>
              <w:rPr>
                <w:rFonts w:ascii="Arial" w:cs="Arial" w:eastAsia="Arial" w:hAnsi="Arial"/>
                <w:sz w:val="19"/>
                <w:szCs w:val="19"/>
                <w:b w:val="1"/>
                <w:bCs w:val="1"/>
                <w:color w:val="FFFFFF"/>
              </w:rPr>
              <w:t>Attendance at</w:t>
            </w:r>
          </w:p>
        </w:tc>
        <w:tc>
          <w:tcPr>
            <w:tcW w:w="3400" w:type="dxa"/>
            <w:vAlign w:val="bottom"/>
            <w:tcBorders>
              <w:right w:val="single" w:sz="8" w:color="231F20"/>
            </w:tcBorders>
            <w:shd w:val="clear" w:color="auto" w:fill="003445"/>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Borders>
              <w:left w:val="single" w:sz="8" w:color="231F20"/>
              <w:right w:val="single" w:sz="8" w:color="003445"/>
            </w:tcBorders>
            <w:shd w:val="clear" w:color="auto" w:fill="003445"/>
          </w:tcPr>
          <w:p>
            <w:pPr>
              <w:spacing w:after="0"/>
              <w:rPr>
                <w:sz w:val="18"/>
                <w:szCs w:val="18"/>
                <w:color w:val="auto"/>
              </w:rPr>
            </w:pPr>
          </w:p>
        </w:tc>
        <w:tc>
          <w:tcPr>
            <w:tcW w:w="1860" w:type="dxa"/>
            <w:vAlign w:val="bottom"/>
            <w:tcBorders>
              <w:right w:val="single" w:sz="8" w:color="231F20"/>
            </w:tcBorders>
            <w:shd w:val="clear" w:color="auto" w:fill="003445"/>
          </w:tcPr>
          <w:p>
            <w:pPr>
              <w:spacing w:after="0"/>
              <w:rPr>
                <w:sz w:val="18"/>
                <w:szCs w:val="18"/>
                <w:color w:val="auto"/>
              </w:rPr>
            </w:pPr>
          </w:p>
        </w:tc>
        <w:tc>
          <w:tcPr>
            <w:tcW w:w="360" w:type="dxa"/>
            <w:vAlign w:val="bottom"/>
            <w:vMerge w:val="continue"/>
            <w:shd w:val="clear" w:color="auto" w:fill="003445"/>
          </w:tcPr>
          <w:p>
            <w:pPr>
              <w:spacing w:after="0"/>
              <w:rPr>
                <w:sz w:val="18"/>
                <w:szCs w:val="18"/>
                <w:color w:val="auto"/>
              </w:rPr>
            </w:pPr>
          </w:p>
        </w:tc>
        <w:tc>
          <w:tcPr>
            <w:tcW w:w="2000" w:type="dxa"/>
            <w:vAlign w:val="bottom"/>
            <w:tcBorders>
              <w:right w:val="single" w:sz="8" w:color="231F20"/>
            </w:tcBorders>
            <w:gridSpan w:val="2"/>
            <w:shd w:val="clear" w:color="auto" w:fill="003445"/>
          </w:tcPr>
          <w:p>
            <w:pPr>
              <w:jc w:val="center"/>
              <w:ind w:right="187"/>
              <w:spacing w:after="0" w:line="210" w:lineRule="exact"/>
              <w:rPr>
                <w:sz w:val="20"/>
                <w:szCs w:val="20"/>
                <w:color w:val="auto"/>
              </w:rPr>
            </w:pPr>
            <w:r>
              <w:rPr>
                <w:rFonts w:ascii="Arial" w:cs="Arial" w:eastAsia="Arial" w:hAnsi="Arial"/>
                <w:sz w:val="19"/>
                <w:szCs w:val="19"/>
                <w:b w:val="1"/>
                <w:bCs w:val="1"/>
                <w:color w:val="FFFFFF"/>
              </w:rPr>
              <w:t>Regular Meetings</w:t>
            </w:r>
          </w:p>
        </w:tc>
        <w:tc>
          <w:tcPr>
            <w:tcW w:w="3400" w:type="dxa"/>
            <w:vAlign w:val="bottom"/>
            <w:tcBorders>
              <w:right w:val="single" w:sz="8" w:color="231F20"/>
            </w:tcBorders>
            <w:shd w:val="clear" w:color="auto" w:fill="003445"/>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940" w:type="dxa"/>
            <w:vAlign w:val="bottom"/>
            <w:tcBorders>
              <w:left w:val="single" w:sz="8" w:color="231F20"/>
              <w:bottom w:val="single" w:sz="8" w:color="231F20"/>
              <w:right w:val="single" w:sz="8" w:color="231F20"/>
            </w:tcBorders>
            <w:gridSpan w:val="2"/>
            <w:shd w:val="clear" w:color="auto" w:fill="003445"/>
          </w:tcPr>
          <w:p>
            <w:pPr>
              <w:jc w:val="center"/>
              <w:ind w:left="47"/>
              <w:spacing w:after="0"/>
              <w:rPr>
                <w:sz w:val="20"/>
                <w:szCs w:val="20"/>
                <w:color w:val="auto"/>
              </w:rPr>
            </w:pPr>
            <w:r>
              <w:rPr>
                <w:rFonts w:ascii="Arial" w:cs="Arial" w:eastAsia="Arial" w:hAnsi="Arial"/>
                <w:sz w:val="19"/>
                <w:szCs w:val="19"/>
                <w:b w:val="1"/>
                <w:bCs w:val="1"/>
                <w:color w:val="FFFFFF"/>
              </w:rPr>
              <w:t>Board / Committee Memberships</w:t>
            </w:r>
          </w:p>
        </w:tc>
        <w:tc>
          <w:tcPr>
            <w:tcW w:w="360" w:type="dxa"/>
            <w:vAlign w:val="bottom"/>
            <w:tcBorders>
              <w:bottom w:val="single" w:sz="8" w:color="231F20"/>
            </w:tcBorders>
            <w:shd w:val="clear" w:color="auto" w:fill="003445"/>
          </w:tcPr>
          <w:p>
            <w:pPr>
              <w:spacing w:after="0"/>
              <w:rPr>
                <w:sz w:val="24"/>
                <w:szCs w:val="24"/>
                <w:color w:val="auto"/>
              </w:rPr>
            </w:pPr>
          </w:p>
        </w:tc>
        <w:tc>
          <w:tcPr>
            <w:tcW w:w="160" w:type="dxa"/>
            <w:vAlign w:val="bottom"/>
            <w:tcBorders>
              <w:bottom w:val="single" w:sz="8" w:color="231F20"/>
              <w:right w:val="single" w:sz="8" w:color="003445"/>
            </w:tcBorders>
            <w:shd w:val="clear" w:color="auto" w:fill="003445"/>
          </w:tcPr>
          <w:p>
            <w:pPr>
              <w:spacing w:after="0"/>
              <w:rPr>
                <w:sz w:val="24"/>
                <w:szCs w:val="24"/>
                <w:color w:val="auto"/>
              </w:rPr>
            </w:pPr>
          </w:p>
        </w:tc>
        <w:tc>
          <w:tcPr>
            <w:tcW w:w="1840" w:type="dxa"/>
            <w:vAlign w:val="bottom"/>
            <w:tcBorders>
              <w:bottom w:val="single" w:sz="8" w:color="231F20"/>
              <w:right w:val="single" w:sz="8" w:color="231F20"/>
            </w:tcBorders>
            <w:shd w:val="clear" w:color="auto" w:fill="003445"/>
          </w:tcPr>
          <w:p>
            <w:pPr>
              <w:jc w:val="center"/>
              <w:ind w:right="347"/>
              <w:spacing w:after="0"/>
              <w:rPr>
                <w:sz w:val="20"/>
                <w:szCs w:val="20"/>
                <w:color w:val="auto"/>
              </w:rPr>
            </w:pPr>
            <w:r>
              <w:rPr>
                <w:rFonts w:ascii="Arial" w:cs="Arial" w:eastAsia="Arial" w:hAnsi="Arial"/>
                <w:sz w:val="19"/>
                <w:szCs w:val="19"/>
                <w:b w:val="1"/>
                <w:bCs w:val="1"/>
                <w:color w:val="FFFFFF"/>
              </w:rPr>
              <w:t>in Fiscal 2025</w:t>
            </w:r>
          </w:p>
        </w:tc>
        <w:tc>
          <w:tcPr>
            <w:tcW w:w="3400" w:type="dxa"/>
            <w:vAlign w:val="bottom"/>
            <w:tcBorders>
              <w:bottom w:val="single" w:sz="8" w:color="231F20"/>
              <w:right w:val="single" w:sz="8" w:color="231F20"/>
            </w:tcBorders>
            <w:shd w:val="clear" w:color="auto" w:fill="003445"/>
          </w:tcPr>
          <w:p>
            <w:pPr>
              <w:jc w:val="right"/>
              <w:ind w:right="248"/>
              <w:spacing w:after="0"/>
              <w:rPr>
                <w:sz w:val="20"/>
                <w:szCs w:val="20"/>
                <w:color w:val="auto"/>
              </w:rPr>
            </w:pPr>
            <w:r>
              <w:rPr>
                <w:rFonts w:ascii="Arial" w:cs="Arial" w:eastAsia="Arial" w:hAnsi="Arial"/>
                <w:sz w:val="19"/>
                <w:szCs w:val="19"/>
                <w:b w:val="1"/>
                <w:bCs w:val="1"/>
                <w:color w:val="FFFFFF"/>
              </w:rPr>
              <w:t xml:space="preserve">         Overall Attendance       </w:t>
            </w:r>
          </w:p>
        </w:tc>
        <w:tc>
          <w:tcPr>
            <w:tcW w:w="0" w:type="dxa"/>
            <w:vAlign w:val="bottom"/>
          </w:tcPr>
          <w:p>
            <w:pPr>
              <w:spacing w:after="0"/>
              <w:rPr>
                <w:sz w:val="1"/>
                <w:szCs w:val="1"/>
                <w:color w:val="auto"/>
              </w:rPr>
            </w:pPr>
          </w:p>
        </w:tc>
      </w:tr>
      <w:tr>
        <w:trPr>
          <w:trHeight w:val="272"/>
        </w:trPr>
        <w:tc>
          <w:tcPr>
            <w:tcW w:w="3080" w:type="dxa"/>
            <w:vAlign w:val="bottom"/>
            <w:tcBorders>
              <w:left w:val="single" w:sz="8" w:color="231F20"/>
            </w:tcBorders>
          </w:tcPr>
          <w:p>
            <w:pPr>
              <w:jc w:val="center"/>
              <w:ind w:left="1907"/>
              <w:spacing w:after="0"/>
              <w:rPr>
                <w:sz w:val="20"/>
                <w:szCs w:val="20"/>
                <w:color w:val="auto"/>
              </w:rPr>
            </w:pPr>
            <w:r>
              <w:rPr>
                <w:rFonts w:ascii="Arial" w:cs="Arial" w:eastAsia="Arial" w:hAnsi="Arial"/>
                <w:sz w:val="19"/>
                <w:szCs w:val="19"/>
                <w:color w:val="auto"/>
              </w:rPr>
              <w:t>Board</w:t>
            </w:r>
          </w:p>
        </w:tc>
        <w:tc>
          <w:tcPr>
            <w:tcW w:w="1860" w:type="dxa"/>
            <w:vAlign w:val="bottom"/>
            <w:tcBorders>
              <w:right w:val="single" w:sz="8" w:color="231F20"/>
            </w:tcBorders>
          </w:tcPr>
          <w:p>
            <w:pPr>
              <w:spacing w:after="0"/>
              <w:rPr>
                <w:sz w:val="23"/>
                <w:szCs w:val="23"/>
                <w:color w:val="auto"/>
              </w:rPr>
            </w:pPr>
          </w:p>
        </w:tc>
        <w:tc>
          <w:tcPr>
            <w:tcW w:w="360" w:type="dxa"/>
            <w:vAlign w:val="bottom"/>
          </w:tcPr>
          <w:p>
            <w:pPr>
              <w:spacing w:after="0"/>
              <w:rPr>
                <w:sz w:val="23"/>
                <w:szCs w:val="23"/>
                <w:color w:val="auto"/>
              </w:rPr>
            </w:pPr>
          </w:p>
        </w:tc>
        <w:tc>
          <w:tcPr>
            <w:tcW w:w="2000" w:type="dxa"/>
            <w:vAlign w:val="bottom"/>
            <w:tcBorders>
              <w:right w:val="single" w:sz="8" w:color="231F20"/>
            </w:tcBorders>
            <w:gridSpan w:val="2"/>
          </w:tcPr>
          <w:p>
            <w:pPr>
              <w:jc w:val="center"/>
              <w:ind w:right="187"/>
              <w:spacing w:after="0"/>
              <w:rPr>
                <w:sz w:val="20"/>
                <w:szCs w:val="20"/>
                <w:color w:val="auto"/>
              </w:rPr>
            </w:pPr>
            <w:r>
              <w:rPr>
                <w:rFonts w:ascii="Arial" w:cs="Arial" w:eastAsia="Arial" w:hAnsi="Arial"/>
                <w:sz w:val="19"/>
                <w:szCs w:val="19"/>
                <w:color w:val="auto"/>
              </w:rPr>
              <w:t>7/7</w:t>
            </w:r>
          </w:p>
        </w:tc>
        <w:tc>
          <w:tcPr>
            <w:tcW w:w="3400" w:type="dxa"/>
            <w:vAlign w:val="bottom"/>
            <w:tcBorders>
              <w:right w:val="single" w:sz="8" w:color="231F20"/>
            </w:tcBorders>
          </w:tcPr>
          <w:p>
            <w:pPr>
              <w:jc w:val="right"/>
              <w:ind w:right="1348"/>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31"/>
        </w:trPr>
        <w:tc>
          <w:tcPr>
            <w:tcW w:w="4940" w:type="dxa"/>
            <w:vAlign w:val="bottom"/>
            <w:tcBorders>
              <w:left w:val="single" w:sz="8" w:color="231F20"/>
              <w:right w:val="single" w:sz="8" w:color="231F20"/>
            </w:tcBorders>
            <w:gridSpan w:val="2"/>
          </w:tcPr>
          <w:p>
            <w:pPr>
              <w:jc w:val="center"/>
              <w:ind w:left="47"/>
              <w:spacing w:after="0"/>
              <w:rPr>
                <w:sz w:val="20"/>
                <w:szCs w:val="20"/>
                <w:color w:val="auto"/>
              </w:rPr>
            </w:pPr>
            <w:r>
              <w:rPr>
                <w:rFonts w:ascii="Arial" w:cs="Arial" w:eastAsia="Arial" w:hAnsi="Arial"/>
                <w:sz w:val="19"/>
                <w:szCs w:val="19"/>
                <w:color w:val="auto"/>
              </w:rPr>
              <w:t>Audit &amp; Risk Management Committee</w:t>
            </w:r>
          </w:p>
        </w:tc>
        <w:tc>
          <w:tcPr>
            <w:tcW w:w="360" w:type="dxa"/>
            <w:vAlign w:val="bottom"/>
          </w:tcPr>
          <w:p>
            <w:pPr>
              <w:spacing w:after="0"/>
              <w:rPr>
                <w:sz w:val="20"/>
                <w:szCs w:val="20"/>
                <w:color w:val="auto"/>
              </w:rPr>
            </w:pPr>
          </w:p>
        </w:tc>
        <w:tc>
          <w:tcPr>
            <w:tcW w:w="2000" w:type="dxa"/>
            <w:vAlign w:val="bottom"/>
            <w:tcBorders>
              <w:right w:val="single" w:sz="8" w:color="231F20"/>
            </w:tcBorders>
            <w:gridSpan w:val="2"/>
          </w:tcPr>
          <w:p>
            <w:pPr>
              <w:jc w:val="center"/>
              <w:ind w:right="187"/>
              <w:spacing w:after="0"/>
              <w:rPr>
                <w:sz w:val="20"/>
                <w:szCs w:val="20"/>
                <w:color w:val="auto"/>
              </w:rPr>
            </w:pPr>
            <w:r>
              <w:rPr>
                <w:rFonts w:ascii="Arial" w:cs="Arial" w:eastAsia="Arial" w:hAnsi="Arial"/>
                <w:sz w:val="19"/>
                <w:szCs w:val="19"/>
                <w:color w:val="auto"/>
              </w:rPr>
              <w:t>9/9</w:t>
            </w:r>
          </w:p>
        </w:tc>
        <w:tc>
          <w:tcPr>
            <w:tcW w:w="340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080" w:type="dxa"/>
            <w:vAlign w:val="bottom"/>
            <w:tcBorders>
              <w:left w:val="single" w:sz="8" w:color="231F20"/>
            </w:tcBorders>
          </w:tcPr>
          <w:p>
            <w:pPr>
              <w:jc w:val="center"/>
              <w:ind w:left="1907"/>
              <w:spacing w:after="0"/>
              <w:rPr>
                <w:sz w:val="20"/>
                <w:szCs w:val="20"/>
                <w:color w:val="auto"/>
              </w:rPr>
            </w:pPr>
            <w:r>
              <w:rPr>
                <w:rFonts w:ascii="Arial" w:cs="Arial" w:eastAsia="Arial" w:hAnsi="Arial"/>
                <w:sz w:val="19"/>
                <w:szCs w:val="19"/>
                <w:color w:val="auto"/>
              </w:rPr>
              <w:t>(Chair)</w:t>
            </w:r>
          </w:p>
        </w:tc>
        <w:tc>
          <w:tcPr>
            <w:tcW w:w="1860" w:type="dxa"/>
            <w:vAlign w:val="bottom"/>
            <w:tcBorders>
              <w:right w:val="single" w:sz="8" w:color="231F20"/>
            </w:tcBorders>
          </w:tcPr>
          <w:p>
            <w:pPr>
              <w:spacing w:after="0"/>
              <w:rPr>
                <w:sz w:val="22"/>
                <w:szCs w:val="22"/>
                <w:color w:val="auto"/>
              </w:rPr>
            </w:pPr>
          </w:p>
        </w:tc>
        <w:tc>
          <w:tcPr>
            <w:tcW w:w="360" w:type="dxa"/>
            <w:vAlign w:val="bottom"/>
          </w:tcPr>
          <w:p>
            <w:pPr>
              <w:spacing w:after="0"/>
              <w:rPr>
                <w:sz w:val="22"/>
                <w:szCs w:val="22"/>
                <w:color w:val="auto"/>
              </w:rPr>
            </w:pPr>
          </w:p>
        </w:tc>
        <w:tc>
          <w:tcPr>
            <w:tcW w:w="2000" w:type="dxa"/>
            <w:vAlign w:val="bottom"/>
            <w:tcBorders>
              <w:right w:val="single" w:sz="8" w:color="231F20"/>
            </w:tcBorders>
            <w:gridSpan w:val="2"/>
            <w:vMerge w:val="restart"/>
          </w:tcPr>
          <w:p>
            <w:pPr>
              <w:jc w:val="center"/>
              <w:ind w:right="187"/>
              <w:spacing w:after="0"/>
              <w:rPr>
                <w:sz w:val="20"/>
                <w:szCs w:val="20"/>
                <w:color w:val="auto"/>
              </w:rPr>
            </w:pPr>
            <w:r>
              <w:rPr>
                <w:rFonts w:ascii="Arial" w:cs="Arial" w:eastAsia="Arial" w:hAnsi="Arial"/>
                <w:sz w:val="19"/>
                <w:szCs w:val="19"/>
                <w:color w:val="auto"/>
              </w:rPr>
              <w:t>5/5</w:t>
            </w:r>
          </w:p>
        </w:tc>
        <w:tc>
          <w:tcPr>
            <w:tcW w:w="340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4940" w:type="dxa"/>
            <w:vAlign w:val="bottom"/>
            <w:tcBorders>
              <w:left w:val="single" w:sz="8" w:color="231F20"/>
              <w:right w:val="single" w:sz="8" w:color="231F20"/>
            </w:tcBorders>
            <w:gridSpan w:val="2"/>
            <w:vMerge w:val="restart"/>
          </w:tcPr>
          <w:p>
            <w:pPr>
              <w:jc w:val="center"/>
              <w:ind w:left="47"/>
              <w:spacing w:after="0"/>
              <w:rPr>
                <w:sz w:val="20"/>
                <w:szCs w:val="20"/>
                <w:color w:val="auto"/>
              </w:rPr>
            </w:pPr>
            <w:r>
              <w:rPr>
                <w:rFonts w:ascii="Arial" w:cs="Arial" w:eastAsia="Arial" w:hAnsi="Arial"/>
                <w:sz w:val="19"/>
                <w:szCs w:val="19"/>
                <w:color w:val="auto"/>
              </w:rPr>
              <w:t>Human Resources and Compensation</w:t>
            </w:r>
          </w:p>
        </w:tc>
        <w:tc>
          <w:tcPr>
            <w:tcW w:w="360" w:type="dxa"/>
            <w:vAlign w:val="bottom"/>
          </w:tcPr>
          <w:p>
            <w:pPr>
              <w:spacing w:after="0"/>
              <w:rPr>
                <w:sz w:val="5"/>
                <w:szCs w:val="5"/>
                <w:color w:val="auto"/>
              </w:rPr>
            </w:pPr>
          </w:p>
        </w:tc>
        <w:tc>
          <w:tcPr>
            <w:tcW w:w="2000" w:type="dxa"/>
            <w:vAlign w:val="bottom"/>
            <w:tcBorders>
              <w:right w:val="single" w:sz="8" w:color="231F20"/>
            </w:tcBorders>
            <w:gridSpan w:val="2"/>
            <w:vMerge w:val="continue"/>
          </w:tcPr>
          <w:p>
            <w:pPr>
              <w:spacing w:after="0"/>
              <w:rPr>
                <w:sz w:val="5"/>
                <w:szCs w:val="5"/>
                <w:color w:val="auto"/>
              </w:rPr>
            </w:pPr>
          </w:p>
        </w:tc>
        <w:tc>
          <w:tcPr>
            <w:tcW w:w="3400" w:type="dxa"/>
            <w:vAlign w:val="bottom"/>
            <w:tcBorders>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4940" w:type="dxa"/>
            <w:vAlign w:val="bottom"/>
            <w:tcBorders>
              <w:left w:val="single" w:sz="8" w:color="231F20"/>
              <w:right w:val="single" w:sz="8" w:color="231F20"/>
            </w:tcBorders>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Borders>
              <w:right w:val="single" w:sz="8" w:color="231F20"/>
            </w:tcBorders>
          </w:tcPr>
          <w:p>
            <w:pPr>
              <w:spacing w:after="0"/>
              <w:rPr>
                <w:sz w:val="14"/>
                <w:szCs w:val="14"/>
                <w:color w:val="auto"/>
              </w:rPr>
            </w:pPr>
          </w:p>
        </w:tc>
        <w:tc>
          <w:tcPr>
            <w:tcW w:w="340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3080" w:type="dxa"/>
            <w:vAlign w:val="bottom"/>
            <w:tcBorders>
              <w:left w:val="single" w:sz="8" w:color="231F20"/>
            </w:tcBorders>
          </w:tcPr>
          <w:p>
            <w:pPr>
              <w:jc w:val="center"/>
              <w:ind w:left="1907"/>
              <w:spacing w:after="0"/>
              <w:rPr>
                <w:sz w:val="20"/>
                <w:szCs w:val="20"/>
                <w:color w:val="auto"/>
              </w:rPr>
            </w:pPr>
            <w:r>
              <w:rPr>
                <w:rFonts w:ascii="Arial" w:cs="Arial" w:eastAsia="Arial" w:hAnsi="Arial"/>
                <w:sz w:val="19"/>
                <w:szCs w:val="19"/>
                <w:color w:val="auto"/>
              </w:rPr>
              <w:t>Committee</w:t>
            </w:r>
          </w:p>
        </w:tc>
        <w:tc>
          <w:tcPr>
            <w:tcW w:w="1860" w:type="dxa"/>
            <w:vAlign w:val="bottom"/>
            <w:tcBorders>
              <w:right w:val="single" w:sz="8" w:color="231F20"/>
            </w:tcBorders>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40" w:type="dxa"/>
            <w:vAlign w:val="bottom"/>
            <w:tcBorders>
              <w:right w:val="single" w:sz="8" w:color="231F20"/>
            </w:tcBorders>
          </w:tcPr>
          <w:p>
            <w:pPr>
              <w:spacing w:after="0"/>
              <w:rPr>
                <w:sz w:val="22"/>
                <w:szCs w:val="22"/>
                <w:color w:val="auto"/>
              </w:rPr>
            </w:pPr>
          </w:p>
        </w:tc>
        <w:tc>
          <w:tcPr>
            <w:tcW w:w="340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3080" w:type="dxa"/>
            <w:vAlign w:val="bottom"/>
            <w:tcBorders>
              <w:left w:val="single" w:sz="8" w:color="231F20"/>
              <w:bottom w:val="single" w:sz="8" w:color="231F20"/>
            </w:tcBorders>
          </w:tcPr>
          <w:p>
            <w:pPr>
              <w:spacing w:after="0"/>
              <w:rPr>
                <w:sz w:val="4"/>
                <w:szCs w:val="4"/>
                <w:color w:val="auto"/>
              </w:rPr>
            </w:pPr>
          </w:p>
        </w:tc>
        <w:tc>
          <w:tcPr>
            <w:tcW w:w="1860" w:type="dxa"/>
            <w:vAlign w:val="bottom"/>
            <w:tcBorders>
              <w:bottom w:val="single" w:sz="8" w:color="231F20"/>
              <w:right w:val="single" w:sz="8" w:color="231F20"/>
            </w:tcBorders>
          </w:tcPr>
          <w:p>
            <w:pPr>
              <w:spacing w:after="0"/>
              <w:rPr>
                <w:sz w:val="4"/>
                <w:szCs w:val="4"/>
                <w:color w:val="auto"/>
              </w:rPr>
            </w:pPr>
          </w:p>
        </w:tc>
        <w:tc>
          <w:tcPr>
            <w:tcW w:w="520" w:type="dxa"/>
            <w:vAlign w:val="bottom"/>
            <w:tcBorders>
              <w:bottom w:val="single" w:sz="8" w:color="231F20"/>
            </w:tcBorders>
            <w:gridSpan w:val="2"/>
          </w:tcPr>
          <w:p>
            <w:pPr>
              <w:spacing w:after="0"/>
              <w:rPr>
                <w:sz w:val="4"/>
                <w:szCs w:val="4"/>
                <w:color w:val="auto"/>
              </w:rPr>
            </w:pPr>
          </w:p>
        </w:tc>
        <w:tc>
          <w:tcPr>
            <w:tcW w:w="1840" w:type="dxa"/>
            <w:vAlign w:val="bottom"/>
            <w:tcBorders>
              <w:bottom w:val="single" w:sz="8" w:color="231F20"/>
              <w:right w:val="single" w:sz="8" w:color="231F20"/>
            </w:tcBorders>
          </w:tcPr>
          <w:p>
            <w:pPr>
              <w:spacing w:after="0"/>
              <w:rPr>
                <w:sz w:val="4"/>
                <w:szCs w:val="4"/>
                <w:color w:val="auto"/>
              </w:rPr>
            </w:pPr>
          </w:p>
        </w:tc>
        <w:tc>
          <w:tcPr>
            <w:tcW w:w="340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3080" w:type="dxa"/>
            <w:vAlign w:val="bottom"/>
            <w:tcBorders>
              <w:left w:val="single" w:sz="8" w:color="231F20"/>
              <w:right w:val="single" w:sz="8" w:color="003445"/>
            </w:tcBorders>
            <w:shd w:val="clear" w:color="auto" w:fill="003445"/>
          </w:tcPr>
          <w:p>
            <w:pPr>
              <w:spacing w:after="0"/>
              <w:rPr>
                <w:sz w:val="20"/>
                <w:szCs w:val="20"/>
                <w:color w:val="auto"/>
              </w:rPr>
            </w:pPr>
          </w:p>
        </w:tc>
        <w:tc>
          <w:tcPr>
            <w:tcW w:w="4220" w:type="dxa"/>
            <w:vAlign w:val="bottom"/>
            <w:tcBorders>
              <w:right w:val="single" w:sz="8" w:color="003445"/>
            </w:tcBorders>
            <w:gridSpan w:val="4"/>
            <w:shd w:val="clear" w:color="auto" w:fill="003445"/>
          </w:tcPr>
          <w:p>
            <w:pPr>
              <w:ind w:left="500"/>
              <w:spacing w:after="0"/>
              <w:rPr>
                <w:sz w:val="20"/>
                <w:szCs w:val="20"/>
                <w:color w:val="auto"/>
              </w:rPr>
            </w:pPr>
            <w:r>
              <w:rPr>
                <w:rFonts w:ascii="Arial" w:cs="Arial" w:eastAsia="Arial" w:hAnsi="Arial"/>
                <w:sz w:val="17"/>
                <w:szCs w:val="17"/>
                <w:b w:val="1"/>
                <w:bCs w:val="1"/>
                <w:color w:val="FFFFFF"/>
              </w:rPr>
              <w:t>Securities Beneficially Owned or Controlled</w:t>
            </w:r>
          </w:p>
        </w:tc>
        <w:tc>
          <w:tcPr>
            <w:tcW w:w="3400" w:type="dxa"/>
            <w:vAlign w:val="bottom"/>
            <w:tcBorders>
              <w:right w:val="single" w:sz="8" w:color="231F20"/>
            </w:tcBorders>
            <w:shd w:val="clear" w:color="auto" w:fill="003445"/>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3080" w:type="dxa"/>
            <w:vAlign w:val="bottom"/>
            <w:tcBorders>
              <w:left w:val="single" w:sz="8" w:color="231F20"/>
              <w:bottom w:val="single" w:sz="8" w:color="003445"/>
              <w:right w:val="single" w:sz="8" w:color="003445"/>
            </w:tcBorders>
            <w:shd w:val="clear" w:color="auto" w:fill="003445"/>
          </w:tcPr>
          <w:p>
            <w:pPr>
              <w:spacing w:after="0"/>
              <w:rPr>
                <w:sz w:val="23"/>
                <w:szCs w:val="23"/>
                <w:color w:val="auto"/>
              </w:rPr>
            </w:pPr>
          </w:p>
        </w:tc>
        <w:tc>
          <w:tcPr>
            <w:tcW w:w="4220" w:type="dxa"/>
            <w:vAlign w:val="bottom"/>
            <w:tcBorders>
              <w:bottom w:val="single" w:sz="8" w:color="003445"/>
              <w:right w:val="single" w:sz="8" w:color="003445"/>
            </w:tcBorders>
            <w:gridSpan w:val="4"/>
            <w:shd w:val="clear" w:color="auto" w:fill="003445"/>
          </w:tcPr>
          <w:p>
            <w:pPr>
              <w:ind w:left="1480"/>
              <w:spacing w:after="0"/>
              <w:rPr>
                <w:sz w:val="20"/>
                <w:szCs w:val="20"/>
                <w:color w:val="auto"/>
              </w:rPr>
            </w:pPr>
            <w:r>
              <w:rPr>
                <w:rFonts w:ascii="Arial" w:cs="Arial" w:eastAsia="Arial" w:hAnsi="Arial"/>
                <w:sz w:val="17"/>
                <w:szCs w:val="17"/>
                <w:b w:val="1"/>
                <w:bCs w:val="1"/>
                <w:color w:val="FFFFFF"/>
              </w:rPr>
              <w:t>(as at April 30, 2026)</w:t>
            </w:r>
          </w:p>
        </w:tc>
        <w:tc>
          <w:tcPr>
            <w:tcW w:w="3400" w:type="dxa"/>
            <w:vAlign w:val="bottom"/>
            <w:tcBorders>
              <w:bottom w:val="single" w:sz="8" w:color="003445"/>
              <w:right w:val="single" w:sz="8" w:color="231F20"/>
            </w:tcBorders>
            <w:shd w:val="clear" w:color="auto" w:fill="003445"/>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300" w:type="dxa"/>
            <w:vAlign w:val="bottom"/>
            <w:tcBorders>
              <w:top w:val="single" w:sz="8" w:color="231F20"/>
              <w:left w:val="single" w:sz="8" w:color="231F20"/>
              <w:bottom w:val="single" w:sz="8" w:color="231F20"/>
            </w:tcBorders>
            <w:gridSpan w:val="3"/>
            <w:shd w:val="clear" w:color="auto" w:fill="F2F2F2"/>
          </w:tcPr>
          <w:p>
            <w:pPr>
              <w:ind w:left="2020"/>
              <w:spacing w:after="0" w:line="295" w:lineRule="exact"/>
              <w:rPr>
                <w:sz w:val="20"/>
                <w:szCs w:val="20"/>
                <w:color w:val="auto"/>
              </w:rPr>
            </w:pPr>
            <w:r>
              <w:rPr>
                <w:rFonts w:ascii="Arial" w:cs="Arial" w:eastAsia="Arial" w:hAnsi="Arial"/>
                <w:sz w:val="17"/>
                <w:szCs w:val="17"/>
                <w:b w:val="1"/>
                <w:bCs w:val="1"/>
                <w:color w:val="auto"/>
              </w:rPr>
              <w:t>Number of DSUs</w:t>
            </w:r>
            <w:r>
              <w:rPr>
                <w:rFonts w:ascii="Arial" w:cs="Arial" w:eastAsia="Arial" w:hAnsi="Arial"/>
                <w:sz w:val="26"/>
                <w:szCs w:val="26"/>
                <w:b w:val="1"/>
                <w:bCs w:val="1"/>
                <w:color w:val="auto"/>
                <w:vertAlign w:val="superscript"/>
              </w:rPr>
              <w:t>(3)</w:t>
            </w:r>
          </w:p>
        </w:tc>
        <w:tc>
          <w:tcPr>
            <w:tcW w:w="160" w:type="dxa"/>
            <w:vAlign w:val="bottom"/>
            <w:tcBorders>
              <w:top w:val="single" w:sz="8" w:color="231F20"/>
              <w:bottom w:val="single" w:sz="8" w:color="231F20"/>
              <w:right w:val="single" w:sz="8" w:color="231F20"/>
            </w:tcBorders>
            <w:shd w:val="clear" w:color="auto" w:fill="F2F2F2"/>
          </w:tcPr>
          <w:p>
            <w:pPr>
              <w:spacing w:after="0"/>
              <w:rPr>
                <w:sz w:val="24"/>
                <w:szCs w:val="24"/>
                <w:color w:val="auto"/>
              </w:rPr>
            </w:pPr>
          </w:p>
        </w:tc>
        <w:tc>
          <w:tcPr>
            <w:tcW w:w="184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3400" w:type="dxa"/>
            <w:vAlign w:val="bottom"/>
            <w:tcBorders>
              <w:top w:val="single" w:sz="8" w:color="231F20"/>
              <w:bottom w:val="single" w:sz="8" w:color="231F20"/>
              <w:right w:val="single" w:sz="8" w:color="231F20"/>
            </w:tcBorders>
            <w:shd w:val="clear" w:color="auto" w:fill="F2F2F2"/>
          </w:tcPr>
          <w:p>
            <w:pPr>
              <w:jc w:val="center"/>
              <w:ind w:right="1688"/>
              <w:spacing w:after="0" w:line="295" w:lineRule="exact"/>
              <w:rPr>
                <w:sz w:val="20"/>
                <w:szCs w:val="20"/>
                <w:color w:val="auto"/>
              </w:rPr>
            </w:pPr>
            <w:r>
              <w:rPr>
                <w:rFonts w:ascii="Arial" w:cs="Arial" w:eastAsia="Arial" w:hAnsi="Arial"/>
                <w:sz w:val="17"/>
                <w:szCs w:val="17"/>
                <w:b w:val="1"/>
                <w:bCs w:val="1"/>
                <w:color w:val="auto"/>
                <w:w w:val="96"/>
              </w:rPr>
              <w:t>Market Value</w:t>
            </w:r>
            <w:r>
              <w:rPr>
                <w:rFonts w:ascii="Arial" w:cs="Arial" w:eastAsia="Arial" w:hAnsi="Arial"/>
                <w:sz w:val="26"/>
                <w:szCs w:val="26"/>
                <w:b w:val="1"/>
                <w:bCs w:val="1"/>
                <w:color w:val="auto"/>
                <w:w w:val="96"/>
                <w:vertAlign w:val="superscript"/>
              </w:rPr>
              <w:t>(1)</w:t>
            </w:r>
          </w:p>
        </w:tc>
        <w:tc>
          <w:tcPr>
            <w:tcW w:w="0" w:type="dxa"/>
            <w:vAlign w:val="bottom"/>
          </w:tcPr>
          <w:p>
            <w:pPr>
              <w:spacing w:after="0"/>
              <w:rPr>
                <w:sz w:val="1"/>
                <w:szCs w:val="1"/>
                <w:color w:val="auto"/>
              </w:rPr>
            </w:pPr>
          </w:p>
        </w:tc>
      </w:tr>
      <w:tr>
        <w:trPr>
          <w:trHeight w:val="272"/>
        </w:trPr>
        <w:tc>
          <w:tcPr>
            <w:tcW w:w="3080" w:type="dxa"/>
            <w:vAlign w:val="bottom"/>
            <w:tcBorders>
              <w:left w:val="single" w:sz="8" w:color="231F20"/>
            </w:tcBorders>
          </w:tcPr>
          <w:p>
            <w:pPr>
              <w:ind w:left="2540"/>
              <w:spacing w:after="0"/>
              <w:rPr>
                <w:sz w:val="20"/>
                <w:szCs w:val="20"/>
                <w:color w:val="auto"/>
              </w:rPr>
            </w:pPr>
            <w:r>
              <w:rPr>
                <w:rFonts w:ascii="Arial" w:cs="Arial" w:eastAsia="Arial" w:hAnsi="Arial"/>
                <w:sz w:val="17"/>
                <w:szCs w:val="17"/>
                <w:color w:val="auto"/>
                <w:w w:val="96"/>
              </w:rPr>
              <w:t>93,967</w:t>
            </w:r>
          </w:p>
        </w:tc>
        <w:tc>
          <w:tcPr>
            <w:tcW w:w="18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Borders>
              <w:right w:val="single" w:sz="8" w:color="231F20"/>
            </w:tcBorders>
          </w:tcPr>
          <w:p>
            <w:pPr>
              <w:spacing w:after="0"/>
              <w:rPr>
                <w:sz w:val="23"/>
                <w:szCs w:val="23"/>
                <w:color w:val="auto"/>
              </w:rPr>
            </w:pPr>
          </w:p>
        </w:tc>
        <w:tc>
          <w:tcPr>
            <w:tcW w:w="1840" w:type="dxa"/>
            <w:vAlign w:val="bottom"/>
          </w:tcPr>
          <w:p>
            <w:pPr>
              <w:spacing w:after="0"/>
              <w:rPr>
                <w:sz w:val="23"/>
                <w:szCs w:val="23"/>
                <w:color w:val="auto"/>
              </w:rPr>
            </w:pPr>
          </w:p>
        </w:tc>
        <w:tc>
          <w:tcPr>
            <w:tcW w:w="3400" w:type="dxa"/>
            <w:vAlign w:val="bottom"/>
            <w:tcBorders>
              <w:right w:val="single" w:sz="8" w:color="231F20"/>
            </w:tcBorders>
          </w:tcPr>
          <w:p>
            <w:pPr>
              <w:jc w:val="right"/>
              <w:ind w:right="2128"/>
              <w:spacing w:after="0"/>
              <w:rPr>
                <w:sz w:val="20"/>
                <w:szCs w:val="20"/>
                <w:color w:val="auto"/>
              </w:rPr>
            </w:pPr>
            <w:r>
              <w:rPr>
                <w:rFonts w:ascii="Arial" w:cs="Arial" w:eastAsia="Arial" w:hAnsi="Arial"/>
                <w:sz w:val="17"/>
                <w:szCs w:val="17"/>
                <w:color w:val="auto"/>
              </w:rPr>
              <w:t>$598,570</w:t>
            </w:r>
          </w:p>
        </w:tc>
        <w:tc>
          <w:tcPr>
            <w:tcW w:w="0" w:type="dxa"/>
            <w:vAlign w:val="bottom"/>
          </w:tcPr>
          <w:p>
            <w:pPr>
              <w:spacing w:after="0"/>
              <w:rPr>
                <w:sz w:val="1"/>
                <w:szCs w:val="1"/>
                <w:color w:val="auto"/>
              </w:rPr>
            </w:pPr>
          </w:p>
        </w:tc>
      </w:tr>
      <w:tr>
        <w:trPr>
          <w:trHeight w:val="62"/>
        </w:trPr>
        <w:tc>
          <w:tcPr>
            <w:tcW w:w="3080" w:type="dxa"/>
            <w:vAlign w:val="bottom"/>
            <w:tcBorders>
              <w:left w:val="single" w:sz="8" w:color="231F20"/>
              <w:bottom w:val="single" w:sz="8" w:color="231F20"/>
            </w:tcBorders>
          </w:tcPr>
          <w:p>
            <w:pPr>
              <w:spacing w:after="0"/>
              <w:rPr>
                <w:sz w:val="5"/>
                <w:szCs w:val="5"/>
                <w:color w:val="auto"/>
              </w:rPr>
            </w:pPr>
          </w:p>
        </w:tc>
        <w:tc>
          <w:tcPr>
            <w:tcW w:w="1860" w:type="dxa"/>
            <w:vAlign w:val="bottom"/>
            <w:tcBorders>
              <w:bottom w:val="single" w:sz="8" w:color="231F20"/>
            </w:tcBorders>
          </w:tcPr>
          <w:p>
            <w:pPr>
              <w:spacing w:after="0"/>
              <w:rPr>
                <w:sz w:val="5"/>
                <w:szCs w:val="5"/>
                <w:color w:val="auto"/>
              </w:rPr>
            </w:pPr>
          </w:p>
        </w:tc>
        <w:tc>
          <w:tcPr>
            <w:tcW w:w="360" w:type="dxa"/>
            <w:vAlign w:val="bottom"/>
            <w:tcBorders>
              <w:bottom w:val="single" w:sz="8" w:color="231F20"/>
            </w:tcBorders>
          </w:tcPr>
          <w:p>
            <w:pPr>
              <w:spacing w:after="0"/>
              <w:rPr>
                <w:sz w:val="5"/>
                <w:szCs w:val="5"/>
                <w:color w:val="auto"/>
              </w:rPr>
            </w:pPr>
          </w:p>
        </w:tc>
        <w:tc>
          <w:tcPr>
            <w:tcW w:w="160" w:type="dxa"/>
            <w:vAlign w:val="bottom"/>
            <w:tcBorders>
              <w:bottom w:val="single" w:sz="8" w:color="231F20"/>
              <w:right w:val="single" w:sz="8" w:color="231F20"/>
            </w:tcBorders>
          </w:tcPr>
          <w:p>
            <w:pPr>
              <w:spacing w:after="0"/>
              <w:rPr>
                <w:sz w:val="5"/>
                <w:szCs w:val="5"/>
                <w:color w:val="auto"/>
              </w:rPr>
            </w:pPr>
          </w:p>
        </w:tc>
        <w:tc>
          <w:tcPr>
            <w:tcW w:w="1840" w:type="dxa"/>
            <w:vAlign w:val="bottom"/>
            <w:tcBorders>
              <w:bottom w:val="single" w:sz="8" w:color="231F20"/>
            </w:tcBorders>
          </w:tcPr>
          <w:p>
            <w:pPr>
              <w:spacing w:after="0"/>
              <w:rPr>
                <w:sz w:val="5"/>
                <w:szCs w:val="5"/>
                <w:color w:val="auto"/>
              </w:rPr>
            </w:pPr>
          </w:p>
        </w:tc>
        <w:tc>
          <w:tcPr>
            <w:tcW w:w="340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-5647055</wp:posOffset>
            </wp:positionV>
            <wp:extent cx="1605280" cy="2004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05280" cy="200469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700"/>
          </w:cols>
          <w:pgMar w:left="600" w:top="264" w:right="599" w:bottom="1440" w:gutter="0" w:footer="0" w:header="0"/>
        </w:sectPr>
      </w:pPr>
    </w:p>
    <w:bookmarkStart w:id="30" w:name="page31"/>
    <w:bookmarkEnd w:id="30"/>
    <w:tbl>
      <w:tblPr>
        <w:tblLayout w:type="fixed"/>
        <w:tblInd w:w="10" w:type="dxa"/>
        <w:tblCellMar>
          <w:top w:w="0" w:type="dxa"/>
          <w:left w:w="0" w:type="dxa"/>
          <w:bottom w:w="0" w:type="dxa"/>
          <w:right w:w="0" w:type="dxa"/>
        </w:tblCellMar>
      </w:tblPr>
      <w:tr>
        <w:trPr>
          <w:trHeight w:val="314"/>
        </w:trPr>
        <w:tc>
          <w:tcPr>
            <w:tcW w:w="2300" w:type="dxa"/>
            <w:vAlign w:val="bottom"/>
            <w:tcBorders>
              <w:top w:val="single" w:sz="8" w:color="231F20"/>
              <w:left w:val="single" w:sz="8" w:color="231F20"/>
            </w:tcBorders>
            <w:gridSpan w:val="2"/>
          </w:tcPr>
          <w:p>
            <w:pPr>
              <w:ind w:left="840"/>
              <w:spacing w:after="0"/>
              <w:rPr>
                <w:sz w:val="20"/>
                <w:szCs w:val="20"/>
                <w:color w:val="auto"/>
              </w:rPr>
            </w:pPr>
            <w:r>
              <w:rPr>
                <w:rFonts w:ascii="Arial" w:cs="Arial" w:eastAsia="Arial" w:hAnsi="Arial"/>
                <w:sz w:val="17"/>
                <w:szCs w:val="17"/>
                <w:b w:val="1"/>
                <w:bCs w:val="1"/>
                <w:color w:val="auto"/>
              </w:rPr>
              <w:t>ANDY HARSHAW</w:t>
            </w:r>
          </w:p>
        </w:tc>
        <w:tc>
          <w:tcPr>
            <w:tcW w:w="720" w:type="dxa"/>
            <w:vAlign w:val="bottom"/>
            <w:tcBorders>
              <w:top w:val="single" w:sz="8" w:color="231F20"/>
              <w:right w:val="single" w:sz="8" w:color="auto"/>
            </w:tcBorders>
          </w:tcPr>
          <w:p>
            <w:pPr>
              <w:spacing w:after="0"/>
              <w:rPr>
                <w:sz w:val="24"/>
                <w:szCs w:val="24"/>
                <w:color w:val="auto"/>
              </w:rPr>
            </w:pPr>
          </w:p>
        </w:tc>
        <w:tc>
          <w:tcPr>
            <w:tcW w:w="520" w:type="dxa"/>
            <w:vAlign w:val="bottom"/>
            <w:tcBorders>
              <w:top w:val="single" w:sz="8" w:color="231F20"/>
              <w:bottom w:val="single" w:sz="8" w:color="003445"/>
              <w:right w:val="single" w:sz="8" w:color="003445"/>
            </w:tcBorders>
            <w:shd w:val="clear" w:color="auto" w:fill="003445"/>
          </w:tcPr>
          <w:p>
            <w:pPr>
              <w:spacing w:after="0"/>
              <w:rPr>
                <w:sz w:val="24"/>
                <w:szCs w:val="24"/>
                <w:color w:val="auto"/>
              </w:rPr>
            </w:pPr>
          </w:p>
        </w:tc>
        <w:tc>
          <w:tcPr>
            <w:tcW w:w="600" w:type="dxa"/>
            <w:vAlign w:val="bottom"/>
            <w:tcBorders>
              <w:top w:val="single" w:sz="8" w:color="231F20"/>
              <w:bottom w:val="single" w:sz="8" w:color="003445"/>
            </w:tcBorders>
            <w:shd w:val="clear" w:color="auto" w:fill="003445"/>
          </w:tcPr>
          <w:p>
            <w:pPr>
              <w:spacing w:after="0"/>
              <w:rPr>
                <w:sz w:val="24"/>
                <w:szCs w:val="24"/>
                <w:color w:val="auto"/>
              </w:rPr>
            </w:pPr>
          </w:p>
        </w:tc>
        <w:tc>
          <w:tcPr>
            <w:tcW w:w="5220" w:type="dxa"/>
            <w:vAlign w:val="bottom"/>
            <w:tcBorders>
              <w:top w:val="single" w:sz="8" w:color="231F20"/>
              <w:bottom w:val="single" w:sz="8" w:color="003445"/>
            </w:tcBorders>
            <w:gridSpan w:val="6"/>
            <w:shd w:val="clear" w:color="auto" w:fill="003445"/>
          </w:tcPr>
          <w:p>
            <w:pPr>
              <w:jc w:val="center"/>
              <w:ind w:left="153"/>
              <w:spacing w:after="0"/>
              <w:rPr>
                <w:sz w:val="20"/>
                <w:szCs w:val="20"/>
                <w:color w:val="auto"/>
              </w:rPr>
            </w:pPr>
            <w:r>
              <w:rPr>
                <w:rFonts w:ascii="Arial" w:cs="Arial" w:eastAsia="Arial" w:hAnsi="Arial"/>
                <w:sz w:val="17"/>
                <w:szCs w:val="17"/>
                <w:b w:val="1"/>
                <w:bCs w:val="1"/>
                <w:color w:val="FFFFFF"/>
              </w:rPr>
              <w:t>Biographical Information and Principal Occupation</w:t>
            </w:r>
          </w:p>
        </w:tc>
        <w:tc>
          <w:tcPr>
            <w:tcW w:w="1340" w:type="dxa"/>
            <w:vAlign w:val="bottom"/>
            <w:tcBorders>
              <w:top w:val="single" w:sz="8" w:color="231F20"/>
              <w:bottom w:val="single" w:sz="8" w:color="003445"/>
              <w:right w:val="single" w:sz="8" w:color="231F20"/>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700" w:type="dxa"/>
            <w:vAlign w:val="bottom"/>
            <w:tcBorders>
              <w:top w:val="single" w:sz="8" w:color="231F20"/>
              <w:left w:val="single" w:sz="8" w:color="231F20"/>
            </w:tcBorders>
          </w:tcPr>
          <w:p>
            <w:pPr>
              <w:spacing w:after="0"/>
              <w:rPr>
                <w:sz w:val="21"/>
                <w:szCs w:val="21"/>
                <w:color w:val="auto"/>
              </w:rPr>
            </w:pPr>
          </w:p>
        </w:tc>
        <w:tc>
          <w:tcPr>
            <w:tcW w:w="600" w:type="dxa"/>
            <w:vAlign w:val="bottom"/>
            <w:tcBorders>
              <w:top w:val="single" w:sz="8" w:color="231F20"/>
            </w:tcBorders>
          </w:tcPr>
          <w:p>
            <w:pPr>
              <w:spacing w:after="0"/>
              <w:rPr>
                <w:sz w:val="21"/>
                <w:szCs w:val="21"/>
                <w:color w:val="auto"/>
              </w:rPr>
            </w:pPr>
          </w:p>
        </w:tc>
        <w:tc>
          <w:tcPr>
            <w:tcW w:w="720" w:type="dxa"/>
            <w:vAlign w:val="bottom"/>
            <w:tcBorders>
              <w:top w:val="single" w:sz="8" w:color="231F20"/>
              <w:right w:val="single" w:sz="8" w:color="auto"/>
            </w:tcBorders>
          </w:tcPr>
          <w:p>
            <w:pPr>
              <w:spacing w:after="0"/>
              <w:rPr>
                <w:sz w:val="21"/>
                <w:szCs w:val="21"/>
                <w:color w:val="auto"/>
              </w:rPr>
            </w:pPr>
          </w:p>
        </w:tc>
        <w:tc>
          <w:tcPr>
            <w:tcW w:w="7680" w:type="dxa"/>
            <w:vAlign w:val="bottom"/>
            <w:tcBorders>
              <w:top w:val="single" w:sz="8" w:color="231F20"/>
              <w:right w:val="single" w:sz="8" w:color="231F20"/>
            </w:tcBorders>
            <w:gridSpan w:val="9"/>
          </w:tcPr>
          <w:p>
            <w:pPr>
              <w:ind w:left="80"/>
              <w:spacing w:after="0"/>
              <w:rPr>
                <w:sz w:val="20"/>
                <w:szCs w:val="20"/>
                <w:color w:val="auto"/>
              </w:rPr>
            </w:pPr>
            <w:r>
              <w:rPr>
                <w:rFonts w:ascii="Arial" w:cs="Arial" w:eastAsia="Arial" w:hAnsi="Arial"/>
                <w:sz w:val="19"/>
                <w:szCs w:val="19"/>
                <w:color w:val="auto"/>
              </w:rPr>
              <w:t>Mr. Harshaw was most recently ArcelorMittal USA Flat Carbon’s Chief Executive Officer,</w:t>
            </w:r>
          </w:p>
        </w:tc>
        <w:tc>
          <w:tcPr>
            <w:tcW w:w="0" w:type="dxa"/>
            <w:vAlign w:val="bottom"/>
          </w:tcPr>
          <w:p>
            <w:pPr>
              <w:spacing w:after="0"/>
              <w:rPr>
                <w:sz w:val="1"/>
                <w:szCs w:val="1"/>
                <w:color w:val="auto"/>
              </w:rPr>
            </w:pPr>
          </w:p>
        </w:tc>
      </w:tr>
      <w:tr>
        <w:trPr>
          <w:trHeight w:val="210"/>
        </w:trPr>
        <w:tc>
          <w:tcPr>
            <w:tcW w:w="1700" w:type="dxa"/>
            <w:vAlign w:val="bottom"/>
            <w:tcBorders>
              <w:left w:val="single" w:sz="8" w:color="231F20"/>
            </w:tcBorders>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80" w:type="dxa"/>
            <w:vAlign w:val="bottom"/>
            <w:tcBorders>
              <w:right w:val="single" w:sz="8" w:color="231F20"/>
            </w:tcBorders>
            <w:gridSpan w:val="9"/>
          </w:tcPr>
          <w:p>
            <w:pPr>
              <w:ind w:left="80"/>
              <w:spacing w:after="0" w:line="210" w:lineRule="exact"/>
              <w:rPr>
                <w:sz w:val="20"/>
                <w:szCs w:val="20"/>
                <w:color w:val="auto"/>
              </w:rPr>
            </w:pPr>
            <w:r>
              <w:rPr>
                <w:rFonts w:ascii="Arial" w:cs="Arial" w:eastAsia="Arial" w:hAnsi="Arial"/>
                <w:sz w:val="19"/>
                <w:szCs w:val="19"/>
                <w:color w:val="auto"/>
              </w:rPr>
              <w:t>a role from which he retired in 2016. Prior to his tenure as CEO, he held increasing</w:t>
            </w:r>
          </w:p>
        </w:tc>
        <w:tc>
          <w:tcPr>
            <w:tcW w:w="0" w:type="dxa"/>
            <w:vAlign w:val="bottom"/>
          </w:tcPr>
          <w:p>
            <w:pPr>
              <w:spacing w:after="0"/>
              <w:rPr>
                <w:sz w:val="1"/>
                <w:szCs w:val="1"/>
                <w:color w:val="auto"/>
              </w:rPr>
            </w:pPr>
          </w:p>
        </w:tc>
      </w:tr>
      <w:tr>
        <w:trPr>
          <w:trHeight w:val="210"/>
        </w:trPr>
        <w:tc>
          <w:tcPr>
            <w:tcW w:w="1700" w:type="dxa"/>
            <w:vAlign w:val="bottom"/>
            <w:tcBorders>
              <w:left w:val="single" w:sz="8" w:color="231F20"/>
            </w:tcBorders>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80" w:type="dxa"/>
            <w:vAlign w:val="bottom"/>
            <w:tcBorders>
              <w:right w:val="single" w:sz="8" w:color="231F20"/>
            </w:tcBorders>
            <w:gridSpan w:val="9"/>
          </w:tcPr>
          <w:p>
            <w:pPr>
              <w:ind w:left="80"/>
              <w:spacing w:after="0" w:line="210" w:lineRule="exact"/>
              <w:rPr>
                <w:sz w:val="20"/>
                <w:szCs w:val="20"/>
                <w:color w:val="auto"/>
              </w:rPr>
            </w:pPr>
            <w:r>
              <w:rPr>
                <w:rFonts w:ascii="Arial" w:cs="Arial" w:eastAsia="Arial" w:hAnsi="Arial"/>
                <w:sz w:val="19"/>
                <w:szCs w:val="19"/>
                <w:color w:val="auto"/>
              </w:rPr>
              <w:t>levels of responsibility within Dofasco up until its sale to ArcelorMittal, starting as an</w:t>
            </w:r>
          </w:p>
        </w:tc>
        <w:tc>
          <w:tcPr>
            <w:tcW w:w="0" w:type="dxa"/>
            <w:vAlign w:val="bottom"/>
          </w:tcPr>
          <w:p>
            <w:pPr>
              <w:spacing w:after="0"/>
              <w:rPr>
                <w:sz w:val="1"/>
                <w:szCs w:val="1"/>
                <w:color w:val="auto"/>
              </w:rPr>
            </w:pPr>
          </w:p>
        </w:tc>
      </w:tr>
      <w:tr>
        <w:trPr>
          <w:trHeight w:val="210"/>
        </w:trPr>
        <w:tc>
          <w:tcPr>
            <w:tcW w:w="1700" w:type="dxa"/>
            <w:vAlign w:val="bottom"/>
            <w:tcBorders>
              <w:left w:val="single" w:sz="8" w:color="231F20"/>
            </w:tcBorders>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80" w:type="dxa"/>
            <w:vAlign w:val="bottom"/>
            <w:tcBorders>
              <w:right w:val="single" w:sz="8" w:color="231F20"/>
            </w:tcBorders>
            <w:gridSpan w:val="9"/>
          </w:tcPr>
          <w:p>
            <w:pPr>
              <w:ind w:left="80"/>
              <w:spacing w:after="0" w:line="210" w:lineRule="exact"/>
              <w:rPr>
                <w:sz w:val="20"/>
                <w:szCs w:val="20"/>
                <w:color w:val="auto"/>
              </w:rPr>
            </w:pPr>
            <w:r>
              <w:rPr>
                <w:rFonts w:ascii="Arial" w:cs="Arial" w:eastAsia="Arial" w:hAnsi="Arial"/>
                <w:sz w:val="19"/>
                <w:szCs w:val="19"/>
                <w:color w:val="auto"/>
              </w:rPr>
              <w:t>entry-level metallurgical engineer and working his way up to Works Manager and then</w:t>
            </w:r>
          </w:p>
        </w:tc>
        <w:tc>
          <w:tcPr>
            <w:tcW w:w="0" w:type="dxa"/>
            <w:vAlign w:val="bottom"/>
          </w:tcPr>
          <w:p>
            <w:pPr>
              <w:spacing w:after="0"/>
              <w:rPr>
                <w:sz w:val="1"/>
                <w:szCs w:val="1"/>
                <w:color w:val="auto"/>
              </w:rPr>
            </w:pPr>
          </w:p>
        </w:tc>
      </w:tr>
      <w:tr>
        <w:trPr>
          <w:trHeight w:val="210"/>
        </w:trPr>
        <w:tc>
          <w:tcPr>
            <w:tcW w:w="1700" w:type="dxa"/>
            <w:vAlign w:val="bottom"/>
            <w:tcBorders>
              <w:left w:val="single" w:sz="8" w:color="231F20"/>
            </w:tcBorders>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80" w:type="dxa"/>
            <w:vAlign w:val="bottom"/>
            <w:tcBorders>
              <w:right w:val="single" w:sz="8" w:color="231F20"/>
            </w:tcBorders>
            <w:gridSpan w:val="9"/>
          </w:tcPr>
          <w:p>
            <w:pPr>
              <w:ind w:left="80"/>
              <w:spacing w:after="0" w:line="210" w:lineRule="exact"/>
              <w:rPr>
                <w:sz w:val="20"/>
                <w:szCs w:val="20"/>
                <w:color w:val="auto"/>
              </w:rPr>
            </w:pPr>
            <w:r>
              <w:rPr>
                <w:rFonts w:ascii="Arial" w:cs="Arial" w:eastAsia="Arial" w:hAnsi="Arial"/>
                <w:sz w:val="19"/>
                <w:szCs w:val="19"/>
                <w:color w:val="auto"/>
              </w:rPr>
              <w:t>Vice President, Manufacturing. Following the transition to ArcelorMittal USA, he was</w:t>
            </w:r>
          </w:p>
        </w:tc>
        <w:tc>
          <w:tcPr>
            <w:tcW w:w="0" w:type="dxa"/>
            <w:vAlign w:val="bottom"/>
          </w:tcPr>
          <w:p>
            <w:pPr>
              <w:spacing w:after="0"/>
              <w:rPr>
                <w:sz w:val="1"/>
                <w:szCs w:val="1"/>
                <w:color w:val="auto"/>
              </w:rPr>
            </w:pPr>
          </w:p>
        </w:tc>
      </w:tr>
      <w:tr>
        <w:trPr>
          <w:trHeight w:val="210"/>
        </w:trPr>
        <w:tc>
          <w:tcPr>
            <w:tcW w:w="1700" w:type="dxa"/>
            <w:vAlign w:val="bottom"/>
            <w:tcBorders>
              <w:left w:val="single" w:sz="8" w:color="231F20"/>
            </w:tcBorders>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80" w:type="dxa"/>
            <w:vAlign w:val="bottom"/>
            <w:tcBorders>
              <w:right w:val="single" w:sz="8" w:color="231F20"/>
            </w:tcBorders>
            <w:gridSpan w:val="9"/>
          </w:tcPr>
          <w:p>
            <w:pPr>
              <w:ind w:left="80"/>
              <w:spacing w:after="0" w:line="210" w:lineRule="exact"/>
              <w:rPr>
                <w:sz w:val="20"/>
                <w:szCs w:val="20"/>
                <w:color w:val="auto"/>
              </w:rPr>
            </w:pPr>
            <w:r>
              <w:rPr>
                <w:rFonts w:ascii="Arial" w:cs="Arial" w:eastAsia="Arial" w:hAnsi="Arial"/>
                <w:sz w:val="19"/>
                <w:szCs w:val="19"/>
                <w:color w:val="auto"/>
              </w:rPr>
              <w:t>named Vice President of Operations where he managed all operations including</w:t>
            </w:r>
          </w:p>
        </w:tc>
        <w:tc>
          <w:tcPr>
            <w:tcW w:w="0" w:type="dxa"/>
            <w:vAlign w:val="bottom"/>
          </w:tcPr>
          <w:p>
            <w:pPr>
              <w:spacing w:after="0"/>
              <w:rPr>
                <w:sz w:val="1"/>
                <w:szCs w:val="1"/>
                <w:color w:val="auto"/>
              </w:rPr>
            </w:pPr>
          </w:p>
        </w:tc>
      </w:tr>
      <w:tr>
        <w:trPr>
          <w:trHeight w:val="210"/>
        </w:trPr>
        <w:tc>
          <w:tcPr>
            <w:tcW w:w="1700" w:type="dxa"/>
            <w:vAlign w:val="bottom"/>
            <w:tcBorders>
              <w:left w:val="single" w:sz="8" w:color="231F20"/>
            </w:tcBorders>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680" w:type="dxa"/>
            <w:vAlign w:val="bottom"/>
            <w:tcBorders>
              <w:right w:val="single" w:sz="8" w:color="231F20"/>
            </w:tcBorders>
            <w:gridSpan w:val="9"/>
          </w:tcPr>
          <w:p>
            <w:pPr>
              <w:ind w:left="80"/>
              <w:spacing w:after="0" w:line="210" w:lineRule="exact"/>
              <w:rPr>
                <w:sz w:val="20"/>
                <w:szCs w:val="20"/>
                <w:color w:val="auto"/>
              </w:rPr>
            </w:pPr>
            <w:r>
              <w:rPr>
                <w:rFonts w:ascii="Arial" w:cs="Arial" w:eastAsia="Arial" w:hAnsi="Arial"/>
                <w:sz w:val="19"/>
                <w:szCs w:val="19"/>
                <w:color w:val="auto"/>
              </w:rPr>
              <w:t>technology, safety and quality for all flat rolled and plate operations. Mr. Harshaw</w:t>
            </w:r>
          </w:p>
        </w:tc>
        <w:tc>
          <w:tcPr>
            <w:tcW w:w="0" w:type="dxa"/>
            <w:vAlign w:val="bottom"/>
          </w:tcPr>
          <w:p>
            <w:pPr>
              <w:spacing w:after="0"/>
              <w:rPr>
                <w:sz w:val="1"/>
                <w:szCs w:val="1"/>
                <w:color w:val="auto"/>
              </w:rPr>
            </w:pPr>
          </w:p>
        </w:tc>
      </w:tr>
      <w:tr>
        <w:trPr>
          <w:trHeight w:val="254"/>
        </w:trPr>
        <w:tc>
          <w:tcPr>
            <w:tcW w:w="1700" w:type="dxa"/>
            <w:vAlign w:val="bottom"/>
            <w:tcBorders>
              <w:left w:val="single" w:sz="8" w:color="231F20"/>
            </w:tcBorders>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c>
          <w:tcPr>
            <w:tcW w:w="7680" w:type="dxa"/>
            <w:vAlign w:val="bottom"/>
            <w:tcBorders>
              <w:right w:val="single" w:sz="8" w:color="231F20"/>
            </w:tcBorders>
            <w:gridSpan w:val="9"/>
          </w:tcPr>
          <w:p>
            <w:pPr>
              <w:ind w:left="80"/>
              <w:spacing w:after="0"/>
              <w:rPr>
                <w:sz w:val="20"/>
                <w:szCs w:val="20"/>
                <w:color w:val="auto"/>
              </w:rPr>
            </w:pPr>
            <w:r>
              <w:rPr>
                <w:rFonts w:ascii="Arial" w:cs="Arial" w:eastAsia="Arial" w:hAnsi="Arial"/>
                <w:sz w:val="19"/>
                <w:szCs w:val="19"/>
                <w:color w:val="auto"/>
              </w:rPr>
              <w:t>graduated from McMaster University with a degree in Metallurgical Engineering.</w:t>
            </w:r>
          </w:p>
        </w:tc>
        <w:tc>
          <w:tcPr>
            <w:tcW w:w="0" w:type="dxa"/>
            <w:vAlign w:val="bottom"/>
          </w:tcPr>
          <w:p>
            <w:pPr>
              <w:spacing w:after="0"/>
              <w:rPr>
                <w:sz w:val="1"/>
                <w:szCs w:val="1"/>
                <w:color w:val="auto"/>
              </w:rPr>
            </w:pPr>
          </w:p>
        </w:tc>
      </w:tr>
      <w:tr>
        <w:trPr>
          <w:trHeight w:val="1510"/>
        </w:trPr>
        <w:tc>
          <w:tcPr>
            <w:tcW w:w="1700" w:type="dxa"/>
            <w:vAlign w:val="bottom"/>
            <w:tcBorders>
              <w:left w:val="single" w:sz="8" w:color="231F20"/>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9"/>
                <w:szCs w:val="19"/>
                <w:color w:val="auto"/>
              </w:rPr>
              <w:t xml:space="preserve">  </w:t>
            </w: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300" w:type="dxa"/>
            <w:vAlign w:val="bottom"/>
            <w:tcBorders>
              <w:left w:val="single" w:sz="8" w:color="231F20"/>
            </w:tcBorders>
            <w:gridSpan w:val="2"/>
          </w:tcPr>
          <w:p>
            <w:pPr>
              <w:ind w:left="160"/>
              <w:spacing w:after="0"/>
              <w:rPr>
                <w:sz w:val="20"/>
                <w:szCs w:val="20"/>
                <w:color w:val="auto"/>
              </w:rPr>
            </w:pPr>
            <w:r>
              <w:rPr>
                <w:rFonts w:ascii="Arial" w:cs="Arial" w:eastAsia="Arial" w:hAnsi="Arial"/>
                <w:sz w:val="17"/>
                <w:szCs w:val="17"/>
                <w:color w:val="auto"/>
              </w:rPr>
              <w:t>Age: 71</w:t>
            </w:r>
          </w:p>
        </w:tc>
        <w:tc>
          <w:tcPr>
            <w:tcW w:w="720" w:type="dxa"/>
            <w:vAlign w:val="bottom"/>
            <w:tcBorders>
              <w:right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231F20"/>
              <w:right w:val="single" w:sz="8" w:color="auto"/>
            </w:tcBorders>
            <w:gridSpan w:val="3"/>
          </w:tcPr>
          <w:p>
            <w:pPr>
              <w:ind w:left="160"/>
              <w:spacing w:after="0"/>
              <w:rPr>
                <w:sz w:val="20"/>
                <w:szCs w:val="20"/>
                <w:color w:val="auto"/>
              </w:rPr>
            </w:pPr>
            <w:r>
              <w:rPr>
                <w:rFonts w:ascii="Arial" w:cs="Arial" w:eastAsia="Arial" w:hAnsi="Arial"/>
                <w:sz w:val="19"/>
                <w:szCs w:val="19"/>
                <w:color w:val="auto"/>
              </w:rPr>
              <w:t>Location: Grimsby, Ontario,</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300" w:type="dxa"/>
            <w:vAlign w:val="bottom"/>
            <w:tcBorders>
              <w:left w:val="single" w:sz="8" w:color="231F20"/>
            </w:tcBorders>
            <w:gridSpan w:val="2"/>
          </w:tcPr>
          <w:p>
            <w:pPr>
              <w:ind w:left="160"/>
              <w:spacing w:after="0"/>
              <w:rPr>
                <w:sz w:val="20"/>
                <w:szCs w:val="20"/>
                <w:color w:val="auto"/>
              </w:rPr>
            </w:pPr>
            <w:r>
              <w:rPr>
                <w:rFonts w:ascii="Arial" w:cs="Arial" w:eastAsia="Arial" w:hAnsi="Arial"/>
                <w:sz w:val="19"/>
                <w:szCs w:val="19"/>
                <w:color w:val="auto"/>
              </w:rPr>
              <w:t>Canada</w:t>
            </w:r>
          </w:p>
        </w:tc>
        <w:tc>
          <w:tcPr>
            <w:tcW w:w="720" w:type="dxa"/>
            <w:vAlign w:val="bottom"/>
            <w:tcBorders>
              <w:right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20" w:type="dxa"/>
            <w:vAlign w:val="bottom"/>
            <w:tcBorders>
              <w:left w:val="single" w:sz="8" w:color="231F20"/>
              <w:right w:val="single" w:sz="8" w:color="auto"/>
            </w:tcBorders>
            <w:gridSpan w:val="3"/>
          </w:tcPr>
          <w:p>
            <w:pPr>
              <w:ind w:left="160"/>
              <w:spacing w:after="0"/>
              <w:rPr>
                <w:sz w:val="20"/>
                <w:szCs w:val="20"/>
                <w:color w:val="auto"/>
              </w:rPr>
            </w:pPr>
            <w:r>
              <w:rPr>
                <w:rFonts w:ascii="Arial" w:cs="Arial" w:eastAsia="Arial" w:hAnsi="Arial"/>
                <w:sz w:val="17"/>
                <w:szCs w:val="17"/>
                <w:color w:val="auto"/>
              </w:rPr>
              <w:t>Director Since: August 2021</w:t>
            </w:r>
          </w:p>
        </w:tc>
        <w:tc>
          <w:tcPr>
            <w:tcW w:w="5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1700" w:type="dxa"/>
            <w:vAlign w:val="bottom"/>
            <w:tcBorders>
              <w:left w:val="single" w:sz="8" w:color="231F20"/>
              <w:bottom w:val="single" w:sz="8" w:color="231F20"/>
            </w:tcBorders>
          </w:tcPr>
          <w:p>
            <w:pPr>
              <w:spacing w:after="0"/>
              <w:rPr>
                <w:sz w:val="5"/>
                <w:szCs w:val="5"/>
                <w:color w:val="auto"/>
              </w:rPr>
            </w:pPr>
          </w:p>
        </w:tc>
        <w:tc>
          <w:tcPr>
            <w:tcW w:w="600" w:type="dxa"/>
            <w:vAlign w:val="bottom"/>
            <w:tcBorders>
              <w:bottom w:val="single" w:sz="8" w:color="231F20"/>
            </w:tcBorders>
          </w:tcPr>
          <w:p>
            <w:pPr>
              <w:spacing w:after="0"/>
              <w:rPr>
                <w:sz w:val="5"/>
                <w:szCs w:val="5"/>
                <w:color w:val="auto"/>
              </w:rPr>
            </w:pPr>
          </w:p>
        </w:tc>
        <w:tc>
          <w:tcPr>
            <w:tcW w:w="720" w:type="dxa"/>
            <w:vAlign w:val="bottom"/>
            <w:tcBorders>
              <w:bottom w:val="single" w:sz="8" w:color="231F20"/>
              <w:right w:val="single" w:sz="8" w:color="auto"/>
            </w:tcBorders>
          </w:tcPr>
          <w:p>
            <w:pPr>
              <w:spacing w:after="0"/>
              <w:rPr>
                <w:sz w:val="5"/>
                <w:szCs w:val="5"/>
                <w:color w:val="auto"/>
              </w:rPr>
            </w:pPr>
          </w:p>
        </w:tc>
        <w:tc>
          <w:tcPr>
            <w:tcW w:w="520" w:type="dxa"/>
            <w:vAlign w:val="bottom"/>
            <w:tcBorders>
              <w:bottom w:val="single" w:sz="8" w:color="231F20"/>
            </w:tcBorders>
          </w:tcPr>
          <w:p>
            <w:pPr>
              <w:spacing w:after="0"/>
              <w:rPr>
                <w:sz w:val="5"/>
                <w:szCs w:val="5"/>
                <w:color w:val="auto"/>
              </w:rPr>
            </w:pPr>
          </w:p>
        </w:tc>
        <w:tc>
          <w:tcPr>
            <w:tcW w:w="600" w:type="dxa"/>
            <w:vAlign w:val="bottom"/>
            <w:tcBorders>
              <w:bottom w:val="single" w:sz="8" w:color="231F20"/>
            </w:tcBorders>
          </w:tcPr>
          <w:p>
            <w:pPr>
              <w:spacing w:after="0"/>
              <w:rPr>
                <w:sz w:val="5"/>
                <w:szCs w:val="5"/>
                <w:color w:val="auto"/>
              </w:rPr>
            </w:pPr>
          </w:p>
        </w:tc>
        <w:tc>
          <w:tcPr>
            <w:tcW w:w="800" w:type="dxa"/>
            <w:vAlign w:val="bottom"/>
            <w:tcBorders>
              <w:bottom w:val="single" w:sz="8" w:color="231F20"/>
            </w:tcBorders>
          </w:tcPr>
          <w:p>
            <w:pPr>
              <w:spacing w:after="0"/>
              <w:rPr>
                <w:sz w:val="5"/>
                <w:szCs w:val="5"/>
                <w:color w:val="auto"/>
              </w:rPr>
            </w:pPr>
          </w:p>
        </w:tc>
        <w:tc>
          <w:tcPr>
            <w:tcW w:w="420" w:type="dxa"/>
            <w:vAlign w:val="bottom"/>
            <w:tcBorders>
              <w:bottom w:val="single" w:sz="8" w:color="231F20"/>
            </w:tcBorders>
          </w:tcPr>
          <w:p>
            <w:pPr>
              <w:spacing w:after="0"/>
              <w:rPr>
                <w:sz w:val="5"/>
                <w:szCs w:val="5"/>
                <w:color w:val="auto"/>
              </w:rPr>
            </w:pPr>
          </w:p>
        </w:tc>
        <w:tc>
          <w:tcPr>
            <w:tcW w:w="1820" w:type="dxa"/>
            <w:vAlign w:val="bottom"/>
            <w:tcBorders>
              <w:bottom w:val="single" w:sz="8" w:color="231F20"/>
            </w:tcBorders>
          </w:tcPr>
          <w:p>
            <w:pPr>
              <w:spacing w:after="0"/>
              <w:rPr>
                <w:sz w:val="5"/>
                <w:szCs w:val="5"/>
                <w:color w:val="auto"/>
              </w:rPr>
            </w:pPr>
          </w:p>
        </w:tc>
        <w:tc>
          <w:tcPr>
            <w:tcW w:w="120" w:type="dxa"/>
            <w:vAlign w:val="bottom"/>
            <w:tcBorders>
              <w:bottom w:val="single" w:sz="8" w:color="231F20"/>
            </w:tcBorders>
          </w:tcPr>
          <w:p>
            <w:pPr>
              <w:spacing w:after="0"/>
              <w:rPr>
                <w:sz w:val="5"/>
                <w:szCs w:val="5"/>
                <w:color w:val="auto"/>
              </w:rPr>
            </w:pPr>
          </w:p>
        </w:tc>
        <w:tc>
          <w:tcPr>
            <w:tcW w:w="1700" w:type="dxa"/>
            <w:vAlign w:val="bottom"/>
            <w:tcBorders>
              <w:bottom w:val="single" w:sz="8" w:color="231F20"/>
            </w:tcBorders>
          </w:tcPr>
          <w:p>
            <w:pPr>
              <w:spacing w:after="0"/>
              <w:rPr>
                <w:sz w:val="5"/>
                <w:szCs w:val="5"/>
                <w:color w:val="auto"/>
              </w:rPr>
            </w:pPr>
          </w:p>
        </w:tc>
        <w:tc>
          <w:tcPr>
            <w:tcW w:w="360" w:type="dxa"/>
            <w:vAlign w:val="bottom"/>
            <w:tcBorders>
              <w:bottom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2300" w:type="dxa"/>
            <w:vAlign w:val="bottom"/>
            <w:tcBorders>
              <w:left w:val="single" w:sz="8" w:color="231F20"/>
              <w:bottom w:val="single" w:sz="8" w:color="231F20"/>
            </w:tcBorders>
            <w:gridSpan w:val="2"/>
          </w:tcPr>
          <w:p>
            <w:pPr>
              <w:ind w:left="160"/>
              <w:spacing w:after="0"/>
              <w:rPr>
                <w:sz w:val="20"/>
                <w:szCs w:val="20"/>
                <w:color w:val="auto"/>
              </w:rPr>
            </w:pPr>
            <w:r>
              <w:rPr>
                <w:rFonts w:ascii="Arial" w:cs="Arial" w:eastAsia="Arial" w:hAnsi="Arial"/>
                <w:sz w:val="19"/>
                <w:szCs w:val="19"/>
                <w:color w:val="auto"/>
              </w:rPr>
              <w:t xml:space="preserve">Status: </w:t>
            </w:r>
            <w:r>
              <w:rPr>
                <w:rFonts w:ascii="Arial" w:cs="Arial" w:eastAsia="Arial" w:hAnsi="Arial"/>
                <w:sz w:val="19"/>
                <w:szCs w:val="19"/>
                <w:b w:val="1"/>
                <w:bCs w:val="1"/>
                <w:color w:val="auto"/>
              </w:rPr>
              <w:t>INDEPENDENT</w:t>
            </w:r>
          </w:p>
        </w:tc>
        <w:tc>
          <w:tcPr>
            <w:tcW w:w="720" w:type="dxa"/>
            <w:vAlign w:val="bottom"/>
            <w:tcBorders>
              <w:bottom w:val="single" w:sz="8" w:color="231F20"/>
              <w:right w:val="single" w:sz="8" w:color="231F20"/>
            </w:tcBorders>
          </w:tcPr>
          <w:p>
            <w:pPr>
              <w:spacing w:after="0"/>
              <w:rPr>
                <w:sz w:val="24"/>
                <w:szCs w:val="24"/>
                <w:color w:val="auto"/>
              </w:rPr>
            </w:pPr>
          </w:p>
        </w:tc>
        <w:tc>
          <w:tcPr>
            <w:tcW w:w="520" w:type="dxa"/>
            <w:vAlign w:val="bottom"/>
            <w:tcBorders>
              <w:bottom w:val="single" w:sz="8" w:color="231F20"/>
              <w:right w:val="single" w:sz="8" w:color="003445"/>
            </w:tcBorders>
            <w:shd w:val="clear" w:color="auto" w:fill="003445"/>
          </w:tcPr>
          <w:p>
            <w:pPr>
              <w:spacing w:after="0"/>
              <w:rPr>
                <w:sz w:val="24"/>
                <w:szCs w:val="24"/>
                <w:color w:val="auto"/>
              </w:rPr>
            </w:pPr>
          </w:p>
        </w:tc>
        <w:tc>
          <w:tcPr>
            <w:tcW w:w="600" w:type="dxa"/>
            <w:vAlign w:val="bottom"/>
            <w:tcBorders>
              <w:bottom w:val="single" w:sz="8" w:color="231F20"/>
            </w:tcBorders>
            <w:shd w:val="clear" w:color="auto" w:fill="003445"/>
          </w:tcPr>
          <w:p>
            <w:pPr>
              <w:spacing w:after="0"/>
              <w:rPr>
                <w:sz w:val="24"/>
                <w:szCs w:val="24"/>
                <w:color w:val="auto"/>
              </w:rPr>
            </w:pPr>
          </w:p>
        </w:tc>
        <w:tc>
          <w:tcPr>
            <w:tcW w:w="800" w:type="dxa"/>
            <w:vAlign w:val="bottom"/>
            <w:tcBorders>
              <w:bottom w:val="single" w:sz="8" w:color="231F20"/>
              <w:right w:val="single" w:sz="8" w:color="003445"/>
            </w:tcBorders>
            <w:shd w:val="clear" w:color="auto" w:fill="003445"/>
          </w:tcPr>
          <w:p>
            <w:pPr>
              <w:spacing w:after="0"/>
              <w:rPr>
                <w:sz w:val="24"/>
                <w:szCs w:val="24"/>
                <w:color w:val="auto"/>
              </w:rPr>
            </w:pPr>
          </w:p>
        </w:tc>
        <w:tc>
          <w:tcPr>
            <w:tcW w:w="420" w:type="dxa"/>
            <w:vAlign w:val="bottom"/>
            <w:tcBorders>
              <w:bottom w:val="single" w:sz="8" w:color="231F20"/>
              <w:right w:val="single" w:sz="8" w:color="003445"/>
            </w:tcBorders>
            <w:shd w:val="clear" w:color="auto" w:fill="003445"/>
          </w:tcPr>
          <w:p>
            <w:pPr>
              <w:spacing w:after="0"/>
              <w:rPr>
                <w:sz w:val="24"/>
                <w:szCs w:val="24"/>
                <w:color w:val="auto"/>
              </w:rPr>
            </w:pPr>
          </w:p>
        </w:tc>
        <w:tc>
          <w:tcPr>
            <w:tcW w:w="4000" w:type="dxa"/>
            <w:vAlign w:val="bottom"/>
            <w:tcBorders>
              <w:bottom w:val="single" w:sz="8" w:color="231F20"/>
            </w:tcBorders>
            <w:gridSpan w:val="4"/>
            <w:shd w:val="clear" w:color="auto" w:fill="003445"/>
          </w:tcPr>
          <w:p>
            <w:pPr>
              <w:jc w:val="center"/>
              <w:ind w:right="960"/>
              <w:spacing w:after="0"/>
              <w:rPr>
                <w:sz w:val="20"/>
                <w:szCs w:val="20"/>
                <w:color w:val="auto"/>
              </w:rPr>
            </w:pPr>
            <w:r>
              <w:rPr>
                <w:rFonts w:ascii="Arial" w:cs="Arial" w:eastAsia="Arial" w:hAnsi="Arial"/>
                <w:sz w:val="17"/>
                <w:szCs w:val="17"/>
                <w:b w:val="1"/>
                <w:bCs w:val="1"/>
                <w:color w:val="FFFFFF"/>
              </w:rPr>
              <w:t>Other Public Board Memberships</w:t>
            </w:r>
          </w:p>
        </w:tc>
        <w:tc>
          <w:tcPr>
            <w:tcW w:w="1340" w:type="dxa"/>
            <w:vAlign w:val="bottom"/>
            <w:tcBorders>
              <w:bottom w:val="single" w:sz="8" w:color="231F20"/>
              <w:right w:val="single" w:sz="8" w:color="231F20"/>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700" w:type="dxa"/>
            <w:vAlign w:val="bottom"/>
            <w:tcBorders>
              <w:left w:val="single" w:sz="8" w:color="231F20"/>
              <w:bottom w:val="single" w:sz="8" w:color="231F20"/>
            </w:tcBorders>
          </w:tcPr>
          <w:p>
            <w:pPr>
              <w:spacing w:after="0"/>
              <w:rPr>
                <w:sz w:val="23"/>
                <w:szCs w:val="23"/>
                <w:color w:val="auto"/>
              </w:rPr>
            </w:pPr>
          </w:p>
        </w:tc>
        <w:tc>
          <w:tcPr>
            <w:tcW w:w="600" w:type="dxa"/>
            <w:vAlign w:val="bottom"/>
            <w:tcBorders>
              <w:bottom w:val="single" w:sz="8" w:color="231F20"/>
            </w:tcBorders>
          </w:tcPr>
          <w:p>
            <w:pPr>
              <w:spacing w:after="0"/>
              <w:rPr>
                <w:sz w:val="23"/>
                <w:szCs w:val="23"/>
                <w:color w:val="auto"/>
              </w:rPr>
            </w:pPr>
          </w:p>
        </w:tc>
        <w:tc>
          <w:tcPr>
            <w:tcW w:w="720" w:type="dxa"/>
            <w:vAlign w:val="bottom"/>
            <w:tcBorders>
              <w:bottom w:val="single" w:sz="8" w:color="231F20"/>
              <w:right w:val="single" w:sz="8" w:color="231F20"/>
            </w:tcBorders>
          </w:tcPr>
          <w:p>
            <w:pPr>
              <w:spacing w:after="0"/>
              <w:rPr>
                <w:sz w:val="23"/>
                <w:szCs w:val="23"/>
                <w:color w:val="auto"/>
              </w:rPr>
            </w:pPr>
          </w:p>
        </w:tc>
        <w:tc>
          <w:tcPr>
            <w:tcW w:w="1120" w:type="dxa"/>
            <w:vAlign w:val="bottom"/>
            <w:tcBorders>
              <w:bottom w:val="single" w:sz="8" w:color="231F20"/>
            </w:tcBorders>
            <w:gridSpan w:val="2"/>
          </w:tcPr>
          <w:p>
            <w:pPr>
              <w:ind w:left="80"/>
              <w:spacing w:after="0"/>
              <w:rPr>
                <w:sz w:val="20"/>
                <w:szCs w:val="20"/>
                <w:color w:val="auto"/>
              </w:rPr>
            </w:pPr>
            <w:r>
              <w:rPr>
                <w:rFonts w:ascii="Arial" w:cs="Arial" w:eastAsia="Arial" w:hAnsi="Arial"/>
                <w:sz w:val="19"/>
                <w:szCs w:val="19"/>
                <w:color w:val="auto"/>
              </w:rPr>
              <w:t>N/A</w:t>
            </w:r>
          </w:p>
        </w:tc>
        <w:tc>
          <w:tcPr>
            <w:tcW w:w="800" w:type="dxa"/>
            <w:vAlign w:val="bottom"/>
            <w:tcBorders>
              <w:bottom w:val="single" w:sz="8" w:color="231F20"/>
            </w:tcBorders>
          </w:tcPr>
          <w:p>
            <w:pPr>
              <w:spacing w:after="0"/>
              <w:rPr>
                <w:sz w:val="23"/>
                <w:szCs w:val="23"/>
                <w:color w:val="auto"/>
              </w:rPr>
            </w:pPr>
          </w:p>
        </w:tc>
        <w:tc>
          <w:tcPr>
            <w:tcW w:w="420" w:type="dxa"/>
            <w:vAlign w:val="bottom"/>
            <w:tcBorders>
              <w:bottom w:val="single" w:sz="8" w:color="231F20"/>
            </w:tcBorders>
          </w:tcPr>
          <w:p>
            <w:pPr>
              <w:spacing w:after="0"/>
              <w:rPr>
                <w:sz w:val="23"/>
                <w:szCs w:val="23"/>
                <w:color w:val="auto"/>
              </w:rPr>
            </w:pPr>
          </w:p>
        </w:tc>
        <w:tc>
          <w:tcPr>
            <w:tcW w:w="182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1700" w:type="dxa"/>
            <w:vAlign w:val="bottom"/>
            <w:tcBorders>
              <w:bottom w:val="single" w:sz="8" w:color="231F20"/>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340" w:type="dxa"/>
            <w:vAlign w:val="bottom"/>
            <w:tcBorders>
              <w:bottom w:val="single" w:sz="8" w:color="231F20"/>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700" w:type="dxa"/>
            <w:vAlign w:val="bottom"/>
            <w:tcBorders>
              <w:left w:val="single" w:sz="8" w:color="231F20"/>
              <w:right w:val="single" w:sz="8" w:color="003445"/>
            </w:tcBorders>
            <w:shd w:val="clear" w:color="auto" w:fill="003445"/>
          </w:tcPr>
          <w:p>
            <w:pPr>
              <w:spacing w:after="0"/>
              <w:rPr>
                <w:sz w:val="19"/>
                <w:szCs w:val="19"/>
                <w:color w:val="auto"/>
              </w:rPr>
            </w:pPr>
          </w:p>
        </w:tc>
        <w:tc>
          <w:tcPr>
            <w:tcW w:w="600" w:type="dxa"/>
            <w:vAlign w:val="bottom"/>
            <w:shd w:val="clear" w:color="auto" w:fill="003445"/>
          </w:tcPr>
          <w:p>
            <w:pPr>
              <w:spacing w:after="0"/>
              <w:rPr>
                <w:sz w:val="19"/>
                <w:szCs w:val="19"/>
                <w:color w:val="auto"/>
              </w:rPr>
            </w:pPr>
          </w:p>
        </w:tc>
        <w:tc>
          <w:tcPr>
            <w:tcW w:w="720" w:type="dxa"/>
            <w:vAlign w:val="bottom"/>
            <w:tcBorders>
              <w:right w:val="single" w:sz="8" w:color="003445"/>
            </w:tcBorders>
            <w:shd w:val="clear" w:color="auto" w:fill="003445"/>
          </w:tcPr>
          <w:p>
            <w:pPr>
              <w:spacing w:after="0"/>
              <w:rPr>
                <w:sz w:val="19"/>
                <w:szCs w:val="19"/>
                <w:color w:val="auto"/>
              </w:rPr>
            </w:pPr>
          </w:p>
        </w:tc>
        <w:tc>
          <w:tcPr>
            <w:tcW w:w="520" w:type="dxa"/>
            <w:vAlign w:val="bottom"/>
            <w:tcBorders>
              <w:right w:val="single" w:sz="8" w:color="003445"/>
            </w:tcBorders>
            <w:shd w:val="clear" w:color="auto" w:fill="003445"/>
          </w:tcPr>
          <w:p>
            <w:pPr>
              <w:spacing w:after="0"/>
              <w:rPr>
                <w:sz w:val="19"/>
                <w:szCs w:val="19"/>
                <w:color w:val="auto"/>
              </w:rPr>
            </w:pPr>
          </w:p>
        </w:tc>
        <w:tc>
          <w:tcPr>
            <w:tcW w:w="600" w:type="dxa"/>
            <w:vAlign w:val="bottom"/>
            <w:shd w:val="clear" w:color="auto" w:fill="003445"/>
          </w:tcPr>
          <w:p>
            <w:pPr>
              <w:spacing w:after="0"/>
              <w:rPr>
                <w:sz w:val="19"/>
                <w:szCs w:val="19"/>
                <w:color w:val="auto"/>
              </w:rPr>
            </w:pPr>
          </w:p>
        </w:tc>
        <w:tc>
          <w:tcPr>
            <w:tcW w:w="800" w:type="dxa"/>
            <w:vAlign w:val="bottom"/>
            <w:tcBorders>
              <w:right w:val="single" w:sz="8" w:color="231F20"/>
            </w:tcBorders>
            <w:shd w:val="clear" w:color="auto" w:fill="003445"/>
          </w:tcPr>
          <w:p>
            <w:pPr>
              <w:spacing w:after="0"/>
              <w:rPr>
                <w:sz w:val="19"/>
                <w:szCs w:val="19"/>
                <w:color w:val="auto"/>
              </w:rPr>
            </w:pPr>
          </w:p>
        </w:tc>
        <w:tc>
          <w:tcPr>
            <w:tcW w:w="420" w:type="dxa"/>
            <w:vAlign w:val="bottom"/>
            <w:tcBorders>
              <w:right w:val="single" w:sz="8" w:color="003445"/>
            </w:tcBorders>
            <w:vMerge w:val="restart"/>
            <w:shd w:val="clear" w:color="auto" w:fill="003445"/>
          </w:tcPr>
          <w:p>
            <w:pPr>
              <w:ind w:left="240"/>
              <w:spacing w:after="0"/>
              <w:rPr>
                <w:sz w:val="20"/>
                <w:szCs w:val="20"/>
                <w:color w:val="auto"/>
              </w:rPr>
            </w:pPr>
            <w:r>
              <w:rPr>
                <w:rFonts w:ascii="Arial" w:cs="Arial" w:eastAsia="Arial" w:hAnsi="Arial"/>
                <w:sz w:val="19"/>
                <w:szCs w:val="19"/>
                <w:b w:val="1"/>
                <w:bCs w:val="1"/>
                <w:color w:val="FFFFFF"/>
                <w:w w:val="73"/>
              </w:rPr>
              <w:t> </w:t>
            </w:r>
          </w:p>
        </w:tc>
        <w:tc>
          <w:tcPr>
            <w:tcW w:w="1940" w:type="dxa"/>
            <w:vAlign w:val="bottom"/>
            <w:tcBorders>
              <w:right w:val="single" w:sz="8" w:color="231F20"/>
            </w:tcBorders>
            <w:gridSpan w:val="2"/>
            <w:shd w:val="clear" w:color="auto" w:fill="003445"/>
          </w:tcPr>
          <w:p>
            <w:pPr>
              <w:jc w:val="center"/>
              <w:ind w:right="340"/>
              <w:spacing w:after="0"/>
              <w:rPr>
                <w:sz w:val="20"/>
                <w:szCs w:val="20"/>
                <w:color w:val="auto"/>
              </w:rPr>
            </w:pPr>
            <w:r>
              <w:rPr>
                <w:rFonts w:ascii="Arial" w:cs="Arial" w:eastAsia="Arial" w:hAnsi="Arial"/>
                <w:sz w:val="19"/>
                <w:szCs w:val="19"/>
                <w:b w:val="1"/>
                <w:bCs w:val="1"/>
                <w:color w:val="FFFFFF"/>
              </w:rPr>
              <w:t>Attendance at</w:t>
            </w:r>
          </w:p>
        </w:tc>
        <w:tc>
          <w:tcPr>
            <w:tcW w:w="1700" w:type="dxa"/>
            <w:vAlign w:val="bottom"/>
            <w:tcBorders>
              <w:right w:val="single" w:sz="8" w:color="003445"/>
            </w:tcBorders>
            <w:shd w:val="clear" w:color="auto" w:fill="003445"/>
          </w:tcPr>
          <w:p>
            <w:pPr>
              <w:spacing w:after="0"/>
              <w:rPr>
                <w:sz w:val="19"/>
                <w:szCs w:val="19"/>
                <w:color w:val="auto"/>
              </w:rPr>
            </w:pPr>
          </w:p>
        </w:tc>
        <w:tc>
          <w:tcPr>
            <w:tcW w:w="360" w:type="dxa"/>
            <w:vAlign w:val="bottom"/>
            <w:shd w:val="clear" w:color="auto" w:fill="003445"/>
          </w:tcPr>
          <w:p>
            <w:pPr>
              <w:spacing w:after="0"/>
              <w:rPr>
                <w:sz w:val="19"/>
                <w:szCs w:val="19"/>
                <w:color w:val="auto"/>
              </w:rPr>
            </w:pPr>
          </w:p>
        </w:tc>
        <w:tc>
          <w:tcPr>
            <w:tcW w:w="1340" w:type="dxa"/>
            <w:vAlign w:val="bottom"/>
            <w:tcBorders>
              <w:right w:val="single" w:sz="8" w:color="231F20"/>
            </w:tcBorders>
            <w:shd w:val="clear" w:color="auto" w:fill="00344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00" w:type="dxa"/>
            <w:vAlign w:val="bottom"/>
            <w:tcBorders>
              <w:left w:val="single" w:sz="8" w:color="231F20"/>
              <w:right w:val="single" w:sz="8" w:color="003445"/>
            </w:tcBorders>
            <w:shd w:val="clear" w:color="auto" w:fill="003445"/>
          </w:tcPr>
          <w:p>
            <w:pPr>
              <w:spacing w:after="0"/>
              <w:rPr>
                <w:sz w:val="18"/>
                <w:szCs w:val="18"/>
                <w:color w:val="auto"/>
              </w:rPr>
            </w:pPr>
          </w:p>
        </w:tc>
        <w:tc>
          <w:tcPr>
            <w:tcW w:w="600" w:type="dxa"/>
            <w:vAlign w:val="bottom"/>
            <w:shd w:val="clear" w:color="auto" w:fill="003445"/>
          </w:tcPr>
          <w:p>
            <w:pPr>
              <w:spacing w:after="0"/>
              <w:rPr>
                <w:sz w:val="18"/>
                <w:szCs w:val="18"/>
                <w:color w:val="auto"/>
              </w:rPr>
            </w:pPr>
          </w:p>
        </w:tc>
        <w:tc>
          <w:tcPr>
            <w:tcW w:w="720" w:type="dxa"/>
            <w:vAlign w:val="bottom"/>
            <w:tcBorders>
              <w:right w:val="single" w:sz="8" w:color="003445"/>
            </w:tcBorders>
            <w:shd w:val="clear" w:color="auto" w:fill="003445"/>
          </w:tcPr>
          <w:p>
            <w:pPr>
              <w:spacing w:after="0"/>
              <w:rPr>
                <w:sz w:val="18"/>
                <w:szCs w:val="18"/>
                <w:color w:val="auto"/>
              </w:rPr>
            </w:pPr>
          </w:p>
        </w:tc>
        <w:tc>
          <w:tcPr>
            <w:tcW w:w="520" w:type="dxa"/>
            <w:vAlign w:val="bottom"/>
            <w:tcBorders>
              <w:right w:val="single" w:sz="8" w:color="003445"/>
            </w:tcBorders>
            <w:shd w:val="clear" w:color="auto" w:fill="003445"/>
          </w:tcPr>
          <w:p>
            <w:pPr>
              <w:spacing w:after="0"/>
              <w:rPr>
                <w:sz w:val="18"/>
                <w:szCs w:val="18"/>
                <w:color w:val="auto"/>
              </w:rPr>
            </w:pPr>
          </w:p>
        </w:tc>
        <w:tc>
          <w:tcPr>
            <w:tcW w:w="600" w:type="dxa"/>
            <w:vAlign w:val="bottom"/>
            <w:shd w:val="clear" w:color="auto" w:fill="003445"/>
          </w:tcPr>
          <w:p>
            <w:pPr>
              <w:spacing w:after="0"/>
              <w:rPr>
                <w:sz w:val="18"/>
                <w:szCs w:val="18"/>
                <w:color w:val="auto"/>
              </w:rPr>
            </w:pPr>
          </w:p>
        </w:tc>
        <w:tc>
          <w:tcPr>
            <w:tcW w:w="800" w:type="dxa"/>
            <w:vAlign w:val="bottom"/>
            <w:tcBorders>
              <w:right w:val="single" w:sz="8" w:color="231F20"/>
            </w:tcBorders>
            <w:shd w:val="clear" w:color="auto" w:fill="003445"/>
          </w:tcPr>
          <w:p>
            <w:pPr>
              <w:spacing w:after="0"/>
              <w:rPr>
                <w:sz w:val="18"/>
                <w:szCs w:val="18"/>
                <w:color w:val="auto"/>
              </w:rPr>
            </w:pPr>
          </w:p>
        </w:tc>
        <w:tc>
          <w:tcPr>
            <w:tcW w:w="420" w:type="dxa"/>
            <w:vAlign w:val="bottom"/>
            <w:tcBorders>
              <w:right w:val="single" w:sz="8" w:color="003445"/>
            </w:tcBorders>
            <w:vMerge w:val="continue"/>
            <w:shd w:val="clear" w:color="auto" w:fill="003445"/>
          </w:tcPr>
          <w:p>
            <w:pPr>
              <w:spacing w:after="0"/>
              <w:rPr>
                <w:sz w:val="18"/>
                <w:szCs w:val="18"/>
                <w:color w:val="auto"/>
              </w:rPr>
            </w:pPr>
          </w:p>
        </w:tc>
        <w:tc>
          <w:tcPr>
            <w:tcW w:w="1940" w:type="dxa"/>
            <w:vAlign w:val="bottom"/>
            <w:tcBorders>
              <w:right w:val="single" w:sz="8" w:color="231F20"/>
            </w:tcBorders>
            <w:gridSpan w:val="2"/>
            <w:shd w:val="clear" w:color="auto" w:fill="003445"/>
          </w:tcPr>
          <w:p>
            <w:pPr>
              <w:jc w:val="center"/>
              <w:ind w:right="340"/>
              <w:spacing w:after="0" w:line="210" w:lineRule="exact"/>
              <w:rPr>
                <w:sz w:val="20"/>
                <w:szCs w:val="20"/>
                <w:color w:val="auto"/>
              </w:rPr>
            </w:pPr>
            <w:r>
              <w:rPr>
                <w:rFonts w:ascii="Arial" w:cs="Arial" w:eastAsia="Arial" w:hAnsi="Arial"/>
                <w:sz w:val="19"/>
                <w:szCs w:val="19"/>
                <w:b w:val="1"/>
                <w:bCs w:val="1"/>
                <w:color w:val="FFFFFF"/>
              </w:rPr>
              <w:t>Regular Meetings</w:t>
            </w:r>
          </w:p>
        </w:tc>
        <w:tc>
          <w:tcPr>
            <w:tcW w:w="1700" w:type="dxa"/>
            <w:vAlign w:val="bottom"/>
            <w:tcBorders>
              <w:right w:val="single" w:sz="8" w:color="003445"/>
            </w:tcBorders>
            <w:shd w:val="clear" w:color="auto" w:fill="003445"/>
          </w:tcPr>
          <w:p>
            <w:pPr>
              <w:spacing w:after="0"/>
              <w:rPr>
                <w:sz w:val="18"/>
                <w:szCs w:val="18"/>
                <w:color w:val="auto"/>
              </w:rPr>
            </w:pPr>
          </w:p>
        </w:tc>
        <w:tc>
          <w:tcPr>
            <w:tcW w:w="360" w:type="dxa"/>
            <w:vAlign w:val="bottom"/>
            <w:shd w:val="clear" w:color="auto" w:fill="003445"/>
          </w:tcPr>
          <w:p>
            <w:pPr>
              <w:spacing w:after="0"/>
              <w:rPr>
                <w:sz w:val="18"/>
                <w:szCs w:val="18"/>
                <w:color w:val="auto"/>
              </w:rPr>
            </w:pPr>
          </w:p>
        </w:tc>
        <w:tc>
          <w:tcPr>
            <w:tcW w:w="1340" w:type="dxa"/>
            <w:vAlign w:val="bottom"/>
            <w:tcBorders>
              <w:right w:val="single" w:sz="8" w:color="231F20"/>
            </w:tcBorders>
            <w:shd w:val="clear" w:color="auto" w:fill="003445"/>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140" w:type="dxa"/>
            <w:vAlign w:val="bottom"/>
            <w:tcBorders>
              <w:left w:val="single" w:sz="8" w:color="231F20"/>
              <w:bottom w:val="single" w:sz="8" w:color="231F20"/>
            </w:tcBorders>
            <w:gridSpan w:val="5"/>
            <w:shd w:val="clear" w:color="auto" w:fill="003445"/>
          </w:tcPr>
          <w:p>
            <w:pPr>
              <w:jc w:val="center"/>
              <w:ind w:left="848"/>
              <w:spacing w:after="0"/>
              <w:rPr>
                <w:sz w:val="20"/>
                <w:szCs w:val="20"/>
                <w:color w:val="auto"/>
              </w:rPr>
            </w:pPr>
            <w:r>
              <w:rPr>
                <w:rFonts w:ascii="Arial" w:cs="Arial" w:eastAsia="Arial" w:hAnsi="Arial"/>
                <w:sz w:val="19"/>
                <w:szCs w:val="19"/>
                <w:b w:val="1"/>
                <w:bCs w:val="1"/>
                <w:color w:val="FFFFFF"/>
              </w:rPr>
              <w:t>Board / Committee Memberships</w:t>
            </w:r>
          </w:p>
        </w:tc>
        <w:tc>
          <w:tcPr>
            <w:tcW w:w="800" w:type="dxa"/>
            <w:vAlign w:val="bottom"/>
            <w:tcBorders>
              <w:bottom w:val="single" w:sz="8" w:color="231F20"/>
              <w:right w:val="single" w:sz="8" w:color="231F20"/>
            </w:tcBorders>
            <w:shd w:val="clear" w:color="auto" w:fill="003445"/>
          </w:tcPr>
          <w:p>
            <w:pPr>
              <w:spacing w:after="0"/>
              <w:rPr>
                <w:sz w:val="24"/>
                <w:szCs w:val="24"/>
                <w:color w:val="auto"/>
              </w:rPr>
            </w:pPr>
          </w:p>
        </w:tc>
        <w:tc>
          <w:tcPr>
            <w:tcW w:w="420" w:type="dxa"/>
            <w:vAlign w:val="bottom"/>
            <w:tcBorders>
              <w:bottom w:val="single" w:sz="8" w:color="231F20"/>
              <w:right w:val="single" w:sz="8" w:color="003445"/>
            </w:tcBorders>
            <w:shd w:val="clear" w:color="auto" w:fill="003445"/>
          </w:tcPr>
          <w:p>
            <w:pPr>
              <w:spacing w:after="0"/>
              <w:rPr>
                <w:sz w:val="24"/>
                <w:szCs w:val="24"/>
                <w:color w:val="auto"/>
              </w:rPr>
            </w:pPr>
          </w:p>
        </w:tc>
        <w:tc>
          <w:tcPr>
            <w:tcW w:w="1940" w:type="dxa"/>
            <w:vAlign w:val="bottom"/>
            <w:tcBorders>
              <w:bottom w:val="single" w:sz="8" w:color="231F20"/>
              <w:right w:val="single" w:sz="8" w:color="231F20"/>
            </w:tcBorders>
            <w:gridSpan w:val="2"/>
            <w:shd w:val="clear" w:color="auto" w:fill="003445"/>
          </w:tcPr>
          <w:p>
            <w:pPr>
              <w:jc w:val="center"/>
              <w:ind w:right="340"/>
              <w:spacing w:after="0"/>
              <w:rPr>
                <w:sz w:val="20"/>
                <w:szCs w:val="20"/>
                <w:color w:val="auto"/>
              </w:rPr>
            </w:pPr>
            <w:r>
              <w:rPr>
                <w:rFonts w:ascii="Arial" w:cs="Arial" w:eastAsia="Arial" w:hAnsi="Arial"/>
                <w:sz w:val="19"/>
                <w:szCs w:val="19"/>
                <w:b w:val="1"/>
                <w:bCs w:val="1"/>
                <w:color w:val="FFFFFF"/>
              </w:rPr>
              <w:t>in Fiscal 2025</w:t>
            </w:r>
          </w:p>
        </w:tc>
        <w:tc>
          <w:tcPr>
            <w:tcW w:w="3400" w:type="dxa"/>
            <w:vAlign w:val="bottom"/>
            <w:tcBorders>
              <w:bottom w:val="single" w:sz="8" w:color="231F20"/>
              <w:right w:val="single" w:sz="8" w:color="231F20"/>
            </w:tcBorders>
            <w:gridSpan w:val="3"/>
            <w:shd w:val="clear" w:color="auto" w:fill="003445"/>
          </w:tcPr>
          <w:p>
            <w:pPr>
              <w:ind w:left="240"/>
              <w:spacing w:after="0"/>
              <w:rPr>
                <w:sz w:val="20"/>
                <w:szCs w:val="20"/>
                <w:color w:val="auto"/>
              </w:rPr>
            </w:pPr>
            <w:r>
              <w:rPr>
                <w:rFonts w:ascii="Arial" w:cs="Arial" w:eastAsia="Arial" w:hAnsi="Arial"/>
                <w:sz w:val="19"/>
                <w:szCs w:val="19"/>
                <w:b w:val="1"/>
                <w:bCs w:val="1"/>
                <w:color w:val="FFFFFF"/>
              </w:rPr>
              <w:t xml:space="preserve">         Overall Attendance       </w:t>
            </w:r>
          </w:p>
        </w:tc>
        <w:tc>
          <w:tcPr>
            <w:tcW w:w="0" w:type="dxa"/>
            <w:vAlign w:val="bottom"/>
          </w:tcPr>
          <w:p>
            <w:pPr>
              <w:spacing w:after="0"/>
              <w:rPr>
                <w:sz w:val="1"/>
                <w:szCs w:val="1"/>
                <w:color w:val="auto"/>
              </w:rPr>
            </w:pPr>
          </w:p>
        </w:tc>
      </w:tr>
      <w:tr>
        <w:trPr>
          <w:trHeight w:val="272"/>
        </w:trPr>
        <w:tc>
          <w:tcPr>
            <w:tcW w:w="1700" w:type="dxa"/>
            <w:vAlign w:val="bottom"/>
            <w:tcBorders>
              <w:left w:val="single" w:sz="8" w:color="231F20"/>
            </w:tcBorders>
          </w:tcPr>
          <w:p>
            <w:pPr>
              <w:spacing w:after="0"/>
              <w:rPr>
                <w:sz w:val="23"/>
                <w:szCs w:val="23"/>
                <w:color w:val="auto"/>
              </w:rPr>
            </w:pPr>
          </w:p>
        </w:tc>
        <w:tc>
          <w:tcPr>
            <w:tcW w:w="2440" w:type="dxa"/>
            <w:vAlign w:val="bottom"/>
            <w:gridSpan w:val="4"/>
          </w:tcPr>
          <w:p>
            <w:pPr>
              <w:jc w:val="center"/>
              <w:ind w:right="673"/>
              <w:spacing w:after="0"/>
              <w:rPr>
                <w:sz w:val="20"/>
                <w:szCs w:val="20"/>
                <w:color w:val="auto"/>
              </w:rPr>
            </w:pPr>
            <w:r>
              <w:rPr>
                <w:rFonts w:ascii="Arial" w:cs="Arial" w:eastAsia="Arial" w:hAnsi="Arial"/>
                <w:sz w:val="19"/>
                <w:szCs w:val="19"/>
                <w:color w:val="auto"/>
              </w:rPr>
              <w:t>Board (Chair)</w:t>
            </w:r>
          </w:p>
        </w:tc>
        <w:tc>
          <w:tcPr>
            <w:tcW w:w="800" w:type="dxa"/>
            <w:vAlign w:val="bottom"/>
            <w:tcBorders>
              <w:right w:val="single" w:sz="8" w:color="231F20"/>
            </w:tcBorders>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jc w:val="center"/>
              <w:ind w:right="127"/>
              <w:spacing w:after="0"/>
              <w:rPr>
                <w:sz w:val="20"/>
                <w:szCs w:val="20"/>
                <w:color w:val="auto"/>
              </w:rPr>
            </w:pPr>
            <w:r>
              <w:rPr>
                <w:rFonts w:ascii="Arial" w:cs="Arial" w:eastAsia="Arial" w:hAnsi="Arial"/>
                <w:sz w:val="19"/>
                <w:szCs w:val="19"/>
                <w:color w:val="auto"/>
              </w:rPr>
              <w:t>7/7</w:t>
            </w:r>
          </w:p>
        </w:tc>
        <w:tc>
          <w:tcPr>
            <w:tcW w:w="120" w:type="dxa"/>
            <w:vAlign w:val="bottom"/>
            <w:tcBorders>
              <w:right w:val="single" w:sz="8" w:color="231F20"/>
            </w:tcBorders>
          </w:tcPr>
          <w:p>
            <w:pPr>
              <w:spacing w:after="0"/>
              <w:rPr>
                <w:sz w:val="23"/>
                <w:szCs w:val="23"/>
                <w:color w:val="auto"/>
              </w:rPr>
            </w:pPr>
          </w:p>
        </w:tc>
        <w:tc>
          <w:tcPr>
            <w:tcW w:w="2060" w:type="dxa"/>
            <w:vAlign w:val="bottom"/>
            <w:gridSpan w:val="2"/>
          </w:tcPr>
          <w:p>
            <w:pPr>
              <w:ind w:left="1480"/>
              <w:spacing w:after="0"/>
              <w:rPr>
                <w:sz w:val="20"/>
                <w:szCs w:val="20"/>
                <w:color w:val="auto"/>
              </w:rPr>
            </w:pPr>
            <w:r>
              <w:rPr>
                <w:rFonts w:ascii="Arial" w:cs="Arial" w:eastAsia="Arial" w:hAnsi="Arial"/>
                <w:sz w:val="19"/>
                <w:szCs w:val="19"/>
                <w:color w:val="auto"/>
              </w:rPr>
              <w:t>100%</w:t>
            </w:r>
          </w:p>
        </w:tc>
        <w:tc>
          <w:tcPr>
            <w:tcW w:w="134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140" w:type="dxa"/>
            <w:vAlign w:val="bottom"/>
            <w:tcBorders>
              <w:left w:val="single" w:sz="8" w:color="231F20"/>
            </w:tcBorders>
            <w:gridSpan w:val="5"/>
          </w:tcPr>
          <w:p>
            <w:pPr>
              <w:jc w:val="center"/>
              <w:ind w:left="848"/>
              <w:spacing w:after="0"/>
              <w:rPr>
                <w:sz w:val="20"/>
                <w:szCs w:val="20"/>
                <w:color w:val="auto"/>
              </w:rPr>
            </w:pPr>
            <w:r>
              <w:rPr>
                <w:rFonts w:ascii="Arial" w:cs="Arial" w:eastAsia="Arial" w:hAnsi="Arial"/>
                <w:sz w:val="19"/>
                <w:szCs w:val="19"/>
                <w:color w:val="auto"/>
              </w:rPr>
              <w:t>Audit &amp; Risk Management Committee</w:t>
            </w:r>
          </w:p>
        </w:tc>
        <w:tc>
          <w:tcPr>
            <w:tcW w:w="800" w:type="dxa"/>
            <w:vAlign w:val="bottom"/>
            <w:tcBorders>
              <w:right w:val="single" w:sz="8" w:color="231F20"/>
            </w:tcBorders>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jc w:val="center"/>
              <w:ind w:right="127"/>
              <w:spacing w:after="0"/>
              <w:rPr>
                <w:sz w:val="20"/>
                <w:szCs w:val="20"/>
                <w:color w:val="auto"/>
              </w:rPr>
            </w:pPr>
            <w:r>
              <w:rPr>
                <w:rFonts w:ascii="Arial" w:cs="Arial" w:eastAsia="Arial" w:hAnsi="Arial"/>
                <w:sz w:val="19"/>
                <w:szCs w:val="19"/>
                <w:color w:val="auto"/>
              </w:rPr>
              <w:t>9/9</w:t>
            </w:r>
          </w:p>
        </w:tc>
        <w:tc>
          <w:tcPr>
            <w:tcW w:w="120" w:type="dxa"/>
            <w:vAlign w:val="bottom"/>
            <w:tcBorders>
              <w:right w:val="single" w:sz="8" w:color="231F20"/>
            </w:tcBorders>
          </w:tcPr>
          <w:p>
            <w:pPr>
              <w:spacing w:after="0"/>
              <w:rPr>
                <w:sz w:val="23"/>
                <w:szCs w:val="23"/>
                <w:color w:val="auto"/>
              </w:rPr>
            </w:pPr>
          </w:p>
        </w:tc>
        <w:tc>
          <w:tcPr>
            <w:tcW w:w="1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4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4940" w:type="dxa"/>
            <w:vAlign w:val="bottom"/>
            <w:tcBorders>
              <w:left w:val="single" w:sz="8" w:color="231F20"/>
              <w:bottom w:val="single" w:sz="8" w:color="231F20"/>
              <w:right w:val="single" w:sz="8" w:color="231F20"/>
            </w:tcBorders>
            <w:gridSpan w:val="6"/>
          </w:tcPr>
          <w:p>
            <w:pPr>
              <w:jc w:val="center"/>
              <w:ind w:left="48"/>
              <w:spacing w:after="0"/>
              <w:rPr>
                <w:sz w:val="20"/>
                <w:szCs w:val="20"/>
                <w:color w:val="auto"/>
              </w:rPr>
            </w:pPr>
            <w:r>
              <w:rPr>
                <w:rFonts w:ascii="Arial" w:cs="Arial" w:eastAsia="Arial" w:hAnsi="Arial"/>
                <w:sz w:val="19"/>
                <w:szCs w:val="19"/>
                <w:color w:val="auto"/>
              </w:rPr>
              <w:t>Operations and Capital Projects Committee (Chair)</w:t>
            </w:r>
          </w:p>
        </w:tc>
        <w:tc>
          <w:tcPr>
            <w:tcW w:w="420" w:type="dxa"/>
            <w:vAlign w:val="bottom"/>
            <w:tcBorders>
              <w:bottom w:val="single" w:sz="8" w:color="231F20"/>
            </w:tcBorders>
          </w:tcPr>
          <w:p>
            <w:pPr>
              <w:spacing w:after="0"/>
              <w:rPr>
                <w:sz w:val="23"/>
                <w:szCs w:val="23"/>
                <w:color w:val="auto"/>
              </w:rPr>
            </w:pPr>
          </w:p>
        </w:tc>
        <w:tc>
          <w:tcPr>
            <w:tcW w:w="1820" w:type="dxa"/>
            <w:vAlign w:val="bottom"/>
            <w:tcBorders>
              <w:bottom w:val="single" w:sz="8" w:color="231F20"/>
            </w:tcBorders>
          </w:tcPr>
          <w:p>
            <w:pPr>
              <w:jc w:val="center"/>
              <w:ind w:right="127"/>
              <w:spacing w:after="0"/>
              <w:rPr>
                <w:sz w:val="20"/>
                <w:szCs w:val="20"/>
                <w:color w:val="auto"/>
              </w:rPr>
            </w:pPr>
            <w:r>
              <w:rPr>
                <w:rFonts w:ascii="Arial" w:cs="Arial" w:eastAsia="Arial" w:hAnsi="Arial"/>
                <w:sz w:val="19"/>
                <w:szCs w:val="19"/>
                <w:color w:val="auto"/>
              </w:rPr>
              <w:t>19/19</w:t>
            </w:r>
          </w:p>
        </w:tc>
        <w:tc>
          <w:tcPr>
            <w:tcW w:w="120" w:type="dxa"/>
            <w:vAlign w:val="bottom"/>
            <w:tcBorders>
              <w:bottom w:val="single" w:sz="8" w:color="231F20"/>
              <w:right w:val="single" w:sz="8" w:color="231F20"/>
            </w:tcBorders>
          </w:tcPr>
          <w:p>
            <w:pPr>
              <w:spacing w:after="0"/>
              <w:rPr>
                <w:sz w:val="23"/>
                <w:szCs w:val="23"/>
                <w:color w:val="auto"/>
              </w:rPr>
            </w:pPr>
          </w:p>
        </w:tc>
        <w:tc>
          <w:tcPr>
            <w:tcW w:w="1700" w:type="dxa"/>
            <w:vAlign w:val="bottom"/>
            <w:tcBorders>
              <w:bottom w:val="single" w:sz="8" w:color="231F20"/>
            </w:tcBorders>
          </w:tcPr>
          <w:p>
            <w:pPr>
              <w:spacing w:after="0"/>
              <w:rPr>
                <w:sz w:val="23"/>
                <w:szCs w:val="23"/>
                <w:color w:val="auto"/>
              </w:rPr>
            </w:pPr>
          </w:p>
        </w:tc>
        <w:tc>
          <w:tcPr>
            <w:tcW w:w="360" w:type="dxa"/>
            <w:vAlign w:val="bottom"/>
            <w:tcBorders>
              <w:bottom w:val="single" w:sz="8" w:color="231F20"/>
            </w:tcBorders>
          </w:tcPr>
          <w:p>
            <w:pPr>
              <w:spacing w:after="0"/>
              <w:rPr>
                <w:sz w:val="23"/>
                <w:szCs w:val="23"/>
                <w:color w:val="auto"/>
              </w:rPr>
            </w:pPr>
          </w:p>
        </w:tc>
        <w:tc>
          <w:tcPr>
            <w:tcW w:w="1340" w:type="dxa"/>
            <w:vAlign w:val="bottom"/>
            <w:tcBorders>
              <w:bottom w:val="single" w:sz="8" w:color="231F20"/>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700" w:type="dxa"/>
            <w:vAlign w:val="bottom"/>
            <w:tcBorders>
              <w:left w:val="single" w:sz="8" w:color="231F20"/>
              <w:right w:val="single" w:sz="8" w:color="003445"/>
            </w:tcBorders>
            <w:shd w:val="clear" w:color="auto" w:fill="003445"/>
          </w:tcPr>
          <w:p>
            <w:pPr>
              <w:spacing w:after="0"/>
              <w:rPr>
                <w:sz w:val="20"/>
                <w:szCs w:val="20"/>
                <w:color w:val="auto"/>
              </w:rPr>
            </w:pPr>
          </w:p>
        </w:tc>
        <w:tc>
          <w:tcPr>
            <w:tcW w:w="600" w:type="dxa"/>
            <w:vAlign w:val="bottom"/>
            <w:shd w:val="clear" w:color="auto" w:fill="003445"/>
          </w:tcPr>
          <w:p>
            <w:pPr>
              <w:spacing w:after="0"/>
              <w:rPr>
                <w:sz w:val="20"/>
                <w:szCs w:val="20"/>
                <w:color w:val="auto"/>
              </w:rPr>
            </w:pPr>
          </w:p>
        </w:tc>
        <w:tc>
          <w:tcPr>
            <w:tcW w:w="720" w:type="dxa"/>
            <w:vAlign w:val="bottom"/>
            <w:tcBorders>
              <w:right w:val="single" w:sz="8" w:color="003445"/>
            </w:tcBorders>
            <w:shd w:val="clear" w:color="auto" w:fill="003445"/>
          </w:tcPr>
          <w:p>
            <w:pPr>
              <w:spacing w:after="0"/>
              <w:rPr>
                <w:sz w:val="20"/>
                <w:szCs w:val="20"/>
                <w:color w:val="auto"/>
              </w:rPr>
            </w:pPr>
          </w:p>
        </w:tc>
        <w:tc>
          <w:tcPr>
            <w:tcW w:w="520" w:type="dxa"/>
            <w:vAlign w:val="bottom"/>
            <w:tcBorders>
              <w:right w:val="single" w:sz="8" w:color="003445"/>
            </w:tcBorders>
            <w:shd w:val="clear" w:color="auto" w:fill="003445"/>
          </w:tcPr>
          <w:p>
            <w:pPr>
              <w:spacing w:after="0"/>
              <w:rPr>
                <w:sz w:val="20"/>
                <w:szCs w:val="20"/>
                <w:color w:val="auto"/>
              </w:rPr>
            </w:pPr>
          </w:p>
        </w:tc>
        <w:tc>
          <w:tcPr>
            <w:tcW w:w="3760" w:type="dxa"/>
            <w:vAlign w:val="bottom"/>
            <w:tcBorders>
              <w:right w:val="single" w:sz="8" w:color="003445"/>
            </w:tcBorders>
            <w:gridSpan w:val="5"/>
            <w:shd w:val="clear" w:color="auto" w:fill="003445"/>
          </w:tcPr>
          <w:p>
            <w:pPr>
              <w:jc w:val="center"/>
              <w:ind w:right="40"/>
              <w:spacing w:after="0"/>
              <w:rPr>
                <w:sz w:val="20"/>
                <w:szCs w:val="20"/>
                <w:color w:val="auto"/>
              </w:rPr>
            </w:pPr>
            <w:r>
              <w:rPr>
                <w:rFonts w:ascii="Arial" w:cs="Arial" w:eastAsia="Arial" w:hAnsi="Arial"/>
                <w:sz w:val="17"/>
                <w:szCs w:val="17"/>
                <w:b w:val="1"/>
                <w:bCs w:val="1"/>
                <w:color w:val="FFFFFF"/>
              </w:rPr>
              <w:t>Securities Beneficially Owned or Controlled</w:t>
            </w:r>
          </w:p>
        </w:tc>
        <w:tc>
          <w:tcPr>
            <w:tcW w:w="1700" w:type="dxa"/>
            <w:vAlign w:val="bottom"/>
            <w:tcBorders>
              <w:right w:val="single" w:sz="8" w:color="003445"/>
            </w:tcBorders>
            <w:shd w:val="clear" w:color="auto" w:fill="003445"/>
          </w:tcPr>
          <w:p>
            <w:pPr>
              <w:spacing w:after="0"/>
              <w:rPr>
                <w:sz w:val="20"/>
                <w:szCs w:val="20"/>
                <w:color w:val="auto"/>
              </w:rPr>
            </w:pPr>
          </w:p>
        </w:tc>
        <w:tc>
          <w:tcPr>
            <w:tcW w:w="360" w:type="dxa"/>
            <w:vAlign w:val="bottom"/>
            <w:shd w:val="clear" w:color="auto" w:fill="003445"/>
          </w:tcPr>
          <w:p>
            <w:pPr>
              <w:spacing w:after="0"/>
              <w:rPr>
                <w:sz w:val="20"/>
                <w:szCs w:val="20"/>
                <w:color w:val="auto"/>
              </w:rPr>
            </w:pPr>
          </w:p>
        </w:tc>
        <w:tc>
          <w:tcPr>
            <w:tcW w:w="1340" w:type="dxa"/>
            <w:vAlign w:val="bottom"/>
            <w:tcBorders>
              <w:right w:val="single" w:sz="8" w:color="231F20"/>
            </w:tcBorders>
            <w:shd w:val="clear" w:color="auto" w:fill="003445"/>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700" w:type="dxa"/>
            <w:vAlign w:val="bottom"/>
            <w:tcBorders>
              <w:left w:val="single" w:sz="8" w:color="231F20"/>
              <w:bottom w:val="single" w:sz="8" w:color="003445"/>
              <w:right w:val="single" w:sz="8" w:color="003445"/>
            </w:tcBorders>
            <w:shd w:val="clear" w:color="auto" w:fill="003445"/>
          </w:tcPr>
          <w:p>
            <w:pPr>
              <w:spacing w:after="0"/>
              <w:rPr>
                <w:sz w:val="23"/>
                <w:szCs w:val="23"/>
                <w:color w:val="auto"/>
              </w:rPr>
            </w:pPr>
          </w:p>
        </w:tc>
        <w:tc>
          <w:tcPr>
            <w:tcW w:w="600" w:type="dxa"/>
            <w:vAlign w:val="bottom"/>
            <w:tcBorders>
              <w:bottom w:val="single" w:sz="8" w:color="003445"/>
            </w:tcBorders>
            <w:shd w:val="clear" w:color="auto" w:fill="003445"/>
          </w:tcPr>
          <w:p>
            <w:pPr>
              <w:spacing w:after="0"/>
              <w:rPr>
                <w:sz w:val="23"/>
                <w:szCs w:val="23"/>
                <w:color w:val="auto"/>
              </w:rPr>
            </w:pPr>
          </w:p>
        </w:tc>
        <w:tc>
          <w:tcPr>
            <w:tcW w:w="720" w:type="dxa"/>
            <w:vAlign w:val="bottom"/>
            <w:tcBorders>
              <w:bottom w:val="single" w:sz="8" w:color="003445"/>
              <w:right w:val="single" w:sz="8" w:color="003445"/>
            </w:tcBorders>
            <w:shd w:val="clear" w:color="auto" w:fill="003445"/>
          </w:tcPr>
          <w:p>
            <w:pPr>
              <w:spacing w:after="0"/>
              <w:rPr>
                <w:sz w:val="23"/>
                <w:szCs w:val="23"/>
                <w:color w:val="auto"/>
              </w:rPr>
            </w:pPr>
          </w:p>
        </w:tc>
        <w:tc>
          <w:tcPr>
            <w:tcW w:w="520" w:type="dxa"/>
            <w:vAlign w:val="bottom"/>
            <w:tcBorders>
              <w:bottom w:val="single" w:sz="8" w:color="003445"/>
              <w:right w:val="single" w:sz="8" w:color="003445"/>
            </w:tcBorders>
            <w:shd w:val="clear" w:color="auto" w:fill="003445"/>
          </w:tcPr>
          <w:p>
            <w:pPr>
              <w:spacing w:after="0"/>
              <w:rPr>
                <w:sz w:val="23"/>
                <w:szCs w:val="23"/>
                <w:color w:val="auto"/>
              </w:rPr>
            </w:pPr>
          </w:p>
        </w:tc>
        <w:tc>
          <w:tcPr>
            <w:tcW w:w="600" w:type="dxa"/>
            <w:vAlign w:val="bottom"/>
            <w:tcBorders>
              <w:bottom w:val="single" w:sz="8" w:color="003445"/>
            </w:tcBorders>
            <w:shd w:val="clear" w:color="auto" w:fill="003445"/>
          </w:tcPr>
          <w:p>
            <w:pPr>
              <w:spacing w:after="0"/>
              <w:rPr>
                <w:sz w:val="23"/>
                <w:szCs w:val="23"/>
                <w:color w:val="auto"/>
              </w:rPr>
            </w:pPr>
          </w:p>
        </w:tc>
        <w:tc>
          <w:tcPr>
            <w:tcW w:w="3160" w:type="dxa"/>
            <w:vAlign w:val="bottom"/>
            <w:tcBorders>
              <w:bottom w:val="single" w:sz="8" w:color="003445"/>
              <w:right w:val="single" w:sz="8" w:color="003445"/>
            </w:tcBorders>
            <w:gridSpan w:val="4"/>
            <w:shd w:val="clear" w:color="auto" w:fill="003445"/>
          </w:tcPr>
          <w:p>
            <w:pPr>
              <w:jc w:val="center"/>
              <w:ind w:right="640"/>
              <w:spacing w:after="0"/>
              <w:rPr>
                <w:sz w:val="20"/>
                <w:szCs w:val="20"/>
                <w:color w:val="auto"/>
              </w:rPr>
            </w:pPr>
            <w:r>
              <w:rPr>
                <w:rFonts w:ascii="Arial" w:cs="Arial" w:eastAsia="Arial" w:hAnsi="Arial"/>
                <w:sz w:val="17"/>
                <w:szCs w:val="17"/>
                <w:b w:val="1"/>
                <w:bCs w:val="1"/>
                <w:color w:val="FFFFFF"/>
              </w:rPr>
              <w:t>(as at April 30, 2026)</w:t>
            </w:r>
          </w:p>
        </w:tc>
        <w:tc>
          <w:tcPr>
            <w:tcW w:w="1700" w:type="dxa"/>
            <w:vAlign w:val="bottom"/>
            <w:tcBorders>
              <w:bottom w:val="single" w:sz="8" w:color="003445"/>
              <w:right w:val="single" w:sz="8" w:color="003445"/>
            </w:tcBorders>
            <w:shd w:val="clear" w:color="auto" w:fill="003445"/>
          </w:tcPr>
          <w:p>
            <w:pPr>
              <w:spacing w:after="0"/>
              <w:rPr>
                <w:sz w:val="23"/>
                <w:szCs w:val="23"/>
                <w:color w:val="auto"/>
              </w:rPr>
            </w:pPr>
          </w:p>
        </w:tc>
        <w:tc>
          <w:tcPr>
            <w:tcW w:w="360" w:type="dxa"/>
            <w:vAlign w:val="bottom"/>
            <w:tcBorders>
              <w:bottom w:val="single" w:sz="8" w:color="003445"/>
            </w:tcBorders>
            <w:shd w:val="clear" w:color="auto" w:fill="003445"/>
          </w:tcPr>
          <w:p>
            <w:pPr>
              <w:spacing w:after="0"/>
              <w:rPr>
                <w:sz w:val="23"/>
                <w:szCs w:val="23"/>
                <w:color w:val="auto"/>
              </w:rPr>
            </w:pPr>
          </w:p>
        </w:tc>
        <w:tc>
          <w:tcPr>
            <w:tcW w:w="1340" w:type="dxa"/>
            <w:vAlign w:val="bottom"/>
            <w:tcBorders>
              <w:bottom w:val="single" w:sz="8" w:color="003445"/>
              <w:right w:val="single" w:sz="8" w:color="231F20"/>
            </w:tcBorders>
            <w:shd w:val="clear" w:color="auto" w:fill="003445"/>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2300" w:type="dxa"/>
            <w:vAlign w:val="bottom"/>
            <w:tcBorders>
              <w:top w:val="single" w:sz="8" w:color="231F20"/>
              <w:left w:val="single" w:sz="8" w:color="231F20"/>
              <w:bottom w:val="single" w:sz="8" w:color="231F20"/>
            </w:tcBorders>
            <w:gridSpan w:val="2"/>
            <w:shd w:val="clear" w:color="auto" w:fill="F2F2F2"/>
          </w:tcPr>
          <w:p>
            <w:pPr>
              <w:ind w:left="1520"/>
              <w:spacing w:after="0" w:line="295" w:lineRule="exact"/>
              <w:rPr>
                <w:sz w:val="20"/>
                <w:szCs w:val="20"/>
                <w:color w:val="auto"/>
              </w:rPr>
            </w:pPr>
            <w:r>
              <w:rPr>
                <w:rFonts w:ascii="Arial" w:cs="Arial" w:eastAsia="Arial" w:hAnsi="Arial"/>
                <w:sz w:val="17"/>
                <w:szCs w:val="17"/>
                <w:b w:val="1"/>
                <w:bCs w:val="1"/>
                <w:color w:val="auto"/>
              </w:rPr>
              <w:t>DSUs</w:t>
            </w:r>
            <w:r>
              <w:rPr>
                <w:rFonts w:ascii="Arial" w:cs="Arial" w:eastAsia="Arial" w:hAnsi="Arial"/>
                <w:sz w:val="26"/>
                <w:szCs w:val="26"/>
                <w:b w:val="1"/>
                <w:bCs w:val="1"/>
                <w:color w:val="auto"/>
                <w:vertAlign w:val="superscript"/>
              </w:rPr>
              <w:t>(3)</w:t>
            </w:r>
          </w:p>
        </w:tc>
        <w:tc>
          <w:tcPr>
            <w:tcW w:w="72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520" w:type="dxa"/>
            <w:vAlign w:val="bottom"/>
            <w:tcBorders>
              <w:top w:val="single" w:sz="8" w:color="231F20"/>
              <w:bottom w:val="single" w:sz="8" w:color="231F20"/>
              <w:right w:val="single" w:sz="8" w:color="231F20"/>
            </w:tcBorders>
            <w:shd w:val="clear" w:color="auto" w:fill="F2F2F2"/>
          </w:tcPr>
          <w:p>
            <w:pPr>
              <w:spacing w:after="0"/>
              <w:rPr>
                <w:sz w:val="24"/>
                <w:szCs w:val="24"/>
                <w:color w:val="auto"/>
              </w:rPr>
            </w:pPr>
          </w:p>
        </w:tc>
        <w:tc>
          <w:tcPr>
            <w:tcW w:w="600" w:type="dxa"/>
            <w:vAlign w:val="bottom"/>
            <w:tcBorders>
              <w:top w:val="single" w:sz="8" w:color="231F20"/>
              <w:bottom w:val="single" w:sz="8" w:color="231F20"/>
            </w:tcBorders>
            <w:shd w:val="clear" w:color="auto" w:fill="F2F2F2"/>
          </w:tcPr>
          <w:p>
            <w:pPr>
              <w:spacing w:after="0"/>
              <w:rPr>
                <w:sz w:val="24"/>
                <w:szCs w:val="24"/>
                <w:color w:val="auto"/>
              </w:rPr>
            </w:pPr>
          </w:p>
        </w:tc>
        <w:tc>
          <w:tcPr>
            <w:tcW w:w="3040" w:type="dxa"/>
            <w:vAlign w:val="bottom"/>
            <w:tcBorders>
              <w:top w:val="single" w:sz="8" w:color="231F20"/>
              <w:bottom w:val="single" w:sz="8" w:color="231F20"/>
              <w:right w:val="single" w:sz="8" w:color="231F20"/>
            </w:tcBorders>
            <w:gridSpan w:val="3"/>
            <w:shd w:val="clear" w:color="auto" w:fill="F2F2F2"/>
          </w:tcPr>
          <w:p>
            <w:pPr>
              <w:jc w:val="center"/>
              <w:ind w:right="447"/>
              <w:spacing w:after="0"/>
              <w:rPr>
                <w:sz w:val="20"/>
                <w:szCs w:val="20"/>
                <w:color w:val="auto"/>
              </w:rPr>
            </w:pPr>
            <w:r>
              <w:rPr>
                <w:rFonts w:ascii="Arial" w:cs="Arial" w:eastAsia="Arial" w:hAnsi="Arial"/>
                <w:sz w:val="17"/>
                <w:szCs w:val="17"/>
                <w:b w:val="1"/>
                <w:bCs w:val="1"/>
                <w:color w:val="auto"/>
              </w:rPr>
              <w:t>Replacement LTIP Awards</w:t>
            </w:r>
          </w:p>
        </w:tc>
        <w:tc>
          <w:tcPr>
            <w:tcW w:w="12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2060" w:type="dxa"/>
            <w:vAlign w:val="bottom"/>
            <w:tcBorders>
              <w:top w:val="single" w:sz="8" w:color="231F20"/>
              <w:bottom w:val="single" w:sz="8" w:color="231F20"/>
            </w:tcBorders>
            <w:gridSpan w:val="2"/>
            <w:shd w:val="clear" w:color="auto" w:fill="F2F2F2"/>
          </w:tcPr>
          <w:p>
            <w:pPr>
              <w:ind w:left="1460"/>
              <w:spacing w:after="0"/>
              <w:rPr>
                <w:sz w:val="20"/>
                <w:szCs w:val="20"/>
                <w:color w:val="auto"/>
              </w:rPr>
            </w:pPr>
            <w:r>
              <w:rPr>
                <w:rFonts w:ascii="Arial" w:cs="Arial" w:eastAsia="Arial" w:hAnsi="Arial"/>
                <w:sz w:val="17"/>
                <w:szCs w:val="17"/>
                <w:b w:val="1"/>
                <w:bCs w:val="1"/>
                <w:color w:val="auto"/>
              </w:rPr>
              <w:t>Total</w:t>
            </w:r>
          </w:p>
        </w:tc>
        <w:tc>
          <w:tcPr>
            <w:tcW w:w="1340" w:type="dxa"/>
            <w:vAlign w:val="bottom"/>
            <w:tcBorders>
              <w:top w:val="single" w:sz="8" w:color="231F20"/>
              <w:bottom w:val="single" w:sz="8" w:color="231F20"/>
              <w:right w:val="single" w:sz="8" w:color="231F20"/>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700" w:type="dxa"/>
            <w:vAlign w:val="bottom"/>
            <w:tcBorders>
              <w:left w:val="single" w:sz="8" w:color="231F20"/>
              <w:right w:val="single" w:sz="8" w:color="231F20"/>
            </w:tcBorders>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Borders>
              <w:right w:val="single" w:sz="8" w:color="231F20"/>
            </w:tcBorders>
            <w:gridSpan w:val="2"/>
          </w:tcPr>
          <w:p>
            <w:pPr>
              <w:jc w:val="center"/>
              <w:ind w:right="424"/>
              <w:spacing w:after="0"/>
              <w:rPr>
                <w:sz w:val="20"/>
                <w:szCs w:val="20"/>
                <w:color w:val="auto"/>
              </w:rPr>
            </w:pPr>
            <w:r>
              <w:rPr>
                <w:rFonts w:ascii="Arial" w:cs="Arial" w:eastAsia="Arial" w:hAnsi="Arial"/>
                <w:sz w:val="17"/>
                <w:szCs w:val="17"/>
                <w:b w:val="1"/>
                <w:bCs w:val="1"/>
                <w:color w:val="auto"/>
              </w:rPr>
              <w:t>Market</w:t>
            </w: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Borders>
              <w:right w:val="single" w:sz="8" w:color="231F20"/>
            </w:tcBorders>
          </w:tcPr>
          <w:p>
            <w:pPr>
              <w:spacing w:after="0"/>
              <w:rPr>
                <w:sz w:val="20"/>
                <w:szCs w:val="20"/>
                <w:color w:val="auto"/>
              </w:rPr>
            </w:pPr>
          </w:p>
        </w:tc>
        <w:tc>
          <w:tcPr>
            <w:tcW w:w="1820" w:type="dxa"/>
            <w:vAlign w:val="bottom"/>
            <w:tcBorders>
              <w:right w:val="single" w:sz="8" w:color="231F20"/>
            </w:tcBorders>
          </w:tcPr>
          <w:p>
            <w:pPr>
              <w:jc w:val="center"/>
              <w:spacing w:after="0"/>
              <w:rPr>
                <w:sz w:val="20"/>
                <w:szCs w:val="20"/>
                <w:color w:val="auto"/>
              </w:rPr>
            </w:pPr>
            <w:r>
              <w:rPr>
                <w:rFonts w:ascii="Arial" w:cs="Arial" w:eastAsia="Arial" w:hAnsi="Arial"/>
                <w:sz w:val="17"/>
                <w:szCs w:val="17"/>
                <w:b w:val="1"/>
                <w:bCs w:val="1"/>
                <w:color w:val="auto"/>
              </w:rPr>
              <w:t>Market</w:t>
            </w:r>
          </w:p>
        </w:tc>
        <w:tc>
          <w:tcPr>
            <w:tcW w:w="120" w:type="dxa"/>
            <w:vAlign w:val="bottom"/>
          </w:tcPr>
          <w:p>
            <w:pPr>
              <w:spacing w:after="0"/>
              <w:rPr>
                <w:sz w:val="20"/>
                <w:szCs w:val="20"/>
                <w:color w:val="auto"/>
              </w:rPr>
            </w:pPr>
          </w:p>
        </w:tc>
        <w:tc>
          <w:tcPr>
            <w:tcW w:w="1700" w:type="dxa"/>
            <w:vAlign w:val="bottom"/>
            <w:tcBorders>
              <w:right w:val="single" w:sz="8" w:color="231F20"/>
            </w:tcBorders>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Borders>
              <w:right w:val="single" w:sz="8" w:color="231F20"/>
            </w:tcBorders>
          </w:tcPr>
          <w:p>
            <w:pPr>
              <w:jc w:val="center"/>
              <w:ind w:right="213"/>
              <w:spacing w:after="0"/>
              <w:rPr>
                <w:sz w:val="20"/>
                <w:szCs w:val="20"/>
                <w:color w:val="auto"/>
              </w:rPr>
            </w:pPr>
            <w:r>
              <w:rPr>
                <w:rFonts w:ascii="Arial" w:cs="Arial" w:eastAsia="Arial" w:hAnsi="Arial"/>
                <w:sz w:val="17"/>
                <w:szCs w:val="17"/>
                <w:b w:val="1"/>
                <w:bCs w:val="1"/>
                <w:color w:val="auto"/>
              </w:rPr>
              <w:t>Market</w:t>
            </w:r>
          </w:p>
        </w:tc>
        <w:tc>
          <w:tcPr>
            <w:tcW w:w="0" w:type="dxa"/>
            <w:vAlign w:val="bottom"/>
          </w:tcPr>
          <w:p>
            <w:pPr>
              <w:spacing w:after="0"/>
              <w:rPr>
                <w:sz w:val="1"/>
                <w:szCs w:val="1"/>
                <w:color w:val="auto"/>
              </w:rPr>
            </w:pPr>
          </w:p>
        </w:tc>
      </w:tr>
      <w:tr>
        <w:trPr>
          <w:trHeight w:val="307"/>
        </w:trPr>
        <w:tc>
          <w:tcPr>
            <w:tcW w:w="1700" w:type="dxa"/>
            <w:vAlign w:val="bottom"/>
            <w:tcBorders>
              <w:left w:val="single" w:sz="8" w:color="231F20"/>
              <w:bottom w:val="single" w:sz="8" w:color="auto"/>
              <w:right w:val="single" w:sz="8" w:color="231F20"/>
            </w:tcBorders>
          </w:tcPr>
          <w:p>
            <w:pPr>
              <w:ind w:left="600"/>
              <w:spacing w:after="0"/>
              <w:rPr>
                <w:sz w:val="20"/>
                <w:szCs w:val="20"/>
                <w:color w:val="auto"/>
              </w:rPr>
            </w:pPr>
            <w:r>
              <w:rPr>
                <w:rFonts w:ascii="Arial" w:cs="Arial" w:eastAsia="Arial" w:hAnsi="Arial"/>
                <w:sz w:val="17"/>
                <w:szCs w:val="17"/>
                <w:b w:val="1"/>
                <w:bCs w:val="1"/>
                <w:color w:val="auto"/>
              </w:rPr>
              <w:t>Number</w:t>
            </w:r>
          </w:p>
        </w:tc>
        <w:tc>
          <w:tcPr>
            <w:tcW w:w="60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231F20"/>
            </w:tcBorders>
            <w:gridSpan w:val="2"/>
          </w:tcPr>
          <w:p>
            <w:pPr>
              <w:jc w:val="center"/>
              <w:ind w:right="424"/>
              <w:spacing w:after="0"/>
              <w:rPr>
                <w:sz w:val="20"/>
                <w:szCs w:val="20"/>
                <w:color w:val="auto"/>
              </w:rPr>
            </w:pPr>
            <w:r>
              <w:rPr>
                <w:rFonts w:ascii="Arial" w:cs="Arial" w:eastAsia="Arial" w:hAnsi="Arial"/>
                <w:sz w:val="17"/>
                <w:szCs w:val="17"/>
                <w:b w:val="1"/>
                <w:bCs w:val="1"/>
                <w:color w:val="auto"/>
                <w:w w:val="90"/>
              </w:rPr>
              <w:t>Value</w:t>
            </w:r>
            <w:r>
              <w:rPr>
                <w:rFonts w:ascii="Arial" w:cs="Arial" w:eastAsia="Arial" w:hAnsi="Arial"/>
                <w:sz w:val="26"/>
                <w:szCs w:val="26"/>
                <w:b w:val="1"/>
                <w:bCs w:val="1"/>
                <w:color w:val="auto"/>
                <w:w w:val="90"/>
                <w:vertAlign w:val="superscript"/>
              </w:rPr>
              <w:t>(1)</w:t>
            </w:r>
          </w:p>
        </w:tc>
        <w:tc>
          <w:tcPr>
            <w:tcW w:w="60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231F20"/>
            </w:tcBorders>
            <w:gridSpan w:val="2"/>
          </w:tcPr>
          <w:p>
            <w:pPr>
              <w:jc w:val="center"/>
              <w:ind w:right="464"/>
              <w:spacing w:after="0"/>
              <w:rPr>
                <w:sz w:val="20"/>
                <w:szCs w:val="20"/>
                <w:color w:val="auto"/>
              </w:rPr>
            </w:pPr>
            <w:r>
              <w:rPr>
                <w:rFonts w:ascii="Arial" w:cs="Arial" w:eastAsia="Arial" w:hAnsi="Arial"/>
                <w:sz w:val="17"/>
                <w:szCs w:val="17"/>
                <w:b w:val="1"/>
                <w:bCs w:val="1"/>
                <w:color w:val="auto"/>
              </w:rPr>
              <w:t>Number</w:t>
            </w:r>
          </w:p>
        </w:tc>
        <w:tc>
          <w:tcPr>
            <w:tcW w:w="1820" w:type="dxa"/>
            <w:vAlign w:val="bottom"/>
            <w:tcBorders>
              <w:bottom w:val="single" w:sz="8" w:color="auto"/>
              <w:right w:val="single" w:sz="8" w:color="231F20"/>
            </w:tcBorders>
          </w:tcPr>
          <w:p>
            <w:pPr>
              <w:jc w:val="center"/>
              <w:spacing w:after="0"/>
              <w:rPr>
                <w:sz w:val="20"/>
                <w:szCs w:val="20"/>
                <w:color w:val="auto"/>
              </w:rPr>
            </w:pPr>
            <w:r>
              <w:rPr>
                <w:rFonts w:ascii="Arial" w:cs="Arial" w:eastAsia="Arial" w:hAnsi="Arial"/>
                <w:sz w:val="17"/>
                <w:szCs w:val="17"/>
                <w:b w:val="1"/>
                <w:bCs w:val="1"/>
                <w:color w:val="auto"/>
                <w:w w:val="90"/>
              </w:rPr>
              <w:t>Value</w:t>
            </w:r>
            <w:r>
              <w:rPr>
                <w:rFonts w:ascii="Arial" w:cs="Arial" w:eastAsia="Arial" w:hAnsi="Arial"/>
                <w:sz w:val="26"/>
                <w:szCs w:val="26"/>
                <w:b w:val="1"/>
                <w:bCs w:val="1"/>
                <w:color w:val="auto"/>
                <w:w w:val="90"/>
                <w:vertAlign w:val="superscript"/>
              </w:rPr>
              <w:t>(1)</w:t>
            </w: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231F20"/>
            </w:tcBorders>
          </w:tcPr>
          <w:p>
            <w:pPr>
              <w:ind w:left="500"/>
              <w:spacing w:after="0"/>
              <w:rPr>
                <w:sz w:val="20"/>
                <w:szCs w:val="20"/>
                <w:color w:val="auto"/>
              </w:rPr>
            </w:pPr>
            <w:r>
              <w:rPr>
                <w:rFonts w:ascii="Arial" w:cs="Arial" w:eastAsia="Arial" w:hAnsi="Arial"/>
                <w:sz w:val="17"/>
                <w:szCs w:val="17"/>
                <w:b w:val="1"/>
                <w:bCs w:val="1"/>
                <w:color w:val="auto"/>
              </w:rPr>
              <w:t>Number</w:t>
            </w:r>
          </w:p>
        </w:tc>
        <w:tc>
          <w:tcPr>
            <w:tcW w:w="36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231F20"/>
            </w:tcBorders>
          </w:tcPr>
          <w:p>
            <w:pPr>
              <w:jc w:val="center"/>
              <w:ind w:right="233"/>
              <w:spacing w:after="0"/>
              <w:rPr>
                <w:sz w:val="20"/>
                <w:szCs w:val="20"/>
                <w:color w:val="auto"/>
              </w:rPr>
            </w:pPr>
            <w:r>
              <w:rPr>
                <w:rFonts w:ascii="Arial" w:cs="Arial" w:eastAsia="Arial" w:hAnsi="Arial"/>
                <w:sz w:val="17"/>
                <w:szCs w:val="17"/>
                <w:b w:val="1"/>
                <w:bCs w:val="1"/>
                <w:color w:val="auto"/>
                <w:w w:val="93"/>
              </w:rPr>
              <w:t>Value</w:t>
            </w:r>
            <w:r>
              <w:rPr>
                <w:rFonts w:ascii="Arial" w:cs="Arial" w:eastAsia="Arial" w:hAnsi="Arial"/>
                <w:sz w:val="26"/>
                <w:szCs w:val="26"/>
                <w:b w:val="1"/>
                <w:bCs w:val="1"/>
                <w:color w:val="auto"/>
                <w:w w:val="93"/>
                <w:vertAlign w:val="superscript"/>
              </w:rPr>
              <w:t>(1)</w:t>
            </w:r>
          </w:p>
        </w:tc>
        <w:tc>
          <w:tcPr>
            <w:tcW w:w="0" w:type="dxa"/>
            <w:vAlign w:val="bottom"/>
          </w:tcPr>
          <w:p>
            <w:pPr>
              <w:spacing w:after="0"/>
              <w:rPr>
                <w:sz w:val="1"/>
                <w:szCs w:val="1"/>
                <w:color w:val="auto"/>
              </w:rPr>
            </w:pPr>
          </w:p>
        </w:tc>
      </w:tr>
      <w:tr>
        <w:trPr>
          <w:trHeight w:val="272"/>
        </w:trPr>
        <w:tc>
          <w:tcPr>
            <w:tcW w:w="1700" w:type="dxa"/>
            <w:vAlign w:val="bottom"/>
            <w:tcBorders>
              <w:left w:val="single" w:sz="8" w:color="231F20"/>
              <w:right w:val="single" w:sz="8" w:color="231F20"/>
            </w:tcBorders>
          </w:tcPr>
          <w:p>
            <w:pPr>
              <w:ind w:left="600"/>
              <w:spacing w:after="0"/>
              <w:rPr>
                <w:sz w:val="20"/>
                <w:szCs w:val="20"/>
                <w:color w:val="auto"/>
              </w:rPr>
            </w:pPr>
            <w:r>
              <w:rPr>
                <w:rFonts w:ascii="Arial" w:cs="Arial" w:eastAsia="Arial" w:hAnsi="Arial"/>
                <w:sz w:val="17"/>
                <w:szCs w:val="17"/>
                <w:color w:val="auto"/>
              </w:rPr>
              <w:t>130,696</w:t>
            </w:r>
          </w:p>
        </w:tc>
        <w:tc>
          <w:tcPr>
            <w:tcW w:w="600" w:type="dxa"/>
            <w:vAlign w:val="bottom"/>
          </w:tcPr>
          <w:p>
            <w:pPr>
              <w:spacing w:after="0"/>
              <w:rPr>
                <w:sz w:val="23"/>
                <w:szCs w:val="23"/>
                <w:color w:val="auto"/>
              </w:rPr>
            </w:pPr>
          </w:p>
        </w:tc>
        <w:tc>
          <w:tcPr>
            <w:tcW w:w="1240" w:type="dxa"/>
            <w:vAlign w:val="bottom"/>
            <w:tcBorders>
              <w:right w:val="single" w:sz="8" w:color="231F20"/>
            </w:tcBorders>
            <w:gridSpan w:val="2"/>
          </w:tcPr>
          <w:p>
            <w:pPr>
              <w:jc w:val="center"/>
              <w:ind w:right="424"/>
              <w:spacing w:after="0"/>
              <w:rPr>
                <w:sz w:val="20"/>
                <w:szCs w:val="20"/>
                <w:color w:val="auto"/>
              </w:rPr>
            </w:pPr>
            <w:r>
              <w:rPr>
                <w:rFonts w:ascii="Arial" w:cs="Arial" w:eastAsia="Arial" w:hAnsi="Arial"/>
                <w:sz w:val="17"/>
                <w:szCs w:val="17"/>
                <w:color w:val="auto"/>
              </w:rPr>
              <w:t>$832,534</w:t>
            </w:r>
          </w:p>
        </w:tc>
        <w:tc>
          <w:tcPr>
            <w:tcW w:w="600" w:type="dxa"/>
            <w:vAlign w:val="bottom"/>
          </w:tcPr>
          <w:p>
            <w:pPr>
              <w:spacing w:after="0"/>
              <w:rPr>
                <w:sz w:val="23"/>
                <w:szCs w:val="23"/>
                <w:color w:val="auto"/>
              </w:rPr>
            </w:pPr>
          </w:p>
        </w:tc>
        <w:tc>
          <w:tcPr>
            <w:tcW w:w="800" w:type="dxa"/>
            <w:vAlign w:val="bottom"/>
          </w:tcPr>
          <w:p>
            <w:pPr>
              <w:jc w:val="right"/>
              <w:ind w:right="113"/>
              <w:spacing w:after="0"/>
              <w:rPr>
                <w:sz w:val="20"/>
                <w:szCs w:val="20"/>
                <w:color w:val="auto"/>
              </w:rPr>
            </w:pPr>
            <w:r>
              <w:rPr>
                <w:rFonts w:ascii="Arial" w:cs="Arial" w:eastAsia="Arial" w:hAnsi="Arial"/>
                <w:sz w:val="17"/>
                <w:szCs w:val="17"/>
                <w:color w:val="auto"/>
              </w:rPr>
              <w:t>30,207</w:t>
            </w:r>
          </w:p>
        </w:tc>
        <w:tc>
          <w:tcPr>
            <w:tcW w:w="420" w:type="dxa"/>
            <w:vAlign w:val="bottom"/>
            <w:tcBorders>
              <w:right w:val="single" w:sz="8" w:color="231F20"/>
            </w:tcBorders>
          </w:tcPr>
          <w:p>
            <w:pPr>
              <w:spacing w:after="0"/>
              <w:rPr>
                <w:sz w:val="23"/>
                <w:szCs w:val="23"/>
                <w:color w:val="auto"/>
              </w:rPr>
            </w:pPr>
          </w:p>
        </w:tc>
        <w:tc>
          <w:tcPr>
            <w:tcW w:w="1820" w:type="dxa"/>
            <w:vAlign w:val="bottom"/>
            <w:tcBorders>
              <w:right w:val="single" w:sz="8" w:color="231F20"/>
            </w:tcBorders>
          </w:tcPr>
          <w:p>
            <w:pPr>
              <w:jc w:val="center"/>
              <w:spacing w:after="0"/>
              <w:rPr>
                <w:sz w:val="20"/>
                <w:szCs w:val="20"/>
                <w:color w:val="auto"/>
              </w:rPr>
            </w:pPr>
            <w:r>
              <w:rPr>
                <w:rFonts w:ascii="Arial" w:cs="Arial" w:eastAsia="Arial" w:hAnsi="Arial"/>
                <w:sz w:val="17"/>
                <w:szCs w:val="17"/>
                <w:color w:val="auto"/>
              </w:rPr>
              <w:t>$192,419</w:t>
            </w:r>
          </w:p>
        </w:tc>
        <w:tc>
          <w:tcPr>
            <w:tcW w:w="120" w:type="dxa"/>
            <w:vAlign w:val="bottom"/>
          </w:tcPr>
          <w:p>
            <w:pPr>
              <w:spacing w:after="0"/>
              <w:rPr>
                <w:sz w:val="23"/>
                <w:szCs w:val="23"/>
                <w:color w:val="auto"/>
              </w:rPr>
            </w:pPr>
          </w:p>
        </w:tc>
        <w:tc>
          <w:tcPr>
            <w:tcW w:w="1700" w:type="dxa"/>
            <w:vAlign w:val="bottom"/>
            <w:tcBorders>
              <w:right w:val="single" w:sz="8" w:color="231F20"/>
            </w:tcBorders>
          </w:tcPr>
          <w:p>
            <w:pPr>
              <w:ind w:left="500"/>
              <w:spacing w:after="0"/>
              <w:rPr>
                <w:sz w:val="20"/>
                <w:szCs w:val="20"/>
                <w:color w:val="auto"/>
              </w:rPr>
            </w:pPr>
            <w:r>
              <w:rPr>
                <w:rFonts w:ascii="Arial" w:cs="Arial" w:eastAsia="Arial" w:hAnsi="Arial"/>
                <w:sz w:val="17"/>
                <w:szCs w:val="17"/>
                <w:color w:val="auto"/>
              </w:rPr>
              <w:t>160,903</w:t>
            </w:r>
          </w:p>
        </w:tc>
        <w:tc>
          <w:tcPr>
            <w:tcW w:w="360" w:type="dxa"/>
            <w:vAlign w:val="bottom"/>
          </w:tcPr>
          <w:p>
            <w:pPr>
              <w:spacing w:after="0"/>
              <w:rPr>
                <w:sz w:val="23"/>
                <w:szCs w:val="23"/>
                <w:color w:val="auto"/>
              </w:rPr>
            </w:pPr>
          </w:p>
        </w:tc>
        <w:tc>
          <w:tcPr>
            <w:tcW w:w="1340" w:type="dxa"/>
            <w:vAlign w:val="bottom"/>
            <w:tcBorders>
              <w:right w:val="single" w:sz="8" w:color="231F20"/>
            </w:tcBorders>
          </w:tcPr>
          <w:p>
            <w:pPr>
              <w:jc w:val="center"/>
              <w:ind w:right="233"/>
              <w:spacing w:after="0"/>
              <w:rPr>
                <w:sz w:val="20"/>
                <w:szCs w:val="20"/>
                <w:color w:val="auto"/>
              </w:rPr>
            </w:pPr>
            <w:r>
              <w:rPr>
                <w:rFonts w:ascii="Arial" w:cs="Arial" w:eastAsia="Arial" w:hAnsi="Arial"/>
                <w:sz w:val="17"/>
                <w:szCs w:val="17"/>
                <w:color w:val="auto"/>
              </w:rPr>
              <w:t>$1,024,952</w:t>
            </w:r>
          </w:p>
        </w:tc>
        <w:tc>
          <w:tcPr>
            <w:tcW w:w="0" w:type="dxa"/>
            <w:vAlign w:val="bottom"/>
          </w:tcPr>
          <w:p>
            <w:pPr>
              <w:spacing w:after="0"/>
              <w:rPr>
                <w:sz w:val="1"/>
                <w:szCs w:val="1"/>
                <w:color w:val="auto"/>
              </w:rPr>
            </w:pPr>
          </w:p>
        </w:tc>
      </w:tr>
      <w:tr>
        <w:trPr>
          <w:trHeight w:val="62"/>
        </w:trPr>
        <w:tc>
          <w:tcPr>
            <w:tcW w:w="1700" w:type="dxa"/>
            <w:vAlign w:val="bottom"/>
            <w:tcBorders>
              <w:left w:val="single" w:sz="8" w:color="231F20"/>
              <w:bottom w:val="single" w:sz="8" w:color="231F20"/>
              <w:right w:val="single" w:sz="8" w:color="231F20"/>
            </w:tcBorders>
          </w:tcPr>
          <w:p>
            <w:pPr>
              <w:spacing w:after="0"/>
              <w:rPr>
                <w:sz w:val="5"/>
                <w:szCs w:val="5"/>
                <w:color w:val="auto"/>
              </w:rPr>
            </w:pPr>
          </w:p>
        </w:tc>
        <w:tc>
          <w:tcPr>
            <w:tcW w:w="600" w:type="dxa"/>
            <w:vAlign w:val="bottom"/>
            <w:tcBorders>
              <w:bottom w:val="single" w:sz="8" w:color="231F20"/>
            </w:tcBorders>
          </w:tcPr>
          <w:p>
            <w:pPr>
              <w:spacing w:after="0"/>
              <w:rPr>
                <w:sz w:val="5"/>
                <w:szCs w:val="5"/>
                <w:color w:val="auto"/>
              </w:rPr>
            </w:pPr>
          </w:p>
        </w:tc>
        <w:tc>
          <w:tcPr>
            <w:tcW w:w="720" w:type="dxa"/>
            <w:vAlign w:val="bottom"/>
            <w:tcBorders>
              <w:bottom w:val="single" w:sz="8" w:color="231F20"/>
            </w:tcBorders>
          </w:tcPr>
          <w:p>
            <w:pPr>
              <w:spacing w:after="0"/>
              <w:rPr>
                <w:sz w:val="5"/>
                <w:szCs w:val="5"/>
                <w:color w:val="auto"/>
              </w:rPr>
            </w:pPr>
          </w:p>
        </w:tc>
        <w:tc>
          <w:tcPr>
            <w:tcW w:w="520" w:type="dxa"/>
            <w:vAlign w:val="bottom"/>
            <w:tcBorders>
              <w:bottom w:val="single" w:sz="8" w:color="231F20"/>
              <w:right w:val="single" w:sz="8" w:color="231F20"/>
            </w:tcBorders>
          </w:tcPr>
          <w:p>
            <w:pPr>
              <w:spacing w:after="0"/>
              <w:rPr>
                <w:sz w:val="5"/>
                <w:szCs w:val="5"/>
                <w:color w:val="auto"/>
              </w:rPr>
            </w:pPr>
          </w:p>
        </w:tc>
        <w:tc>
          <w:tcPr>
            <w:tcW w:w="600" w:type="dxa"/>
            <w:vAlign w:val="bottom"/>
            <w:tcBorders>
              <w:bottom w:val="single" w:sz="8" w:color="231F20"/>
            </w:tcBorders>
          </w:tcPr>
          <w:p>
            <w:pPr>
              <w:spacing w:after="0"/>
              <w:rPr>
                <w:sz w:val="5"/>
                <w:szCs w:val="5"/>
                <w:color w:val="auto"/>
              </w:rPr>
            </w:pPr>
          </w:p>
        </w:tc>
        <w:tc>
          <w:tcPr>
            <w:tcW w:w="800" w:type="dxa"/>
            <w:vAlign w:val="bottom"/>
            <w:tcBorders>
              <w:bottom w:val="single" w:sz="8" w:color="231F20"/>
            </w:tcBorders>
          </w:tcPr>
          <w:p>
            <w:pPr>
              <w:spacing w:after="0"/>
              <w:rPr>
                <w:sz w:val="5"/>
                <w:szCs w:val="5"/>
                <w:color w:val="auto"/>
              </w:rPr>
            </w:pPr>
          </w:p>
        </w:tc>
        <w:tc>
          <w:tcPr>
            <w:tcW w:w="420" w:type="dxa"/>
            <w:vAlign w:val="bottom"/>
            <w:tcBorders>
              <w:bottom w:val="single" w:sz="8" w:color="231F20"/>
              <w:right w:val="single" w:sz="8" w:color="231F20"/>
            </w:tcBorders>
          </w:tcPr>
          <w:p>
            <w:pPr>
              <w:spacing w:after="0"/>
              <w:rPr>
                <w:sz w:val="5"/>
                <w:szCs w:val="5"/>
                <w:color w:val="auto"/>
              </w:rPr>
            </w:pPr>
          </w:p>
        </w:tc>
        <w:tc>
          <w:tcPr>
            <w:tcW w:w="1820" w:type="dxa"/>
            <w:vAlign w:val="bottom"/>
            <w:tcBorders>
              <w:bottom w:val="single" w:sz="8" w:color="231F20"/>
              <w:right w:val="single" w:sz="8" w:color="231F20"/>
            </w:tcBorders>
          </w:tcPr>
          <w:p>
            <w:pPr>
              <w:spacing w:after="0"/>
              <w:rPr>
                <w:sz w:val="5"/>
                <w:szCs w:val="5"/>
                <w:color w:val="auto"/>
              </w:rPr>
            </w:pPr>
          </w:p>
        </w:tc>
        <w:tc>
          <w:tcPr>
            <w:tcW w:w="120" w:type="dxa"/>
            <w:vAlign w:val="bottom"/>
            <w:tcBorders>
              <w:bottom w:val="single" w:sz="8" w:color="231F20"/>
            </w:tcBorders>
          </w:tcPr>
          <w:p>
            <w:pPr>
              <w:spacing w:after="0"/>
              <w:rPr>
                <w:sz w:val="5"/>
                <w:szCs w:val="5"/>
                <w:color w:val="auto"/>
              </w:rPr>
            </w:pPr>
          </w:p>
        </w:tc>
        <w:tc>
          <w:tcPr>
            <w:tcW w:w="1700" w:type="dxa"/>
            <w:vAlign w:val="bottom"/>
            <w:tcBorders>
              <w:bottom w:val="single" w:sz="8" w:color="231F20"/>
              <w:right w:val="single" w:sz="8" w:color="231F20"/>
            </w:tcBorders>
          </w:tcPr>
          <w:p>
            <w:pPr>
              <w:spacing w:after="0"/>
              <w:rPr>
                <w:sz w:val="5"/>
                <w:szCs w:val="5"/>
                <w:color w:val="auto"/>
              </w:rPr>
            </w:pPr>
          </w:p>
        </w:tc>
        <w:tc>
          <w:tcPr>
            <w:tcW w:w="360" w:type="dxa"/>
            <w:vAlign w:val="bottom"/>
            <w:tcBorders>
              <w:bottom w:val="single" w:sz="8" w:color="231F20"/>
            </w:tcBorders>
          </w:tcPr>
          <w:p>
            <w:pPr>
              <w:spacing w:after="0"/>
              <w:rPr>
                <w:sz w:val="5"/>
                <w:szCs w:val="5"/>
                <w:color w:val="auto"/>
              </w:rPr>
            </w:pPr>
          </w:p>
        </w:tc>
        <w:tc>
          <w:tcPr>
            <w:tcW w:w="13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-5247640</wp:posOffset>
            </wp:positionV>
            <wp:extent cx="1605280" cy="20046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05280" cy="200469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700"/>
          </w:cols>
          <w:pgMar w:left="600" w:top="264" w:right="599" w:bottom="1440" w:gutter="0" w:footer="0" w:header="0"/>
        </w:sectPr>
      </w:pPr>
    </w:p>
    <w:bookmarkStart w:id="31" w:name="page32"/>
    <w:bookmarkEnd w:id="31"/>
    <w:tbl>
      <w:tblPr>
        <w:tblLayout w:type="fixed"/>
        <w:tblInd w:w="10" w:type="dxa"/>
        <w:tblCellMar>
          <w:top w:w="0" w:type="dxa"/>
          <w:left w:w="0" w:type="dxa"/>
          <w:bottom w:w="0" w:type="dxa"/>
          <w:right w:w="0" w:type="dxa"/>
        </w:tblCellMar>
      </w:tblPr>
      <w:tr>
        <w:trPr>
          <w:trHeight w:val="314"/>
        </w:trPr>
        <w:tc>
          <w:tcPr>
            <w:tcW w:w="2280" w:type="dxa"/>
            <w:vAlign w:val="bottom"/>
            <w:tcBorders>
              <w:top w:val="single" w:sz="8" w:color="231F20"/>
              <w:left w:val="single" w:sz="8" w:color="231F20"/>
            </w:tcBorders>
            <w:gridSpan w:val="3"/>
          </w:tcPr>
          <w:p>
            <w:pPr>
              <w:ind w:left="800"/>
              <w:spacing w:after="0"/>
              <w:rPr>
                <w:sz w:val="20"/>
                <w:szCs w:val="20"/>
                <w:color w:val="auto"/>
              </w:rPr>
            </w:pPr>
            <w:r>
              <w:rPr>
                <w:rFonts w:ascii="Arial" w:cs="Arial" w:eastAsia="Arial" w:hAnsi="Arial"/>
                <w:sz w:val="17"/>
                <w:szCs w:val="17"/>
                <w:b w:val="1"/>
                <w:bCs w:val="1"/>
                <w:color w:val="auto"/>
              </w:rPr>
              <w:t>RAJAT MARWAH</w:t>
            </w:r>
          </w:p>
        </w:tc>
        <w:tc>
          <w:tcPr>
            <w:tcW w:w="600" w:type="dxa"/>
            <w:vAlign w:val="bottom"/>
            <w:tcBorders>
              <w:top w:val="single" w:sz="8" w:color="231F20"/>
              <w:right w:val="single" w:sz="8" w:color="auto"/>
            </w:tcBorders>
          </w:tcPr>
          <w:p>
            <w:pPr>
              <w:spacing w:after="0"/>
              <w:rPr>
                <w:sz w:val="24"/>
                <w:szCs w:val="24"/>
                <w:color w:val="auto"/>
              </w:rPr>
            </w:pPr>
          </w:p>
        </w:tc>
        <w:tc>
          <w:tcPr>
            <w:tcW w:w="460" w:type="dxa"/>
            <w:vAlign w:val="bottom"/>
            <w:tcBorders>
              <w:top w:val="single" w:sz="8" w:color="231F20"/>
              <w:bottom w:val="single" w:sz="8" w:color="003445"/>
              <w:right w:val="single" w:sz="8" w:color="003445"/>
            </w:tcBorders>
            <w:shd w:val="clear" w:color="auto" w:fill="003445"/>
          </w:tcPr>
          <w:p>
            <w:pPr>
              <w:spacing w:after="0"/>
              <w:rPr>
                <w:sz w:val="24"/>
                <w:szCs w:val="24"/>
                <w:color w:val="auto"/>
              </w:rPr>
            </w:pPr>
          </w:p>
        </w:tc>
        <w:tc>
          <w:tcPr>
            <w:tcW w:w="160" w:type="dxa"/>
            <w:vAlign w:val="bottom"/>
            <w:tcBorders>
              <w:top w:val="single" w:sz="8" w:color="231F20"/>
              <w:bottom w:val="single" w:sz="8" w:color="003445"/>
            </w:tcBorders>
            <w:shd w:val="clear" w:color="auto" w:fill="003445"/>
          </w:tcPr>
          <w:p>
            <w:pPr>
              <w:spacing w:after="0"/>
              <w:rPr>
                <w:sz w:val="24"/>
                <w:szCs w:val="24"/>
                <w:color w:val="auto"/>
              </w:rPr>
            </w:pPr>
          </w:p>
        </w:tc>
        <w:tc>
          <w:tcPr>
            <w:tcW w:w="900" w:type="dxa"/>
            <w:vAlign w:val="bottom"/>
            <w:tcBorders>
              <w:top w:val="single" w:sz="8" w:color="231F20"/>
              <w:bottom w:val="single" w:sz="8" w:color="003445"/>
              <w:right w:val="single" w:sz="8" w:color="003445"/>
            </w:tcBorders>
            <w:shd w:val="clear" w:color="auto" w:fill="003445"/>
          </w:tcPr>
          <w:p>
            <w:pPr>
              <w:spacing w:after="0"/>
              <w:rPr>
                <w:sz w:val="24"/>
                <w:szCs w:val="24"/>
                <w:color w:val="auto"/>
              </w:rPr>
            </w:pPr>
          </w:p>
        </w:tc>
        <w:tc>
          <w:tcPr>
            <w:tcW w:w="5520" w:type="dxa"/>
            <w:vAlign w:val="bottom"/>
            <w:tcBorders>
              <w:top w:val="single" w:sz="8" w:color="231F20"/>
              <w:bottom w:val="single" w:sz="8" w:color="003445"/>
            </w:tcBorders>
            <w:gridSpan w:val="11"/>
            <w:shd w:val="clear" w:color="auto" w:fill="003445"/>
          </w:tcPr>
          <w:p>
            <w:pPr>
              <w:jc w:val="center"/>
              <w:ind w:right="660"/>
              <w:spacing w:after="0"/>
              <w:rPr>
                <w:sz w:val="20"/>
                <w:szCs w:val="20"/>
                <w:color w:val="auto"/>
              </w:rPr>
            </w:pPr>
            <w:r>
              <w:rPr>
                <w:rFonts w:ascii="Arial" w:cs="Arial" w:eastAsia="Arial" w:hAnsi="Arial"/>
                <w:sz w:val="17"/>
                <w:szCs w:val="17"/>
                <w:b w:val="1"/>
                <w:bCs w:val="1"/>
                <w:color w:val="FFFFFF"/>
              </w:rPr>
              <w:t>Biographical Information and Principal Occupation</w:t>
            </w:r>
          </w:p>
        </w:tc>
        <w:tc>
          <w:tcPr>
            <w:tcW w:w="40" w:type="dxa"/>
            <w:vAlign w:val="bottom"/>
            <w:tcBorders>
              <w:top w:val="single" w:sz="8" w:color="231F20"/>
              <w:bottom w:val="single" w:sz="8" w:color="003445"/>
            </w:tcBorders>
            <w:shd w:val="clear" w:color="auto" w:fill="003445"/>
          </w:tcPr>
          <w:p>
            <w:pPr>
              <w:spacing w:after="0"/>
              <w:rPr>
                <w:sz w:val="24"/>
                <w:szCs w:val="24"/>
                <w:color w:val="auto"/>
              </w:rPr>
            </w:pPr>
          </w:p>
        </w:tc>
        <w:tc>
          <w:tcPr>
            <w:tcW w:w="740" w:type="dxa"/>
            <w:vAlign w:val="bottom"/>
            <w:tcBorders>
              <w:top w:val="single" w:sz="8" w:color="231F20"/>
              <w:bottom w:val="single" w:sz="8" w:color="003445"/>
              <w:right w:val="single" w:sz="8" w:color="231F20"/>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0" w:type="dxa"/>
            <w:vAlign w:val="bottom"/>
            <w:tcBorders>
              <w:top w:val="single" w:sz="8" w:color="231F20"/>
              <w:left w:val="single" w:sz="8" w:color="231F20"/>
            </w:tcBorders>
          </w:tcPr>
          <w:p>
            <w:pPr>
              <w:spacing w:after="0"/>
              <w:rPr>
                <w:sz w:val="20"/>
                <w:szCs w:val="20"/>
                <w:color w:val="auto"/>
              </w:rPr>
            </w:pPr>
          </w:p>
        </w:tc>
        <w:tc>
          <w:tcPr>
            <w:tcW w:w="200" w:type="dxa"/>
            <w:vAlign w:val="bottom"/>
            <w:tcBorders>
              <w:top w:val="single" w:sz="8" w:color="231F20"/>
            </w:tcBorders>
          </w:tcPr>
          <w:p>
            <w:pPr>
              <w:spacing w:after="0"/>
              <w:rPr>
                <w:sz w:val="20"/>
                <w:szCs w:val="20"/>
                <w:color w:val="auto"/>
              </w:rPr>
            </w:pPr>
          </w:p>
        </w:tc>
        <w:tc>
          <w:tcPr>
            <w:tcW w:w="1080" w:type="dxa"/>
            <w:vAlign w:val="bottom"/>
            <w:tcBorders>
              <w:top w:val="single" w:sz="8" w:color="231F20"/>
            </w:tcBorders>
          </w:tcPr>
          <w:p>
            <w:pPr>
              <w:spacing w:after="0"/>
              <w:rPr>
                <w:sz w:val="20"/>
                <w:szCs w:val="20"/>
                <w:color w:val="auto"/>
              </w:rPr>
            </w:pPr>
          </w:p>
        </w:tc>
        <w:tc>
          <w:tcPr>
            <w:tcW w:w="600" w:type="dxa"/>
            <w:vAlign w:val="bottom"/>
            <w:tcBorders>
              <w:top w:val="single" w:sz="8" w:color="231F20"/>
              <w:right w:val="single" w:sz="8" w:color="auto"/>
            </w:tcBorders>
          </w:tcPr>
          <w:p>
            <w:pPr>
              <w:spacing w:after="0"/>
              <w:rPr>
                <w:sz w:val="20"/>
                <w:szCs w:val="20"/>
                <w:color w:val="auto"/>
              </w:rPr>
            </w:pPr>
          </w:p>
        </w:tc>
        <w:tc>
          <w:tcPr>
            <w:tcW w:w="7080" w:type="dxa"/>
            <w:vAlign w:val="bottom"/>
            <w:tcBorders>
              <w:top w:val="single" w:sz="8" w:color="231F20"/>
            </w:tcBorders>
            <w:gridSpan w:val="15"/>
          </w:tcPr>
          <w:p>
            <w:pPr>
              <w:ind w:left="120"/>
              <w:spacing w:after="0"/>
              <w:rPr>
                <w:sz w:val="20"/>
                <w:szCs w:val="20"/>
                <w:color w:val="auto"/>
              </w:rPr>
            </w:pPr>
            <w:r>
              <w:rPr>
                <w:rFonts w:ascii="Arial" w:cs="Arial" w:eastAsia="Arial" w:hAnsi="Arial"/>
                <w:sz w:val="17"/>
                <w:szCs w:val="17"/>
                <w:color w:val="auto"/>
              </w:rPr>
              <w:t>Rajat Marwah joined Algoma Steel in 2008 as General Manager of Finance and Cost, with</w:t>
            </w:r>
          </w:p>
        </w:tc>
        <w:tc>
          <w:tcPr>
            <w:tcW w:w="740" w:type="dxa"/>
            <w:vAlign w:val="bottom"/>
            <w:tcBorders>
              <w:top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00" w:type="dxa"/>
            <w:vAlign w:val="bottom"/>
            <w:tcBorders>
              <w:left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16"/>
          </w:tcPr>
          <w:p>
            <w:pPr>
              <w:ind w:left="120"/>
              <w:spacing w:after="0"/>
              <w:rPr>
                <w:sz w:val="20"/>
                <w:szCs w:val="20"/>
                <w:color w:val="auto"/>
              </w:rPr>
            </w:pPr>
            <w:r>
              <w:rPr>
                <w:rFonts w:ascii="Arial" w:cs="Arial" w:eastAsia="Arial" w:hAnsi="Arial"/>
                <w:sz w:val="17"/>
                <w:szCs w:val="17"/>
                <w:color w:val="auto"/>
              </w:rPr>
              <w:t>accountability for credit, cost, budgeting, pricing, planning, and financial accounting. He was</w:t>
            </w:r>
          </w:p>
        </w:tc>
        <w:tc>
          <w:tcPr>
            <w:tcW w:w="0" w:type="dxa"/>
            <w:vAlign w:val="bottom"/>
          </w:tcPr>
          <w:p>
            <w:pPr>
              <w:spacing w:after="0"/>
              <w:rPr>
                <w:sz w:val="1"/>
                <w:szCs w:val="1"/>
                <w:color w:val="auto"/>
              </w:rPr>
            </w:pPr>
          </w:p>
        </w:tc>
      </w:tr>
      <w:tr>
        <w:trPr>
          <w:trHeight w:val="230"/>
        </w:trPr>
        <w:tc>
          <w:tcPr>
            <w:tcW w:w="1000" w:type="dxa"/>
            <w:vAlign w:val="bottom"/>
            <w:tcBorders>
              <w:left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7040" w:type="dxa"/>
            <w:vAlign w:val="bottom"/>
            <w:gridSpan w:val="14"/>
          </w:tcPr>
          <w:p>
            <w:pPr>
              <w:ind w:left="120"/>
              <w:spacing w:after="0"/>
              <w:rPr>
                <w:sz w:val="20"/>
                <w:szCs w:val="20"/>
                <w:color w:val="auto"/>
              </w:rPr>
            </w:pPr>
            <w:r>
              <w:rPr>
                <w:rFonts w:ascii="Arial" w:cs="Arial" w:eastAsia="Arial" w:hAnsi="Arial"/>
                <w:sz w:val="17"/>
                <w:szCs w:val="17"/>
                <w:color w:val="auto"/>
              </w:rPr>
              <w:t>appointed Vice President of Finance in 2012 and became Chief Financial Officer in 2014.</w:t>
            </w:r>
          </w:p>
        </w:tc>
        <w:tc>
          <w:tcPr>
            <w:tcW w:w="40" w:type="dxa"/>
            <w:vAlign w:val="bottom"/>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000" w:type="dxa"/>
            <w:vAlign w:val="bottom"/>
            <w:tcBorders>
              <w:left w:val="single" w:sz="8" w:color="231F20"/>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820" w:type="dxa"/>
            <w:vAlign w:val="bottom"/>
            <w:tcBorders>
              <w:right w:val="single" w:sz="8" w:color="231F20"/>
            </w:tcBorders>
            <w:gridSpan w:val="16"/>
          </w:tcPr>
          <w:p>
            <w:pPr>
              <w:ind w:left="120"/>
              <w:spacing w:after="0"/>
              <w:rPr>
                <w:sz w:val="20"/>
                <w:szCs w:val="20"/>
                <w:color w:val="auto"/>
              </w:rPr>
            </w:pPr>
            <w:r>
              <w:rPr>
                <w:rFonts w:ascii="Arial" w:cs="Arial" w:eastAsia="Arial" w:hAnsi="Arial"/>
                <w:sz w:val="17"/>
                <w:szCs w:val="17"/>
                <w:color w:val="auto"/>
              </w:rPr>
              <w:t>Effective January 1, 2026, Rajat was appointed Chief Executive Officer, responsible for leading</w:t>
            </w:r>
          </w:p>
        </w:tc>
        <w:tc>
          <w:tcPr>
            <w:tcW w:w="0" w:type="dxa"/>
            <w:vAlign w:val="bottom"/>
          </w:tcPr>
          <w:p>
            <w:pPr>
              <w:spacing w:after="0"/>
              <w:rPr>
                <w:sz w:val="1"/>
                <w:szCs w:val="1"/>
                <w:color w:val="auto"/>
              </w:rPr>
            </w:pPr>
          </w:p>
        </w:tc>
      </w:tr>
      <w:tr>
        <w:trPr>
          <w:trHeight w:val="196"/>
        </w:trPr>
        <w:tc>
          <w:tcPr>
            <w:tcW w:w="1000" w:type="dxa"/>
            <w:vAlign w:val="bottom"/>
            <w:tcBorders>
              <w:left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16"/>
          </w:tcPr>
          <w:p>
            <w:pPr>
              <w:ind w:left="120"/>
              <w:spacing w:after="0"/>
              <w:rPr>
                <w:sz w:val="20"/>
                <w:szCs w:val="20"/>
                <w:color w:val="auto"/>
              </w:rPr>
            </w:pPr>
            <w:r>
              <w:rPr>
                <w:rFonts w:ascii="Arial" w:cs="Arial" w:eastAsia="Arial" w:hAnsi="Arial"/>
                <w:sz w:val="17"/>
                <w:szCs w:val="17"/>
                <w:color w:val="auto"/>
              </w:rPr>
              <w:t>Algoma through its next chapter of transformation and growth as the company completes its</w:t>
            </w:r>
          </w:p>
        </w:tc>
        <w:tc>
          <w:tcPr>
            <w:tcW w:w="0" w:type="dxa"/>
            <w:vAlign w:val="bottom"/>
          </w:tcPr>
          <w:p>
            <w:pPr>
              <w:spacing w:after="0"/>
              <w:rPr>
                <w:sz w:val="1"/>
                <w:szCs w:val="1"/>
                <w:color w:val="auto"/>
              </w:rPr>
            </w:pPr>
          </w:p>
        </w:tc>
      </w:tr>
      <w:tr>
        <w:trPr>
          <w:trHeight w:val="196"/>
        </w:trPr>
        <w:tc>
          <w:tcPr>
            <w:tcW w:w="1000" w:type="dxa"/>
            <w:vAlign w:val="bottom"/>
            <w:tcBorders>
              <w:left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16"/>
          </w:tcPr>
          <w:p>
            <w:pPr>
              <w:ind w:left="120"/>
              <w:spacing w:after="0"/>
              <w:rPr>
                <w:sz w:val="20"/>
                <w:szCs w:val="20"/>
                <w:color w:val="auto"/>
              </w:rPr>
            </w:pPr>
            <w:r>
              <w:rPr>
                <w:rFonts w:ascii="Arial" w:cs="Arial" w:eastAsia="Arial" w:hAnsi="Arial"/>
                <w:sz w:val="17"/>
                <w:szCs w:val="17"/>
                <w:color w:val="auto"/>
              </w:rPr>
              <w:t>transition to Electric Arc Furnace (EAF) steelmaking and advances its position as a leading</w:t>
            </w:r>
          </w:p>
        </w:tc>
        <w:tc>
          <w:tcPr>
            <w:tcW w:w="0" w:type="dxa"/>
            <w:vAlign w:val="bottom"/>
          </w:tcPr>
          <w:p>
            <w:pPr>
              <w:spacing w:after="0"/>
              <w:rPr>
                <w:sz w:val="1"/>
                <w:szCs w:val="1"/>
                <w:color w:val="auto"/>
              </w:rPr>
            </w:pPr>
          </w:p>
        </w:tc>
      </w:tr>
      <w:tr>
        <w:trPr>
          <w:trHeight w:val="230"/>
        </w:trPr>
        <w:tc>
          <w:tcPr>
            <w:tcW w:w="1000" w:type="dxa"/>
            <w:vAlign w:val="bottom"/>
            <w:tcBorders>
              <w:left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3920" w:type="dxa"/>
            <w:vAlign w:val="bottom"/>
            <w:gridSpan w:val="8"/>
          </w:tcPr>
          <w:p>
            <w:pPr>
              <w:ind w:left="120"/>
              <w:spacing w:after="0"/>
              <w:rPr>
                <w:sz w:val="20"/>
                <w:szCs w:val="20"/>
                <w:color w:val="auto"/>
              </w:rPr>
            </w:pPr>
            <w:r>
              <w:rPr>
                <w:rFonts w:ascii="Arial" w:cs="Arial" w:eastAsia="Arial" w:hAnsi="Arial"/>
                <w:sz w:val="17"/>
                <w:szCs w:val="17"/>
                <w:color w:val="auto"/>
              </w:rPr>
              <w:t>producer of green Canadian steel.</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000" w:type="dxa"/>
            <w:vAlign w:val="bottom"/>
            <w:tcBorders>
              <w:left w:val="single" w:sz="8" w:color="231F20"/>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Borders>
              <w:right w:val="single" w:sz="8" w:color="auto"/>
            </w:tcBorders>
          </w:tcPr>
          <w:p>
            <w:pPr>
              <w:spacing w:after="0"/>
              <w:rPr>
                <w:sz w:val="24"/>
                <w:szCs w:val="24"/>
                <w:color w:val="auto"/>
              </w:rPr>
            </w:pPr>
          </w:p>
        </w:tc>
        <w:tc>
          <w:tcPr>
            <w:tcW w:w="7820" w:type="dxa"/>
            <w:vAlign w:val="bottom"/>
            <w:tcBorders>
              <w:right w:val="single" w:sz="8" w:color="231F20"/>
            </w:tcBorders>
            <w:gridSpan w:val="16"/>
          </w:tcPr>
          <w:p>
            <w:pPr>
              <w:ind w:left="120"/>
              <w:spacing w:after="0"/>
              <w:rPr>
                <w:sz w:val="20"/>
                <w:szCs w:val="20"/>
                <w:color w:val="auto"/>
              </w:rPr>
            </w:pPr>
            <w:r>
              <w:rPr>
                <w:rFonts w:ascii="Arial" w:cs="Arial" w:eastAsia="Arial" w:hAnsi="Arial"/>
                <w:sz w:val="17"/>
                <w:szCs w:val="17"/>
                <w:color w:val="auto"/>
              </w:rPr>
              <w:t>Throughout his tenure as CFO, Rajat has been responsible for all finance, procurement, business</w:t>
            </w:r>
          </w:p>
        </w:tc>
        <w:tc>
          <w:tcPr>
            <w:tcW w:w="0" w:type="dxa"/>
            <w:vAlign w:val="bottom"/>
          </w:tcPr>
          <w:p>
            <w:pPr>
              <w:spacing w:after="0"/>
              <w:rPr>
                <w:sz w:val="1"/>
                <w:szCs w:val="1"/>
                <w:color w:val="auto"/>
              </w:rPr>
            </w:pPr>
          </w:p>
        </w:tc>
      </w:tr>
      <w:tr>
        <w:trPr>
          <w:trHeight w:val="196"/>
        </w:trPr>
        <w:tc>
          <w:tcPr>
            <w:tcW w:w="1000" w:type="dxa"/>
            <w:vAlign w:val="bottom"/>
            <w:tcBorders>
              <w:left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16"/>
          </w:tcPr>
          <w:p>
            <w:pPr>
              <w:ind w:left="120"/>
              <w:spacing w:after="0"/>
              <w:rPr>
                <w:sz w:val="20"/>
                <w:szCs w:val="20"/>
                <w:color w:val="auto"/>
              </w:rPr>
            </w:pPr>
            <w:r>
              <w:rPr>
                <w:rFonts w:ascii="Arial" w:cs="Arial" w:eastAsia="Arial" w:hAnsi="Arial"/>
                <w:sz w:val="17"/>
                <w:szCs w:val="17"/>
                <w:color w:val="auto"/>
              </w:rPr>
              <w:t>planning, and information technology functions, while also serving as Algoma’s Chief Risk Officer.</w:t>
            </w:r>
          </w:p>
        </w:tc>
        <w:tc>
          <w:tcPr>
            <w:tcW w:w="0" w:type="dxa"/>
            <w:vAlign w:val="bottom"/>
          </w:tcPr>
          <w:p>
            <w:pPr>
              <w:spacing w:after="0"/>
              <w:rPr>
                <w:sz w:val="1"/>
                <w:szCs w:val="1"/>
                <w:color w:val="auto"/>
              </w:rPr>
            </w:pPr>
          </w:p>
        </w:tc>
      </w:tr>
      <w:tr>
        <w:trPr>
          <w:trHeight w:val="196"/>
        </w:trPr>
        <w:tc>
          <w:tcPr>
            <w:tcW w:w="1000" w:type="dxa"/>
            <w:vAlign w:val="bottom"/>
            <w:tcBorders>
              <w:left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16"/>
          </w:tcPr>
          <w:p>
            <w:pPr>
              <w:ind w:left="120"/>
              <w:spacing w:after="0"/>
              <w:rPr>
                <w:sz w:val="20"/>
                <w:szCs w:val="20"/>
                <w:color w:val="auto"/>
              </w:rPr>
            </w:pPr>
            <w:r>
              <w:rPr>
                <w:rFonts w:ascii="Arial" w:cs="Arial" w:eastAsia="Arial" w:hAnsi="Arial"/>
                <w:sz w:val="17"/>
                <w:szCs w:val="17"/>
                <w:color w:val="auto"/>
              </w:rPr>
              <w:t>He has played a pivotal role in strengthening the company’s financial performance, advancing</w:t>
            </w:r>
          </w:p>
        </w:tc>
        <w:tc>
          <w:tcPr>
            <w:tcW w:w="0" w:type="dxa"/>
            <w:vAlign w:val="bottom"/>
          </w:tcPr>
          <w:p>
            <w:pPr>
              <w:spacing w:after="0"/>
              <w:rPr>
                <w:sz w:val="1"/>
                <w:szCs w:val="1"/>
                <w:color w:val="auto"/>
              </w:rPr>
            </w:pPr>
          </w:p>
        </w:tc>
      </w:tr>
      <w:tr>
        <w:trPr>
          <w:trHeight w:val="196"/>
        </w:trPr>
        <w:tc>
          <w:tcPr>
            <w:tcW w:w="1000" w:type="dxa"/>
            <w:vAlign w:val="bottom"/>
            <w:tcBorders>
              <w:left w:val="single" w:sz="8" w:color="231F20"/>
            </w:tcBorders>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16"/>
          </w:tcPr>
          <w:p>
            <w:pPr>
              <w:ind w:left="120"/>
              <w:spacing w:after="0"/>
              <w:rPr>
                <w:sz w:val="20"/>
                <w:szCs w:val="20"/>
                <w:color w:val="auto"/>
              </w:rPr>
            </w:pPr>
            <w:r>
              <w:rPr>
                <w:rFonts w:ascii="Arial" w:cs="Arial" w:eastAsia="Arial" w:hAnsi="Arial"/>
                <w:sz w:val="17"/>
                <w:szCs w:val="17"/>
                <w:color w:val="auto"/>
              </w:rPr>
              <w:t>operational excellence, and supporting strategic initiatives that have positioned Algoma for long-</w:t>
            </w:r>
          </w:p>
        </w:tc>
        <w:tc>
          <w:tcPr>
            <w:tcW w:w="0" w:type="dxa"/>
            <w:vAlign w:val="bottom"/>
          </w:tcPr>
          <w:p>
            <w:pPr>
              <w:spacing w:after="0"/>
              <w:rPr>
                <w:sz w:val="1"/>
                <w:szCs w:val="1"/>
                <w:color w:val="auto"/>
              </w:rPr>
            </w:pPr>
          </w:p>
        </w:tc>
      </w:tr>
      <w:tr>
        <w:trPr>
          <w:trHeight w:val="230"/>
        </w:trPr>
        <w:tc>
          <w:tcPr>
            <w:tcW w:w="1000" w:type="dxa"/>
            <w:vAlign w:val="bottom"/>
            <w:tcBorders>
              <w:left w:val="single" w:sz="8" w:color="231F20"/>
            </w:tcBorders>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520" w:type="dxa"/>
            <w:vAlign w:val="bottom"/>
            <w:gridSpan w:val="3"/>
          </w:tcPr>
          <w:p>
            <w:pPr>
              <w:ind w:left="120"/>
              <w:spacing w:after="0"/>
              <w:rPr>
                <w:sz w:val="20"/>
                <w:szCs w:val="20"/>
                <w:color w:val="auto"/>
              </w:rPr>
            </w:pPr>
            <w:r>
              <w:rPr>
                <w:rFonts w:ascii="Arial" w:cs="Arial" w:eastAsia="Arial" w:hAnsi="Arial"/>
                <w:sz w:val="17"/>
                <w:szCs w:val="17"/>
                <w:color w:val="auto"/>
              </w:rPr>
              <w:t>term success.</w:t>
            </w: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1000" w:type="dxa"/>
            <w:vAlign w:val="bottom"/>
            <w:tcBorders>
              <w:left w:val="single" w:sz="8" w:color="231F20"/>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7820" w:type="dxa"/>
            <w:vAlign w:val="bottom"/>
            <w:tcBorders>
              <w:right w:val="single" w:sz="8" w:color="231F20"/>
            </w:tcBorders>
            <w:gridSpan w:val="16"/>
          </w:tcPr>
          <w:p>
            <w:pPr>
              <w:ind w:left="120"/>
              <w:spacing w:after="0"/>
              <w:rPr>
                <w:sz w:val="20"/>
                <w:szCs w:val="20"/>
                <w:color w:val="auto"/>
              </w:rPr>
            </w:pPr>
            <w:r>
              <w:rPr>
                <w:rFonts w:ascii="Arial" w:cs="Arial" w:eastAsia="Arial" w:hAnsi="Arial"/>
                <w:sz w:val="17"/>
                <w:szCs w:val="17"/>
                <w:color w:val="auto"/>
              </w:rPr>
              <w:t>Rajat is a Chartered Accountant who began his career with KPMG before joining ArcelorMittal,</w:t>
            </w:r>
          </w:p>
        </w:tc>
        <w:tc>
          <w:tcPr>
            <w:tcW w:w="0" w:type="dxa"/>
            <w:vAlign w:val="bottom"/>
          </w:tcPr>
          <w:p>
            <w:pPr>
              <w:spacing w:after="0"/>
              <w:rPr>
                <w:sz w:val="1"/>
                <w:szCs w:val="1"/>
                <w:color w:val="auto"/>
              </w:rPr>
            </w:pPr>
          </w:p>
        </w:tc>
      </w:tr>
      <w:tr>
        <w:trPr>
          <w:trHeight w:val="202"/>
        </w:trPr>
        <w:tc>
          <w:tcPr>
            <w:tcW w:w="1000" w:type="dxa"/>
            <w:vAlign w:val="bottom"/>
            <w:tcBorders>
              <w:left w:val="single" w:sz="8" w:color="231F20"/>
            </w:tcBorders>
          </w:tcPr>
          <w:p>
            <w:pPr>
              <w:ind w:left="160"/>
              <w:spacing w:after="0"/>
              <w:rPr>
                <w:sz w:val="20"/>
                <w:szCs w:val="20"/>
                <w:color w:val="auto"/>
              </w:rPr>
            </w:pPr>
            <w:r>
              <w:rPr>
                <w:rFonts w:ascii="Arial" w:cs="Arial" w:eastAsia="Arial" w:hAnsi="Arial"/>
                <w:sz w:val="17"/>
                <w:szCs w:val="17"/>
                <w:color w:val="auto"/>
              </w:rPr>
              <w:t>Age: 52</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16"/>
          </w:tcPr>
          <w:p>
            <w:pPr>
              <w:ind w:left="120"/>
              <w:spacing w:after="0"/>
              <w:rPr>
                <w:sz w:val="20"/>
                <w:szCs w:val="20"/>
                <w:color w:val="auto"/>
              </w:rPr>
            </w:pPr>
            <w:r>
              <w:rPr>
                <w:rFonts w:ascii="Arial" w:cs="Arial" w:eastAsia="Arial" w:hAnsi="Arial"/>
                <w:sz w:val="17"/>
                <w:szCs w:val="17"/>
                <w:color w:val="auto"/>
              </w:rPr>
              <w:t>where he served as Head of Internal Audit in Romania and later as Financial Controller in the</w:t>
            </w:r>
          </w:p>
        </w:tc>
        <w:tc>
          <w:tcPr>
            <w:tcW w:w="0" w:type="dxa"/>
            <w:vAlign w:val="bottom"/>
          </w:tcPr>
          <w:p>
            <w:pPr>
              <w:spacing w:after="0"/>
              <w:rPr>
                <w:sz w:val="1"/>
                <w:szCs w:val="1"/>
                <w:color w:val="auto"/>
              </w:rPr>
            </w:pPr>
          </w:p>
        </w:tc>
      </w:tr>
      <w:tr>
        <w:trPr>
          <w:trHeight w:val="180"/>
        </w:trPr>
        <w:tc>
          <w:tcPr>
            <w:tcW w:w="2880" w:type="dxa"/>
            <w:vAlign w:val="bottom"/>
            <w:tcBorders>
              <w:left w:val="single" w:sz="8" w:color="231F20"/>
              <w:right w:val="single" w:sz="8" w:color="auto"/>
            </w:tcBorders>
            <w:gridSpan w:val="4"/>
            <w:vMerge w:val="restart"/>
          </w:tcPr>
          <w:p>
            <w:pPr>
              <w:ind w:left="160"/>
              <w:spacing w:after="0"/>
              <w:rPr>
                <w:sz w:val="20"/>
                <w:szCs w:val="20"/>
                <w:color w:val="auto"/>
              </w:rPr>
            </w:pPr>
            <w:r>
              <w:rPr>
                <w:rFonts w:ascii="Arial" w:cs="Arial" w:eastAsia="Arial" w:hAnsi="Arial"/>
                <w:sz w:val="19"/>
                <w:szCs w:val="19"/>
                <w:color w:val="auto"/>
              </w:rPr>
              <w:t>Location: Sault Ste. Marie,</w:t>
            </w:r>
          </w:p>
        </w:tc>
        <w:tc>
          <w:tcPr>
            <w:tcW w:w="7820" w:type="dxa"/>
            <w:vAlign w:val="bottom"/>
            <w:tcBorders>
              <w:right w:val="single" w:sz="8" w:color="231F20"/>
            </w:tcBorders>
            <w:gridSpan w:val="16"/>
          </w:tcPr>
          <w:p>
            <w:pPr>
              <w:ind w:left="120"/>
              <w:spacing w:after="0" w:line="180" w:lineRule="exact"/>
              <w:rPr>
                <w:sz w:val="20"/>
                <w:szCs w:val="20"/>
                <w:color w:val="auto"/>
              </w:rPr>
            </w:pPr>
            <w:r>
              <w:rPr>
                <w:rFonts w:ascii="Arial" w:cs="Arial" w:eastAsia="Arial" w:hAnsi="Arial"/>
                <w:sz w:val="17"/>
                <w:szCs w:val="17"/>
                <w:color w:val="auto"/>
              </w:rPr>
              <w:t>Czech Republic. He brings extensive international experience across Europe, Asia, and North</w:t>
            </w:r>
          </w:p>
        </w:tc>
        <w:tc>
          <w:tcPr>
            <w:tcW w:w="0" w:type="dxa"/>
            <w:vAlign w:val="bottom"/>
          </w:tcPr>
          <w:p>
            <w:pPr>
              <w:spacing w:after="0"/>
              <w:rPr>
                <w:sz w:val="1"/>
                <w:szCs w:val="1"/>
                <w:color w:val="auto"/>
              </w:rPr>
            </w:pPr>
          </w:p>
        </w:tc>
      </w:tr>
      <w:tr>
        <w:trPr>
          <w:trHeight w:val="126"/>
        </w:trPr>
        <w:tc>
          <w:tcPr>
            <w:tcW w:w="2880" w:type="dxa"/>
            <w:vAlign w:val="bottom"/>
            <w:tcBorders>
              <w:left w:val="single" w:sz="8" w:color="231F20"/>
              <w:right w:val="single" w:sz="8" w:color="auto"/>
            </w:tcBorders>
            <w:gridSpan w:val="4"/>
            <w:vMerge w:val="continue"/>
          </w:tcPr>
          <w:p>
            <w:pPr>
              <w:spacing w:after="0"/>
              <w:rPr>
                <w:sz w:val="10"/>
                <w:szCs w:val="10"/>
                <w:color w:val="auto"/>
              </w:rPr>
            </w:pPr>
          </w:p>
        </w:tc>
        <w:tc>
          <w:tcPr>
            <w:tcW w:w="7820" w:type="dxa"/>
            <w:vAlign w:val="bottom"/>
            <w:tcBorders>
              <w:right w:val="single" w:sz="8" w:color="231F20"/>
            </w:tcBorders>
            <w:gridSpan w:val="16"/>
            <w:vMerge w:val="restart"/>
          </w:tcPr>
          <w:p>
            <w:pPr>
              <w:ind w:left="120"/>
              <w:spacing w:after="0"/>
              <w:rPr>
                <w:sz w:val="20"/>
                <w:szCs w:val="20"/>
                <w:color w:val="auto"/>
              </w:rPr>
            </w:pPr>
            <w:r>
              <w:rPr>
                <w:rFonts w:ascii="Arial" w:cs="Arial" w:eastAsia="Arial" w:hAnsi="Arial"/>
                <w:sz w:val="17"/>
                <w:szCs w:val="17"/>
                <w:color w:val="auto"/>
              </w:rPr>
              <w:t>America and holds a Bachelor of Commerce from the Shri Ram College of Commerce in Delhi,</w:t>
            </w:r>
          </w:p>
        </w:tc>
        <w:tc>
          <w:tcPr>
            <w:tcW w:w="0" w:type="dxa"/>
            <w:vAlign w:val="bottom"/>
          </w:tcPr>
          <w:p>
            <w:pPr>
              <w:spacing w:after="0"/>
              <w:rPr>
                <w:sz w:val="1"/>
                <w:szCs w:val="1"/>
                <w:color w:val="auto"/>
              </w:rPr>
            </w:pPr>
          </w:p>
        </w:tc>
      </w:tr>
      <w:tr>
        <w:trPr>
          <w:trHeight w:val="70"/>
        </w:trPr>
        <w:tc>
          <w:tcPr>
            <w:tcW w:w="1000" w:type="dxa"/>
            <w:vAlign w:val="bottom"/>
            <w:tcBorders>
              <w:left w:val="single" w:sz="8" w:color="231F20"/>
            </w:tcBorders>
            <w:vMerge w:val="restart"/>
          </w:tcPr>
          <w:p>
            <w:pPr>
              <w:ind w:left="160"/>
              <w:spacing w:after="0"/>
              <w:rPr>
                <w:sz w:val="20"/>
                <w:szCs w:val="20"/>
                <w:color w:val="auto"/>
              </w:rPr>
            </w:pPr>
            <w:r>
              <w:rPr>
                <w:rFonts w:ascii="Arial" w:cs="Arial" w:eastAsia="Arial" w:hAnsi="Arial"/>
                <w:sz w:val="19"/>
                <w:szCs w:val="19"/>
                <w:color w:val="auto"/>
              </w:rPr>
              <w:t>Ontario</w:t>
            </w: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Borders>
              <w:right w:val="single" w:sz="8" w:color="auto"/>
            </w:tcBorders>
          </w:tcPr>
          <w:p>
            <w:pPr>
              <w:spacing w:after="0"/>
              <w:rPr>
                <w:sz w:val="6"/>
                <w:szCs w:val="6"/>
                <w:color w:val="auto"/>
              </w:rPr>
            </w:pPr>
          </w:p>
        </w:tc>
        <w:tc>
          <w:tcPr>
            <w:tcW w:w="7820" w:type="dxa"/>
            <w:vAlign w:val="bottom"/>
            <w:tcBorders>
              <w:right w:val="single" w:sz="8" w:color="231F20"/>
            </w:tcBorders>
            <w:gridSpan w:val="1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231F20"/>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620" w:type="dxa"/>
            <w:vAlign w:val="bottom"/>
            <w:gridSpan w:val="2"/>
          </w:tcPr>
          <w:p>
            <w:pPr>
              <w:ind w:left="120"/>
              <w:spacing w:after="0"/>
              <w:rPr>
                <w:sz w:val="20"/>
                <w:szCs w:val="20"/>
                <w:color w:val="auto"/>
              </w:rPr>
            </w:pPr>
            <w:r>
              <w:rPr>
                <w:rFonts w:ascii="Arial" w:cs="Arial" w:eastAsia="Arial" w:hAnsi="Arial"/>
                <w:sz w:val="17"/>
                <w:szCs w:val="17"/>
                <w:color w:val="auto"/>
              </w:rPr>
              <w:t>India.</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Borders>
              <w:left w:val="single" w:sz="8" w:color="231F20"/>
              <w:right w:val="single" w:sz="8" w:color="auto"/>
            </w:tcBorders>
            <w:gridSpan w:val="4"/>
          </w:tcPr>
          <w:p>
            <w:pPr>
              <w:ind w:left="160"/>
              <w:spacing w:after="0"/>
              <w:rPr>
                <w:sz w:val="20"/>
                <w:szCs w:val="20"/>
                <w:color w:val="auto"/>
              </w:rPr>
            </w:pPr>
            <w:r>
              <w:rPr>
                <w:rFonts w:ascii="Arial" w:cs="Arial" w:eastAsia="Arial" w:hAnsi="Arial"/>
                <w:sz w:val="17"/>
                <w:szCs w:val="17"/>
                <w:color w:val="auto"/>
              </w:rPr>
              <w:t>Director Since: January 1, 2026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717"/>
        </w:trPr>
        <w:tc>
          <w:tcPr>
            <w:tcW w:w="1200" w:type="dxa"/>
            <w:vAlign w:val="bottom"/>
            <w:tcBorders>
              <w:left w:val="single" w:sz="8" w:color="231F20"/>
              <w:bottom w:val="single" w:sz="8" w:color="231F20"/>
            </w:tcBorders>
            <w:gridSpan w:val="2"/>
          </w:tcPr>
          <w:p>
            <w:pPr>
              <w:spacing w:after="0"/>
              <w:rPr>
                <w:sz w:val="24"/>
                <w:szCs w:val="24"/>
                <w:color w:val="auto"/>
              </w:rPr>
            </w:pPr>
          </w:p>
        </w:tc>
        <w:tc>
          <w:tcPr>
            <w:tcW w:w="108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right w:val="single" w:sz="8" w:color="auto"/>
            </w:tcBorders>
          </w:tcPr>
          <w:p>
            <w:pPr>
              <w:spacing w:after="0"/>
              <w:rPr>
                <w:sz w:val="24"/>
                <w:szCs w:val="24"/>
                <w:color w:val="auto"/>
              </w:rPr>
            </w:pPr>
          </w:p>
        </w:tc>
        <w:tc>
          <w:tcPr>
            <w:tcW w:w="4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spacing w:after="0"/>
              <w:rPr>
                <w:sz w:val="24"/>
                <w:szCs w:val="24"/>
                <w:color w:val="auto"/>
              </w:rPr>
            </w:pPr>
          </w:p>
        </w:tc>
        <w:tc>
          <w:tcPr>
            <w:tcW w:w="760" w:type="dxa"/>
            <w:vAlign w:val="bottom"/>
            <w:tcBorders>
              <w:bottom w:val="single" w:sz="8" w:color="231F20"/>
            </w:tcBorders>
            <w:gridSpan w:val="2"/>
          </w:tcPr>
          <w:p>
            <w:pPr>
              <w:spacing w:after="0"/>
              <w:rPr>
                <w:sz w:val="24"/>
                <w:szCs w:val="24"/>
                <w:color w:val="auto"/>
              </w:rPr>
            </w:pPr>
          </w:p>
        </w:tc>
        <w:tc>
          <w:tcPr>
            <w:tcW w:w="320" w:type="dxa"/>
            <w:vAlign w:val="bottom"/>
            <w:tcBorders>
              <w:bottom w:val="single" w:sz="8" w:color="231F20"/>
            </w:tcBorders>
            <w:gridSpan w:val="2"/>
          </w:tcPr>
          <w:p>
            <w:pPr>
              <w:spacing w:after="0"/>
              <w:rPr>
                <w:sz w:val="24"/>
                <w:szCs w:val="24"/>
                <w:color w:val="auto"/>
              </w:rPr>
            </w:pPr>
          </w:p>
        </w:tc>
        <w:tc>
          <w:tcPr>
            <w:tcW w:w="106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4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880" w:type="dxa"/>
            <w:vAlign w:val="bottom"/>
            <w:tcBorders>
              <w:left w:val="single" w:sz="8" w:color="231F20"/>
              <w:bottom w:val="single" w:sz="8" w:color="231F20"/>
              <w:right w:val="single" w:sz="8" w:color="231F20"/>
            </w:tcBorders>
            <w:gridSpan w:val="4"/>
          </w:tcPr>
          <w:p>
            <w:pPr>
              <w:ind w:left="160"/>
              <w:spacing w:after="0"/>
              <w:rPr>
                <w:sz w:val="20"/>
                <w:szCs w:val="20"/>
                <w:color w:val="auto"/>
              </w:rPr>
            </w:pPr>
            <w:r>
              <w:rPr>
                <w:rFonts w:ascii="Arial" w:cs="Arial" w:eastAsia="Arial" w:hAnsi="Arial"/>
                <w:sz w:val="19"/>
                <w:szCs w:val="19"/>
                <w:color w:val="auto"/>
              </w:rPr>
              <w:t xml:space="preserve">Status: </w:t>
            </w:r>
            <w:r>
              <w:rPr>
                <w:rFonts w:ascii="Arial" w:cs="Arial" w:eastAsia="Arial" w:hAnsi="Arial"/>
                <w:sz w:val="19"/>
                <w:szCs w:val="19"/>
                <w:b w:val="1"/>
                <w:bCs w:val="1"/>
                <w:color w:val="auto"/>
              </w:rPr>
              <w:t>NON-INDEPENDENT</w:t>
            </w:r>
          </w:p>
        </w:tc>
        <w:tc>
          <w:tcPr>
            <w:tcW w:w="460" w:type="dxa"/>
            <w:vAlign w:val="bottom"/>
            <w:tcBorders>
              <w:bottom w:val="single" w:sz="8" w:color="231F20"/>
              <w:right w:val="single" w:sz="8" w:color="003445"/>
            </w:tcBorders>
            <w:shd w:val="clear" w:color="auto" w:fill="003445"/>
          </w:tcPr>
          <w:p>
            <w:pPr>
              <w:spacing w:after="0"/>
              <w:rPr>
                <w:sz w:val="24"/>
                <w:szCs w:val="24"/>
                <w:color w:val="auto"/>
              </w:rPr>
            </w:pPr>
          </w:p>
        </w:tc>
        <w:tc>
          <w:tcPr>
            <w:tcW w:w="160" w:type="dxa"/>
            <w:vAlign w:val="bottom"/>
            <w:tcBorders>
              <w:bottom w:val="single" w:sz="8" w:color="231F20"/>
            </w:tcBorders>
            <w:shd w:val="clear" w:color="auto" w:fill="003445"/>
          </w:tcPr>
          <w:p>
            <w:pPr>
              <w:spacing w:after="0"/>
              <w:rPr>
                <w:sz w:val="24"/>
                <w:szCs w:val="24"/>
                <w:color w:val="auto"/>
              </w:rPr>
            </w:pPr>
          </w:p>
        </w:tc>
        <w:tc>
          <w:tcPr>
            <w:tcW w:w="900" w:type="dxa"/>
            <w:vAlign w:val="bottom"/>
            <w:tcBorders>
              <w:bottom w:val="single" w:sz="8" w:color="231F20"/>
              <w:right w:val="single" w:sz="8" w:color="003445"/>
            </w:tcBorders>
            <w:shd w:val="clear" w:color="auto" w:fill="003445"/>
          </w:tcPr>
          <w:p>
            <w:pPr>
              <w:spacing w:after="0"/>
              <w:rPr>
                <w:sz w:val="24"/>
                <w:szCs w:val="24"/>
                <w:color w:val="auto"/>
              </w:rPr>
            </w:pPr>
          </w:p>
        </w:tc>
        <w:tc>
          <w:tcPr>
            <w:tcW w:w="540" w:type="dxa"/>
            <w:vAlign w:val="bottom"/>
            <w:tcBorders>
              <w:bottom w:val="single" w:sz="8" w:color="231F20"/>
              <w:right w:val="single" w:sz="8" w:color="003445"/>
            </w:tcBorders>
            <w:shd w:val="clear" w:color="auto" w:fill="003445"/>
          </w:tcPr>
          <w:p>
            <w:pPr>
              <w:spacing w:after="0"/>
              <w:rPr>
                <w:sz w:val="24"/>
                <w:szCs w:val="24"/>
                <w:color w:val="auto"/>
              </w:rPr>
            </w:pPr>
          </w:p>
        </w:tc>
        <w:tc>
          <w:tcPr>
            <w:tcW w:w="380" w:type="dxa"/>
            <w:vAlign w:val="bottom"/>
            <w:tcBorders>
              <w:bottom w:val="single" w:sz="8" w:color="231F20"/>
            </w:tcBorders>
            <w:shd w:val="clear" w:color="auto" w:fill="003445"/>
          </w:tcPr>
          <w:p>
            <w:pPr>
              <w:spacing w:after="0"/>
              <w:rPr>
                <w:sz w:val="24"/>
                <w:szCs w:val="24"/>
                <w:color w:val="auto"/>
              </w:rPr>
            </w:pPr>
          </w:p>
        </w:tc>
        <w:tc>
          <w:tcPr>
            <w:tcW w:w="3360" w:type="dxa"/>
            <w:vAlign w:val="bottom"/>
            <w:tcBorders>
              <w:bottom w:val="single" w:sz="8" w:color="231F20"/>
              <w:right w:val="single" w:sz="8" w:color="003445"/>
            </w:tcBorders>
            <w:gridSpan w:val="7"/>
            <w:shd w:val="clear" w:color="auto" w:fill="003445"/>
          </w:tcPr>
          <w:p>
            <w:pPr>
              <w:jc w:val="center"/>
              <w:ind w:right="287"/>
              <w:spacing w:after="0"/>
              <w:rPr>
                <w:sz w:val="20"/>
                <w:szCs w:val="20"/>
                <w:color w:val="auto"/>
              </w:rPr>
            </w:pPr>
            <w:r>
              <w:rPr>
                <w:rFonts w:ascii="Arial" w:cs="Arial" w:eastAsia="Arial" w:hAnsi="Arial"/>
                <w:sz w:val="17"/>
                <w:szCs w:val="17"/>
                <w:b w:val="1"/>
                <w:bCs w:val="1"/>
                <w:color w:val="FFFFFF"/>
              </w:rPr>
              <w:t>Other Public Board Memberships</w:t>
            </w:r>
          </w:p>
        </w:tc>
        <w:tc>
          <w:tcPr>
            <w:tcW w:w="1080" w:type="dxa"/>
            <w:vAlign w:val="bottom"/>
            <w:tcBorders>
              <w:bottom w:val="single" w:sz="8" w:color="231F20"/>
              <w:right w:val="single" w:sz="8" w:color="003445"/>
            </w:tcBorders>
            <w:shd w:val="clear" w:color="auto" w:fill="003445"/>
          </w:tcPr>
          <w:p>
            <w:pPr>
              <w:spacing w:after="0"/>
              <w:rPr>
                <w:sz w:val="24"/>
                <w:szCs w:val="24"/>
                <w:color w:val="auto"/>
              </w:rPr>
            </w:pPr>
          </w:p>
        </w:tc>
        <w:tc>
          <w:tcPr>
            <w:tcW w:w="160" w:type="dxa"/>
            <w:vAlign w:val="bottom"/>
            <w:tcBorders>
              <w:bottom w:val="single" w:sz="8" w:color="231F20"/>
            </w:tcBorders>
            <w:shd w:val="clear" w:color="auto" w:fill="003445"/>
          </w:tcPr>
          <w:p>
            <w:pPr>
              <w:spacing w:after="0"/>
              <w:rPr>
                <w:sz w:val="24"/>
                <w:szCs w:val="24"/>
                <w:color w:val="auto"/>
              </w:rPr>
            </w:pPr>
          </w:p>
        </w:tc>
        <w:tc>
          <w:tcPr>
            <w:tcW w:w="40" w:type="dxa"/>
            <w:vAlign w:val="bottom"/>
            <w:tcBorders>
              <w:bottom w:val="single" w:sz="8" w:color="231F20"/>
            </w:tcBorders>
            <w:shd w:val="clear" w:color="auto" w:fill="003445"/>
          </w:tcPr>
          <w:p>
            <w:pPr>
              <w:spacing w:after="0"/>
              <w:rPr>
                <w:sz w:val="24"/>
                <w:szCs w:val="24"/>
                <w:color w:val="auto"/>
              </w:rPr>
            </w:pPr>
          </w:p>
        </w:tc>
        <w:tc>
          <w:tcPr>
            <w:tcW w:w="740" w:type="dxa"/>
            <w:vAlign w:val="bottom"/>
            <w:tcBorders>
              <w:bottom w:val="single" w:sz="8" w:color="231F20"/>
              <w:right w:val="single" w:sz="8" w:color="231F20"/>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000" w:type="dxa"/>
            <w:vAlign w:val="bottom"/>
            <w:tcBorders>
              <w:left w:val="single" w:sz="8" w:color="231F20"/>
            </w:tcBorders>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Borders>
              <w:right w:val="single" w:sz="8" w:color="231F20"/>
            </w:tcBorders>
          </w:tcPr>
          <w:p>
            <w:pPr>
              <w:spacing w:after="0"/>
              <w:rPr>
                <w:sz w:val="24"/>
                <w:szCs w:val="24"/>
                <w:color w:val="auto"/>
              </w:rPr>
            </w:pPr>
          </w:p>
        </w:tc>
        <w:tc>
          <w:tcPr>
            <w:tcW w:w="620" w:type="dxa"/>
            <w:vAlign w:val="bottom"/>
            <w:gridSpan w:val="2"/>
          </w:tcPr>
          <w:p>
            <w:pPr>
              <w:ind w:left="120"/>
              <w:spacing w:after="0"/>
              <w:rPr>
                <w:sz w:val="20"/>
                <w:szCs w:val="20"/>
                <w:color w:val="auto"/>
              </w:rPr>
            </w:pPr>
            <w:r>
              <w:rPr>
                <w:rFonts w:ascii="Arial" w:cs="Arial" w:eastAsia="Arial" w:hAnsi="Arial"/>
                <w:sz w:val="19"/>
                <w:szCs w:val="19"/>
                <w:color w:val="auto"/>
              </w:rPr>
              <w:t>N/A</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000" w:type="dxa"/>
            <w:vAlign w:val="bottom"/>
            <w:tcBorders>
              <w:left w:val="single" w:sz="8" w:color="231F20"/>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080" w:type="dxa"/>
            <w:vAlign w:val="bottom"/>
            <w:tcBorders>
              <w:bottom w:val="single" w:sz="8" w:color="231F20"/>
            </w:tcBorders>
          </w:tcPr>
          <w:p>
            <w:pPr>
              <w:spacing w:after="0"/>
              <w:rPr>
                <w:sz w:val="7"/>
                <w:szCs w:val="7"/>
                <w:color w:val="auto"/>
              </w:rPr>
            </w:pPr>
          </w:p>
        </w:tc>
        <w:tc>
          <w:tcPr>
            <w:tcW w:w="600" w:type="dxa"/>
            <w:vAlign w:val="bottom"/>
            <w:tcBorders>
              <w:bottom w:val="single" w:sz="8" w:color="231F20"/>
              <w:right w:val="single" w:sz="8" w:color="231F20"/>
            </w:tcBorders>
          </w:tcPr>
          <w:p>
            <w:pPr>
              <w:spacing w:after="0"/>
              <w:rPr>
                <w:sz w:val="7"/>
                <w:szCs w:val="7"/>
                <w:color w:val="auto"/>
              </w:rPr>
            </w:pPr>
          </w:p>
        </w:tc>
        <w:tc>
          <w:tcPr>
            <w:tcW w:w="46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900" w:type="dxa"/>
            <w:vAlign w:val="bottom"/>
            <w:tcBorders>
              <w:bottom w:val="single" w:sz="8" w:color="231F20"/>
            </w:tcBorders>
          </w:tcPr>
          <w:p>
            <w:pPr>
              <w:spacing w:after="0"/>
              <w:rPr>
                <w:sz w:val="7"/>
                <w:szCs w:val="7"/>
                <w:color w:val="auto"/>
              </w:rPr>
            </w:pPr>
          </w:p>
        </w:tc>
        <w:tc>
          <w:tcPr>
            <w:tcW w:w="540" w:type="dxa"/>
            <w:vAlign w:val="bottom"/>
            <w:tcBorders>
              <w:bottom w:val="single" w:sz="8" w:color="231F20"/>
            </w:tcBorders>
          </w:tcPr>
          <w:p>
            <w:pPr>
              <w:spacing w:after="0"/>
              <w:rPr>
                <w:sz w:val="7"/>
                <w:szCs w:val="7"/>
                <w:color w:val="auto"/>
              </w:rPr>
            </w:pPr>
          </w:p>
        </w:tc>
        <w:tc>
          <w:tcPr>
            <w:tcW w:w="38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060" w:type="dxa"/>
            <w:vAlign w:val="bottom"/>
            <w:tcBorders>
              <w:bottom w:val="single" w:sz="8" w:color="231F20"/>
            </w:tcBorders>
          </w:tcPr>
          <w:p>
            <w:pPr>
              <w:spacing w:after="0"/>
              <w:rPr>
                <w:sz w:val="7"/>
                <w:szCs w:val="7"/>
                <w:color w:val="auto"/>
              </w:rPr>
            </w:pPr>
          </w:p>
        </w:tc>
        <w:tc>
          <w:tcPr>
            <w:tcW w:w="26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c>
          <w:tcPr>
            <w:tcW w:w="12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1060" w:type="dxa"/>
            <w:vAlign w:val="bottom"/>
            <w:tcBorders>
              <w:bottom w:val="single" w:sz="8" w:color="231F20"/>
            </w:tcBorders>
          </w:tcPr>
          <w:p>
            <w:pPr>
              <w:spacing w:after="0"/>
              <w:rPr>
                <w:sz w:val="7"/>
                <w:szCs w:val="7"/>
                <w:color w:val="auto"/>
              </w:rPr>
            </w:pPr>
          </w:p>
        </w:tc>
        <w:tc>
          <w:tcPr>
            <w:tcW w:w="108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40" w:type="dxa"/>
            <w:vAlign w:val="bottom"/>
            <w:tcBorders>
              <w:bottom w:val="single" w:sz="8" w:color="231F20"/>
            </w:tcBorders>
          </w:tcPr>
          <w:p>
            <w:pPr>
              <w:spacing w:after="0"/>
              <w:rPr>
                <w:sz w:val="7"/>
                <w:szCs w:val="7"/>
                <w:color w:val="auto"/>
              </w:rPr>
            </w:pPr>
          </w:p>
        </w:tc>
        <w:tc>
          <w:tcPr>
            <w:tcW w:w="7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1000" w:type="dxa"/>
            <w:vAlign w:val="bottom"/>
            <w:tcBorders>
              <w:left w:val="single" w:sz="8" w:color="231F20"/>
            </w:tcBorders>
            <w:shd w:val="clear" w:color="auto" w:fill="003445"/>
          </w:tcPr>
          <w:p>
            <w:pPr>
              <w:spacing w:after="0"/>
              <w:rPr>
                <w:sz w:val="19"/>
                <w:szCs w:val="19"/>
                <w:color w:val="auto"/>
              </w:rPr>
            </w:pPr>
          </w:p>
        </w:tc>
        <w:tc>
          <w:tcPr>
            <w:tcW w:w="200" w:type="dxa"/>
            <w:vAlign w:val="bottom"/>
            <w:tcBorders>
              <w:right w:val="single" w:sz="8" w:color="003445"/>
            </w:tcBorders>
            <w:shd w:val="clear" w:color="auto" w:fill="003445"/>
          </w:tcPr>
          <w:p>
            <w:pPr>
              <w:spacing w:after="0"/>
              <w:rPr>
                <w:sz w:val="19"/>
                <w:szCs w:val="19"/>
                <w:color w:val="auto"/>
              </w:rPr>
            </w:pPr>
          </w:p>
        </w:tc>
        <w:tc>
          <w:tcPr>
            <w:tcW w:w="1080" w:type="dxa"/>
            <w:vAlign w:val="bottom"/>
            <w:tcBorders>
              <w:right w:val="single" w:sz="8" w:color="003445"/>
            </w:tcBorders>
            <w:shd w:val="clear" w:color="auto" w:fill="003445"/>
          </w:tcPr>
          <w:p>
            <w:pPr>
              <w:spacing w:after="0"/>
              <w:rPr>
                <w:sz w:val="19"/>
                <w:szCs w:val="19"/>
                <w:color w:val="auto"/>
              </w:rPr>
            </w:pPr>
          </w:p>
        </w:tc>
        <w:tc>
          <w:tcPr>
            <w:tcW w:w="600" w:type="dxa"/>
            <w:vAlign w:val="bottom"/>
            <w:tcBorders>
              <w:right w:val="single" w:sz="8" w:color="003445"/>
            </w:tcBorders>
            <w:shd w:val="clear" w:color="auto" w:fill="003445"/>
          </w:tcPr>
          <w:p>
            <w:pPr>
              <w:spacing w:after="0"/>
              <w:rPr>
                <w:sz w:val="19"/>
                <w:szCs w:val="19"/>
                <w:color w:val="auto"/>
              </w:rPr>
            </w:pPr>
          </w:p>
        </w:tc>
        <w:tc>
          <w:tcPr>
            <w:tcW w:w="460" w:type="dxa"/>
            <w:vAlign w:val="bottom"/>
            <w:tcBorders>
              <w:right w:val="single" w:sz="8" w:color="003445"/>
            </w:tcBorders>
            <w:shd w:val="clear" w:color="auto" w:fill="003445"/>
          </w:tcPr>
          <w:p>
            <w:pPr>
              <w:spacing w:after="0"/>
              <w:rPr>
                <w:sz w:val="19"/>
                <w:szCs w:val="19"/>
                <w:color w:val="auto"/>
              </w:rPr>
            </w:pPr>
          </w:p>
        </w:tc>
        <w:tc>
          <w:tcPr>
            <w:tcW w:w="160" w:type="dxa"/>
            <w:vAlign w:val="bottom"/>
            <w:shd w:val="clear" w:color="auto" w:fill="003445"/>
          </w:tcPr>
          <w:p>
            <w:pPr>
              <w:spacing w:after="0"/>
              <w:rPr>
                <w:sz w:val="19"/>
                <w:szCs w:val="19"/>
                <w:color w:val="auto"/>
              </w:rPr>
            </w:pPr>
          </w:p>
        </w:tc>
        <w:tc>
          <w:tcPr>
            <w:tcW w:w="900" w:type="dxa"/>
            <w:vAlign w:val="bottom"/>
            <w:tcBorders>
              <w:right w:val="single" w:sz="8" w:color="003445"/>
            </w:tcBorders>
            <w:shd w:val="clear" w:color="auto" w:fill="003445"/>
          </w:tcPr>
          <w:p>
            <w:pPr>
              <w:spacing w:after="0"/>
              <w:rPr>
                <w:sz w:val="19"/>
                <w:szCs w:val="19"/>
                <w:color w:val="auto"/>
              </w:rPr>
            </w:pPr>
          </w:p>
        </w:tc>
        <w:tc>
          <w:tcPr>
            <w:tcW w:w="540" w:type="dxa"/>
            <w:vAlign w:val="bottom"/>
            <w:tcBorders>
              <w:right w:val="single" w:sz="8" w:color="231F20"/>
            </w:tcBorders>
            <w:shd w:val="clear" w:color="auto" w:fill="003445"/>
          </w:tcPr>
          <w:p>
            <w:pPr>
              <w:spacing w:after="0"/>
              <w:rPr>
                <w:sz w:val="19"/>
                <w:szCs w:val="19"/>
                <w:color w:val="auto"/>
              </w:rPr>
            </w:pPr>
          </w:p>
        </w:tc>
        <w:tc>
          <w:tcPr>
            <w:tcW w:w="380" w:type="dxa"/>
            <w:vAlign w:val="bottom"/>
            <w:vMerge w:val="restart"/>
            <w:shd w:val="clear" w:color="auto" w:fill="003445"/>
          </w:tcPr>
          <w:p>
            <w:pPr>
              <w:jc w:val="right"/>
              <w:ind w:right="10"/>
              <w:spacing w:after="0"/>
              <w:rPr>
                <w:sz w:val="20"/>
                <w:szCs w:val="20"/>
                <w:color w:val="auto"/>
              </w:rPr>
            </w:pPr>
            <w:r>
              <w:rPr>
                <w:rFonts w:ascii="Arial" w:cs="Arial" w:eastAsia="Arial" w:hAnsi="Arial"/>
                <w:sz w:val="19"/>
                <w:szCs w:val="19"/>
                <w:b w:val="1"/>
                <w:bCs w:val="1"/>
                <w:color w:val="FFFFFF"/>
              </w:rPr>
              <w:t> </w:t>
            </w:r>
          </w:p>
        </w:tc>
        <w:tc>
          <w:tcPr>
            <w:tcW w:w="160" w:type="dxa"/>
            <w:vAlign w:val="bottom"/>
            <w:tcBorders>
              <w:right w:val="single" w:sz="8" w:color="003445"/>
            </w:tcBorders>
            <w:shd w:val="clear" w:color="auto" w:fill="003445"/>
          </w:tcPr>
          <w:p>
            <w:pPr>
              <w:spacing w:after="0"/>
              <w:rPr>
                <w:sz w:val="19"/>
                <w:szCs w:val="19"/>
                <w:color w:val="auto"/>
              </w:rPr>
            </w:pPr>
          </w:p>
        </w:tc>
        <w:tc>
          <w:tcPr>
            <w:tcW w:w="1320" w:type="dxa"/>
            <w:vAlign w:val="bottom"/>
            <w:gridSpan w:val="2"/>
            <w:shd w:val="clear" w:color="auto" w:fill="003445"/>
          </w:tcPr>
          <w:p>
            <w:pPr>
              <w:jc w:val="center"/>
              <w:spacing w:after="0"/>
              <w:rPr>
                <w:sz w:val="20"/>
                <w:szCs w:val="20"/>
                <w:color w:val="auto"/>
              </w:rPr>
            </w:pPr>
            <w:r>
              <w:rPr>
                <w:rFonts w:ascii="Arial" w:cs="Arial" w:eastAsia="Arial" w:hAnsi="Arial"/>
                <w:sz w:val="19"/>
                <w:szCs w:val="19"/>
                <w:b w:val="1"/>
                <w:bCs w:val="1"/>
                <w:color w:val="FFFFFF"/>
              </w:rPr>
              <w:t>Attendance at</w:t>
            </w:r>
          </w:p>
        </w:tc>
        <w:tc>
          <w:tcPr>
            <w:tcW w:w="500" w:type="dxa"/>
            <w:vAlign w:val="bottom"/>
            <w:tcBorders>
              <w:right w:val="single" w:sz="8" w:color="231F20"/>
            </w:tcBorders>
            <w:shd w:val="clear" w:color="auto" w:fill="003445"/>
          </w:tcPr>
          <w:p>
            <w:pPr>
              <w:spacing w:after="0"/>
              <w:rPr>
                <w:sz w:val="19"/>
                <w:szCs w:val="19"/>
                <w:color w:val="auto"/>
              </w:rPr>
            </w:pPr>
          </w:p>
        </w:tc>
        <w:tc>
          <w:tcPr>
            <w:tcW w:w="120" w:type="dxa"/>
            <w:vAlign w:val="bottom"/>
            <w:shd w:val="clear" w:color="auto" w:fill="003445"/>
          </w:tcPr>
          <w:p>
            <w:pPr>
              <w:spacing w:after="0"/>
              <w:rPr>
                <w:sz w:val="19"/>
                <w:szCs w:val="19"/>
                <w:color w:val="auto"/>
              </w:rPr>
            </w:pPr>
          </w:p>
        </w:tc>
        <w:tc>
          <w:tcPr>
            <w:tcW w:w="2540" w:type="dxa"/>
            <w:vAlign w:val="bottom"/>
            <w:gridSpan w:val="5"/>
            <w:vMerge w:val="restart"/>
            <w:shd w:val="clear" w:color="auto" w:fill="003445"/>
          </w:tcPr>
          <w:p>
            <w:pPr>
              <w:ind w:left="120"/>
              <w:spacing w:after="0"/>
              <w:rPr>
                <w:sz w:val="20"/>
                <w:szCs w:val="20"/>
                <w:color w:val="auto"/>
              </w:rPr>
            </w:pPr>
            <w:r>
              <w:rPr>
                <w:rFonts w:ascii="Arial" w:cs="Arial" w:eastAsia="Arial" w:hAnsi="Arial"/>
                <w:sz w:val="19"/>
                <w:szCs w:val="19"/>
                <w:b w:val="1"/>
                <w:bCs w:val="1"/>
                <w:color w:val="FFFFFF"/>
                <w:w w:val="94"/>
              </w:rPr>
              <w:t>         Overall Attendance </w:t>
            </w:r>
          </w:p>
        </w:tc>
        <w:tc>
          <w:tcPr>
            <w:tcW w:w="740" w:type="dxa"/>
            <w:vAlign w:val="bottom"/>
            <w:tcBorders>
              <w:right w:val="single" w:sz="8" w:color="231F20"/>
            </w:tcBorders>
            <w:vMerge w:val="restart"/>
            <w:shd w:val="clear" w:color="auto" w:fill="003445"/>
          </w:tcPr>
          <w:p>
            <w:pPr>
              <w:jc w:val="center"/>
              <w:ind w:right="116"/>
              <w:spacing w:after="0"/>
              <w:rPr>
                <w:sz w:val="20"/>
                <w:szCs w:val="20"/>
                <w:color w:val="auto"/>
              </w:rPr>
            </w:pPr>
            <w:r>
              <w:rPr>
                <w:rFonts w:ascii="Arial" w:cs="Arial" w:eastAsia="Arial" w:hAnsi="Arial"/>
                <w:sz w:val="19"/>
                <w:szCs w:val="19"/>
                <w:b w:val="1"/>
                <w:bCs w:val="1"/>
                <w:color w:val="FFFFFF"/>
              </w:rPr>
              <w:t xml:space="preserve">    </w:t>
            </w:r>
          </w:p>
        </w:tc>
        <w:tc>
          <w:tcPr>
            <w:tcW w:w="0" w:type="dxa"/>
            <w:vAlign w:val="bottom"/>
          </w:tcPr>
          <w:p>
            <w:pPr>
              <w:spacing w:after="0"/>
              <w:rPr>
                <w:sz w:val="1"/>
                <w:szCs w:val="1"/>
                <w:color w:val="auto"/>
              </w:rPr>
            </w:pPr>
          </w:p>
        </w:tc>
      </w:tr>
      <w:tr>
        <w:trPr>
          <w:trHeight w:val="210"/>
        </w:trPr>
        <w:tc>
          <w:tcPr>
            <w:tcW w:w="1000" w:type="dxa"/>
            <w:vAlign w:val="bottom"/>
            <w:tcBorders>
              <w:left w:val="single" w:sz="8" w:color="231F20"/>
            </w:tcBorders>
            <w:shd w:val="clear" w:color="auto" w:fill="003445"/>
          </w:tcPr>
          <w:p>
            <w:pPr>
              <w:spacing w:after="0"/>
              <w:rPr>
                <w:sz w:val="18"/>
                <w:szCs w:val="18"/>
                <w:color w:val="auto"/>
              </w:rPr>
            </w:pPr>
          </w:p>
        </w:tc>
        <w:tc>
          <w:tcPr>
            <w:tcW w:w="200" w:type="dxa"/>
            <w:vAlign w:val="bottom"/>
            <w:tcBorders>
              <w:right w:val="single" w:sz="8" w:color="003445"/>
            </w:tcBorders>
            <w:shd w:val="clear" w:color="auto" w:fill="003445"/>
          </w:tcPr>
          <w:p>
            <w:pPr>
              <w:spacing w:after="0"/>
              <w:rPr>
                <w:sz w:val="18"/>
                <w:szCs w:val="18"/>
                <w:color w:val="auto"/>
              </w:rPr>
            </w:pPr>
          </w:p>
        </w:tc>
        <w:tc>
          <w:tcPr>
            <w:tcW w:w="1080" w:type="dxa"/>
            <w:vAlign w:val="bottom"/>
            <w:tcBorders>
              <w:right w:val="single" w:sz="8" w:color="003445"/>
            </w:tcBorders>
            <w:shd w:val="clear" w:color="auto" w:fill="003445"/>
          </w:tcPr>
          <w:p>
            <w:pPr>
              <w:spacing w:after="0"/>
              <w:rPr>
                <w:sz w:val="18"/>
                <w:szCs w:val="18"/>
                <w:color w:val="auto"/>
              </w:rPr>
            </w:pPr>
          </w:p>
        </w:tc>
        <w:tc>
          <w:tcPr>
            <w:tcW w:w="600" w:type="dxa"/>
            <w:vAlign w:val="bottom"/>
            <w:tcBorders>
              <w:right w:val="single" w:sz="8" w:color="003445"/>
            </w:tcBorders>
            <w:shd w:val="clear" w:color="auto" w:fill="003445"/>
          </w:tcPr>
          <w:p>
            <w:pPr>
              <w:spacing w:after="0"/>
              <w:rPr>
                <w:sz w:val="18"/>
                <w:szCs w:val="18"/>
                <w:color w:val="auto"/>
              </w:rPr>
            </w:pPr>
          </w:p>
        </w:tc>
        <w:tc>
          <w:tcPr>
            <w:tcW w:w="460" w:type="dxa"/>
            <w:vAlign w:val="bottom"/>
            <w:tcBorders>
              <w:right w:val="single" w:sz="8" w:color="003445"/>
            </w:tcBorders>
            <w:shd w:val="clear" w:color="auto" w:fill="003445"/>
          </w:tcPr>
          <w:p>
            <w:pPr>
              <w:spacing w:after="0"/>
              <w:rPr>
                <w:sz w:val="18"/>
                <w:szCs w:val="18"/>
                <w:color w:val="auto"/>
              </w:rPr>
            </w:pPr>
          </w:p>
        </w:tc>
        <w:tc>
          <w:tcPr>
            <w:tcW w:w="160" w:type="dxa"/>
            <w:vAlign w:val="bottom"/>
            <w:shd w:val="clear" w:color="auto" w:fill="003445"/>
          </w:tcPr>
          <w:p>
            <w:pPr>
              <w:spacing w:after="0"/>
              <w:rPr>
                <w:sz w:val="18"/>
                <w:szCs w:val="18"/>
                <w:color w:val="auto"/>
              </w:rPr>
            </w:pPr>
          </w:p>
        </w:tc>
        <w:tc>
          <w:tcPr>
            <w:tcW w:w="900" w:type="dxa"/>
            <w:vAlign w:val="bottom"/>
            <w:tcBorders>
              <w:right w:val="single" w:sz="8" w:color="003445"/>
            </w:tcBorders>
            <w:shd w:val="clear" w:color="auto" w:fill="003445"/>
          </w:tcPr>
          <w:p>
            <w:pPr>
              <w:spacing w:after="0"/>
              <w:rPr>
                <w:sz w:val="18"/>
                <w:szCs w:val="18"/>
                <w:color w:val="auto"/>
              </w:rPr>
            </w:pPr>
          </w:p>
        </w:tc>
        <w:tc>
          <w:tcPr>
            <w:tcW w:w="540" w:type="dxa"/>
            <w:vAlign w:val="bottom"/>
            <w:tcBorders>
              <w:right w:val="single" w:sz="8" w:color="231F20"/>
            </w:tcBorders>
            <w:shd w:val="clear" w:color="auto" w:fill="003445"/>
          </w:tcPr>
          <w:p>
            <w:pPr>
              <w:spacing w:after="0"/>
              <w:rPr>
                <w:sz w:val="18"/>
                <w:szCs w:val="18"/>
                <w:color w:val="auto"/>
              </w:rPr>
            </w:pPr>
          </w:p>
        </w:tc>
        <w:tc>
          <w:tcPr>
            <w:tcW w:w="380" w:type="dxa"/>
            <w:vAlign w:val="bottom"/>
            <w:vMerge w:val="continue"/>
            <w:shd w:val="clear" w:color="auto" w:fill="003445"/>
          </w:tcPr>
          <w:p>
            <w:pPr>
              <w:spacing w:after="0"/>
              <w:rPr>
                <w:sz w:val="18"/>
                <w:szCs w:val="18"/>
                <w:color w:val="auto"/>
              </w:rPr>
            </w:pPr>
          </w:p>
        </w:tc>
        <w:tc>
          <w:tcPr>
            <w:tcW w:w="1980" w:type="dxa"/>
            <w:vAlign w:val="bottom"/>
            <w:tcBorders>
              <w:right w:val="single" w:sz="8" w:color="231F20"/>
            </w:tcBorders>
            <w:gridSpan w:val="4"/>
            <w:shd w:val="clear" w:color="auto" w:fill="003445"/>
          </w:tcPr>
          <w:p>
            <w:pPr>
              <w:jc w:val="center"/>
              <w:ind w:right="230"/>
              <w:spacing w:after="0" w:line="210" w:lineRule="exact"/>
              <w:rPr>
                <w:sz w:val="20"/>
                <w:szCs w:val="20"/>
                <w:color w:val="auto"/>
              </w:rPr>
            </w:pPr>
            <w:r>
              <w:rPr>
                <w:rFonts w:ascii="Arial" w:cs="Arial" w:eastAsia="Arial" w:hAnsi="Arial"/>
                <w:sz w:val="19"/>
                <w:szCs w:val="19"/>
                <w:b w:val="1"/>
                <w:bCs w:val="1"/>
                <w:color w:val="FFFFFF"/>
              </w:rPr>
              <w:t>Regular Meetings</w:t>
            </w:r>
          </w:p>
        </w:tc>
        <w:tc>
          <w:tcPr>
            <w:tcW w:w="120" w:type="dxa"/>
            <w:vAlign w:val="bottom"/>
            <w:shd w:val="clear" w:color="auto" w:fill="003445"/>
          </w:tcPr>
          <w:p>
            <w:pPr>
              <w:spacing w:after="0"/>
              <w:rPr>
                <w:sz w:val="18"/>
                <w:szCs w:val="18"/>
                <w:color w:val="auto"/>
              </w:rPr>
            </w:pPr>
          </w:p>
        </w:tc>
        <w:tc>
          <w:tcPr>
            <w:tcW w:w="2540" w:type="dxa"/>
            <w:vAlign w:val="bottom"/>
            <w:gridSpan w:val="5"/>
            <w:vMerge w:val="continue"/>
            <w:shd w:val="clear" w:color="auto" w:fill="003445"/>
          </w:tcPr>
          <w:p>
            <w:pPr>
              <w:spacing w:after="0"/>
              <w:rPr>
                <w:sz w:val="18"/>
                <w:szCs w:val="18"/>
                <w:color w:val="auto"/>
              </w:rPr>
            </w:pPr>
          </w:p>
        </w:tc>
        <w:tc>
          <w:tcPr>
            <w:tcW w:w="740" w:type="dxa"/>
            <w:vAlign w:val="bottom"/>
            <w:tcBorders>
              <w:right w:val="single" w:sz="8" w:color="231F20"/>
            </w:tcBorders>
            <w:vMerge w:val="continue"/>
            <w:shd w:val="clear" w:color="auto" w:fill="003445"/>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1000" w:type="dxa"/>
            <w:vAlign w:val="bottom"/>
            <w:tcBorders>
              <w:left w:val="single" w:sz="8" w:color="231F20"/>
              <w:bottom w:val="single" w:sz="8" w:color="231F20"/>
            </w:tcBorders>
            <w:shd w:val="clear" w:color="auto" w:fill="003445"/>
          </w:tcPr>
          <w:p>
            <w:pPr>
              <w:spacing w:after="0"/>
              <w:rPr>
                <w:sz w:val="24"/>
                <w:szCs w:val="24"/>
                <w:color w:val="auto"/>
              </w:rPr>
            </w:pPr>
          </w:p>
        </w:tc>
        <w:tc>
          <w:tcPr>
            <w:tcW w:w="3400" w:type="dxa"/>
            <w:vAlign w:val="bottom"/>
            <w:tcBorders>
              <w:bottom w:val="single" w:sz="8" w:color="231F20"/>
              <w:right w:val="single" w:sz="8" w:color="003445"/>
            </w:tcBorders>
            <w:gridSpan w:val="6"/>
            <w:shd w:val="clear" w:color="auto" w:fill="003445"/>
          </w:tcPr>
          <w:p>
            <w:pPr>
              <w:jc w:val="center"/>
              <w:ind w:right="244"/>
              <w:spacing w:after="0"/>
              <w:rPr>
                <w:sz w:val="20"/>
                <w:szCs w:val="20"/>
                <w:color w:val="auto"/>
              </w:rPr>
            </w:pPr>
            <w:r>
              <w:rPr>
                <w:rFonts w:ascii="Arial" w:cs="Arial" w:eastAsia="Arial" w:hAnsi="Arial"/>
                <w:sz w:val="19"/>
                <w:szCs w:val="19"/>
                <w:b w:val="1"/>
                <w:bCs w:val="1"/>
                <w:color w:val="FFFFFF"/>
              </w:rPr>
              <w:t>Board / Committee Memberships</w:t>
            </w:r>
          </w:p>
        </w:tc>
        <w:tc>
          <w:tcPr>
            <w:tcW w:w="540" w:type="dxa"/>
            <w:vAlign w:val="bottom"/>
            <w:tcBorders>
              <w:bottom w:val="single" w:sz="8" w:color="231F20"/>
              <w:right w:val="single" w:sz="8" w:color="231F20"/>
            </w:tcBorders>
            <w:shd w:val="clear" w:color="auto" w:fill="003445"/>
          </w:tcPr>
          <w:p>
            <w:pPr>
              <w:spacing w:after="0"/>
              <w:rPr>
                <w:sz w:val="24"/>
                <w:szCs w:val="24"/>
                <w:color w:val="auto"/>
              </w:rPr>
            </w:pPr>
          </w:p>
        </w:tc>
        <w:tc>
          <w:tcPr>
            <w:tcW w:w="380" w:type="dxa"/>
            <w:vAlign w:val="bottom"/>
            <w:tcBorders>
              <w:bottom w:val="single" w:sz="8" w:color="231F20"/>
            </w:tcBorders>
            <w:shd w:val="clear" w:color="auto" w:fill="003445"/>
          </w:tcPr>
          <w:p>
            <w:pPr>
              <w:spacing w:after="0"/>
              <w:rPr>
                <w:sz w:val="24"/>
                <w:szCs w:val="24"/>
                <w:color w:val="auto"/>
              </w:rPr>
            </w:pPr>
          </w:p>
        </w:tc>
        <w:tc>
          <w:tcPr>
            <w:tcW w:w="160" w:type="dxa"/>
            <w:vAlign w:val="bottom"/>
            <w:tcBorders>
              <w:bottom w:val="single" w:sz="8" w:color="231F20"/>
              <w:right w:val="single" w:sz="8" w:color="003445"/>
            </w:tcBorders>
            <w:shd w:val="clear" w:color="auto" w:fill="003445"/>
          </w:tcPr>
          <w:p>
            <w:pPr>
              <w:spacing w:after="0"/>
              <w:rPr>
                <w:sz w:val="24"/>
                <w:szCs w:val="24"/>
                <w:color w:val="auto"/>
              </w:rPr>
            </w:pPr>
          </w:p>
        </w:tc>
        <w:tc>
          <w:tcPr>
            <w:tcW w:w="1320" w:type="dxa"/>
            <w:vAlign w:val="bottom"/>
            <w:tcBorders>
              <w:bottom w:val="single" w:sz="8" w:color="231F20"/>
            </w:tcBorders>
            <w:gridSpan w:val="2"/>
            <w:shd w:val="clear" w:color="auto" w:fill="003445"/>
          </w:tcPr>
          <w:p>
            <w:pPr>
              <w:jc w:val="center"/>
              <w:spacing w:after="0"/>
              <w:rPr>
                <w:sz w:val="20"/>
                <w:szCs w:val="20"/>
                <w:color w:val="auto"/>
              </w:rPr>
            </w:pPr>
            <w:r>
              <w:rPr>
                <w:rFonts w:ascii="Arial" w:cs="Arial" w:eastAsia="Arial" w:hAnsi="Arial"/>
                <w:sz w:val="19"/>
                <w:szCs w:val="19"/>
                <w:b w:val="1"/>
                <w:bCs w:val="1"/>
                <w:color w:val="FFFFFF"/>
              </w:rPr>
              <w:t>in Fiscal 2025</w:t>
            </w:r>
          </w:p>
        </w:tc>
        <w:tc>
          <w:tcPr>
            <w:tcW w:w="500" w:type="dxa"/>
            <w:vAlign w:val="bottom"/>
            <w:tcBorders>
              <w:bottom w:val="single" w:sz="8" w:color="231F20"/>
              <w:right w:val="single" w:sz="8" w:color="231F20"/>
            </w:tcBorders>
            <w:shd w:val="clear" w:color="auto" w:fill="003445"/>
          </w:tcPr>
          <w:p>
            <w:pPr>
              <w:spacing w:after="0"/>
              <w:rPr>
                <w:sz w:val="24"/>
                <w:szCs w:val="24"/>
                <w:color w:val="auto"/>
              </w:rPr>
            </w:pPr>
          </w:p>
        </w:tc>
        <w:tc>
          <w:tcPr>
            <w:tcW w:w="120" w:type="dxa"/>
            <w:vAlign w:val="bottom"/>
            <w:tcBorders>
              <w:bottom w:val="single" w:sz="8" w:color="231F20"/>
            </w:tcBorders>
            <w:shd w:val="clear" w:color="auto" w:fill="003445"/>
          </w:tcPr>
          <w:p>
            <w:pPr>
              <w:spacing w:after="0"/>
              <w:rPr>
                <w:sz w:val="24"/>
                <w:szCs w:val="24"/>
                <w:color w:val="auto"/>
              </w:rPr>
            </w:pPr>
          </w:p>
        </w:tc>
        <w:tc>
          <w:tcPr>
            <w:tcW w:w="200" w:type="dxa"/>
            <w:vAlign w:val="bottom"/>
            <w:tcBorders>
              <w:bottom w:val="single" w:sz="8" w:color="231F20"/>
              <w:right w:val="single" w:sz="8" w:color="003445"/>
            </w:tcBorders>
            <w:shd w:val="clear" w:color="auto" w:fill="003445"/>
          </w:tcPr>
          <w:p>
            <w:pPr>
              <w:spacing w:after="0"/>
              <w:rPr>
                <w:sz w:val="24"/>
                <w:szCs w:val="24"/>
                <w:color w:val="auto"/>
              </w:rPr>
            </w:pPr>
          </w:p>
        </w:tc>
        <w:tc>
          <w:tcPr>
            <w:tcW w:w="1060" w:type="dxa"/>
            <w:vAlign w:val="bottom"/>
            <w:tcBorders>
              <w:bottom w:val="single" w:sz="8" w:color="231F20"/>
              <w:right w:val="single" w:sz="8" w:color="003445"/>
            </w:tcBorders>
            <w:shd w:val="clear" w:color="auto" w:fill="003445"/>
          </w:tcPr>
          <w:p>
            <w:pPr>
              <w:spacing w:after="0"/>
              <w:rPr>
                <w:sz w:val="24"/>
                <w:szCs w:val="24"/>
                <w:color w:val="auto"/>
              </w:rPr>
            </w:pPr>
          </w:p>
        </w:tc>
        <w:tc>
          <w:tcPr>
            <w:tcW w:w="1080" w:type="dxa"/>
            <w:vAlign w:val="bottom"/>
            <w:tcBorders>
              <w:bottom w:val="single" w:sz="8" w:color="231F20"/>
              <w:right w:val="single" w:sz="8" w:color="003445"/>
            </w:tcBorders>
            <w:shd w:val="clear" w:color="auto" w:fill="003445"/>
          </w:tcPr>
          <w:p>
            <w:pPr>
              <w:spacing w:after="0"/>
              <w:rPr>
                <w:sz w:val="24"/>
                <w:szCs w:val="24"/>
                <w:color w:val="auto"/>
              </w:rPr>
            </w:pPr>
          </w:p>
        </w:tc>
        <w:tc>
          <w:tcPr>
            <w:tcW w:w="160" w:type="dxa"/>
            <w:vAlign w:val="bottom"/>
            <w:tcBorders>
              <w:bottom w:val="single" w:sz="8" w:color="231F20"/>
            </w:tcBorders>
            <w:shd w:val="clear" w:color="auto" w:fill="003445"/>
          </w:tcPr>
          <w:p>
            <w:pPr>
              <w:spacing w:after="0"/>
              <w:rPr>
                <w:sz w:val="24"/>
                <w:szCs w:val="24"/>
                <w:color w:val="auto"/>
              </w:rPr>
            </w:pPr>
          </w:p>
        </w:tc>
        <w:tc>
          <w:tcPr>
            <w:tcW w:w="40" w:type="dxa"/>
            <w:vAlign w:val="bottom"/>
            <w:tcBorders>
              <w:bottom w:val="single" w:sz="8" w:color="231F20"/>
            </w:tcBorders>
            <w:shd w:val="clear" w:color="auto" w:fill="003445"/>
          </w:tcPr>
          <w:p>
            <w:pPr>
              <w:spacing w:after="0"/>
              <w:rPr>
                <w:sz w:val="24"/>
                <w:szCs w:val="24"/>
                <w:color w:val="auto"/>
              </w:rPr>
            </w:pPr>
          </w:p>
        </w:tc>
        <w:tc>
          <w:tcPr>
            <w:tcW w:w="740" w:type="dxa"/>
            <w:vAlign w:val="bottom"/>
            <w:tcBorders>
              <w:bottom w:val="single" w:sz="8" w:color="231F20"/>
              <w:right w:val="single" w:sz="8" w:color="231F20"/>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000" w:type="dxa"/>
            <w:vAlign w:val="bottom"/>
            <w:tcBorders>
              <w:left w:val="single" w:sz="8" w:color="231F20"/>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80" w:type="dxa"/>
            <w:vAlign w:val="bottom"/>
            <w:tcBorders>
              <w:bottom w:val="single" w:sz="8" w:color="231F20"/>
            </w:tcBorders>
          </w:tcPr>
          <w:p>
            <w:pPr>
              <w:spacing w:after="0"/>
              <w:rPr>
                <w:sz w:val="24"/>
                <w:szCs w:val="24"/>
                <w:color w:val="auto"/>
              </w:rPr>
            </w:pPr>
          </w:p>
        </w:tc>
        <w:tc>
          <w:tcPr>
            <w:tcW w:w="600" w:type="dxa"/>
            <w:vAlign w:val="bottom"/>
            <w:tcBorders>
              <w:bottom w:val="single" w:sz="8" w:color="231F20"/>
            </w:tcBorders>
          </w:tcPr>
          <w:p>
            <w:pPr>
              <w:jc w:val="center"/>
              <w:ind w:right="1"/>
              <w:spacing w:after="0"/>
              <w:rPr>
                <w:sz w:val="20"/>
                <w:szCs w:val="20"/>
                <w:color w:val="auto"/>
              </w:rPr>
            </w:pPr>
            <w:r>
              <w:rPr>
                <w:rFonts w:ascii="Arial" w:cs="Arial" w:eastAsia="Arial" w:hAnsi="Arial"/>
                <w:sz w:val="19"/>
                <w:szCs w:val="19"/>
                <w:color w:val="auto"/>
              </w:rPr>
              <w:t>Board</w:t>
            </w:r>
          </w:p>
        </w:tc>
        <w:tc>
          <w:tcPr>
            <w:tcW w:w="46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900" w:type="dxa"/>
            <w:vAlign w:val="bottom"/>
            <w:tcBorders>
              <w:bottom w:val="single" w:sz="8" w:color="231F20"/>
            </w:tcBorders>
          </w:tcPr>
          <w:p>
            <w:pPr>
              <w:spacing w:after="0"/>
              <w:rPr>
                <w:sz w:val="24"/>
                <w:szCs w:val="24"/>
                <w:color w:val="auto"/>
              </w:rPr>
            </w:pPr>
          </w:p>
        </w:tc>
        <w:tc>
          <w:tcPr>
            <w:tcW w:w="540" w:type="dxa"/>
            <w:vAlign w:val="bottom"/>
            <w:tcBorders>
              <w:bottom w:val="single" w:sz="8" w:color="231F20"/>
              <w:right w:val="single" w:sz="8" w:color="231F20"/>
            </w:tcBorders>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160" w:type="dxa"/>
            <w:vAlign w:val="bottom"/>
            <w:tcBorders>
              <w:bottom w:val="single" w:sz="8" w:color="231F20"/>
            </w:tcBorders>
          </w:tcPr>
          <w:p>
            <w:pPr>
              <w:spacing w:after="0"/>
              <w:rPr>
                <w:sz w:val="24"/>
                <w:szCs w:val="24"/>
                <w:color w:val="auto"/>
              </w:rPr>
            </w:pPr>
          </w:p>
        </w:tc>
        <w:tc>
          <w:tcPr>
            <w:tcW w:w="1320" w:type="dxa"/>
            <w:vAlign w:val="bottom"/>
            <w:tcBorders>
              <w:bottom w:val="single" w:sz="8" w:color="231F20"/>
            </w:tcBorders>
            <w:gridSpan w:val="2"/>
          </w:tcPr>
          <w:p>
            <w:pPr>
              <w:jc w:val="center"/>
              <w:spacing w:after="0"/>
              <w:rPr>
                <w:sz w:val="20"/>
                <w:szCs w:val="20"/>
                <w:color w:val="auto"/>
              </w:rPr>
            </w:pPr>
            <w:r>
              <w:rPr>
                <w:rFonts w:ascii="Arial" w:cs="Arial" w:eastAsia="Arial" w:hAnsi="Arial"/>
                <w:sz w:val="38"/>
                <w:szCs w:val="38"/>
                <w:color w:val="auto"/>
                <w:w w:val="84"/>
                <w:vertAlign w:val="subscript"/>
              </w:rPr>
              <w:t>N/A</w:t>
            </w:r>
            <w:r>
              <w:rPr>
                <w:rFonts w:ascii="Arial" w:cs="Arial" w:eastAsia="Arial" w:hAnsi="Arial"/>
                <w:sz w:val="14"/>
                <w:szCs w:val="14"/>
                <w:color w:val="auto"/>
                <w:w w:val="84"/>
              </w:rPr>
              <w:t>(7)</w:t>
            </w:r>
          </w:p>
        </w:tc>
        <w:tc>
          <w:tcPr>
            <w:tcW w:w="500" w:type="dxa"/>
            <w:vAlign w:val="bottom"/>
            <w:tcBorders>
              <w:bottom w:val="single" w:sz="8" w:color="231F20"/>
              <w:right w:val="single" w:sz="8" w:color="231F20"/>
            </w:tcBorders>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20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spacing w:after="0"/>
              <w:rPr>
                <w:sz w:val="24"/>
                <w:szCs w:val="24"/>
                <w:color w:val="auto"/>
              </w:rPr>
            </w:pPr>
          </w:p>
        </w:tc>
        <w:tc>
          <w:tcPr>
            <w:tcW w:w="1240" w:type="dxa"/>
            <w:vAlign w:val="bottom"/>
            <w:tcBorders>
              <w:bottom w:val="single" w:sz="8" w:color="231F20"/>
            </w:tcBorders>
            <w:gridSpan w:val="2"/>
          </w:tcPr>
          <w:p>
            <w:pPr>
              <w:ind w:left="180"/>
              <w:spacing w:after="0"/>
              <w:rPr>
                <w:sz w:val="20"/>
                <w:szCs w:val="20"/>
                <w:color w:val="auto"/>
              </w:rPr>
            </w:pPr>
            <w:r>
              <w:rPr>
                <w:rFonts w:ascii="Arial" w:cs="Arial" w:eastAsia="Arial" w:hAnsi="Arial"/>
                <w:sz w:val="19"/>
                <w:szCs w:val="19"/>
                <w:color w:val="auto"/>
              </w:rPr>
              <w:t>N/A</w:t>
            </w:r>
          </w:p>
        </w:tc>
        <w:tc>
          <w:tcPr>
            <w:tcW w:w="40" w:type="dxa"/>
            <w:vAlign w:val="bottom"/>
            <w:tcBorders>
              <w:bottom w:val="single" w:sz="8" w:color="231F20"/>
            </w:tcBorders>
          </w:tcPr>
          <w:p>
            <w:pPr>
              <w:spacing w:after="0"/>
              <w:rPr>
                <w:sz w:val="24"/>
                <w:szCs w:val="24"/>
                <w:color w:val="auto"/>
              </w:rPr>
            </w:pPr>
          </w:p>
        </w:tc>
        <w:tc>
          <w:tcPr>
            <w:tcW w:w="740" w:type="dxa"/>
            <w:vAlign w:val="bottom"/>
            <w:tcBorders>
              <w:bottom w:val="single" w:sz="8" w:color="231F20"/>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000" w:type="dxa"/>
            <w:vAlign w:val="bottom"/>
            <w:tcBorders>
              <w:left w:val="single" w:sz="8" w:color="231F20"/>
            </w:tcBorders>
            <w:shd w:val="clear" w:color="auto" w:fill="003445"/>
          </w:tcPr>
          <w:p>
            <w:pPr>
              <w:spacing w:after="0"/>
              <w:rPr>
                <w:sz w:val="20"/>
                <w:szCs w:val="20"/>
                <w:color w:val="auto"/>
              </w:rPr>
            </w:pPr>
          </w:p>
        </w:tc>
        <w:tc>
          <w:tcPr>
            <w:tcW w:w="200" w:type="dxa"/>
            <w:vAlign w:val="bottom"/>
            <w:tcBorders>
              <w:right w:val="single" w:sz="8" w:color="003445"/>
            </w:tcBorders>
            <w:shd w:val="clear" w:color="auto" w:fill="003445"/>
          </w:tcPr>
          <w:p>
            <w:pPr>
              <w:spacing w:after="0"/>
              <w:rPr>
                <w:sz w:val="20"/>
                <w:szCs w:val="20"/>
                <w:color w:val="auto"/>
              </w:rPr>
            </w:pPr>
          </w:p>
        </w:tc>
        <w:tc>
          <w:tcPr>
            <w:tcW w:w="1080" w:type="dxa"/>
            <w:vAlign w:val="bottom"/>
            <w:tcBorders>
              <w:right w:val="single" w:sz="8" w:color="003445"/>
            </w:tcBorders>
            <w:shd w:val="clear" w:color="auto" w:fill="003445"/>
          </w:tcPr>
          <w:p>
            <w:pPr>
              <w:spacing w:after="0"/>
              <w:rPr>
                <w:sz w:val="20"/>
                <w:szCs w:val="20"/>
                <w:color w:val="auto"/>
              </w:rPr>
            </w:pPr>
          </w:p>
        </w:tc>
        <w:tc>
          <w:tcPr>
            <w:tcW w:w="600" w:type="dxa"/>
            <w:vAlign w:val="bottom"/>
            <w:tcBorders>
              <w:right w:val="single" w:sz="8" w:color="003445"/>
            </w:tcBorders>
            <w:shd w:val="clear" w:color="auto" w:fill="003445"/>
          </w:tcPr>
          <w:p>
            <w:pPr>
              <w:spacing w:after="0"/>
              <w:rPr>
                <w:sz w:val="20"/>
                <w:szCs w:val="20"/>
                <w:color w:val="auto"/>
              </w:rPr>
            </w:pPr>
          </w:p>
        </w:tc>
        <w:tc>
          <w:tcPr>
            <w:tcW w:w="460" w:type="dxa"/>
            <w:vAlign w:val="bottom"/>
            <w:tcBorders>
              <w:right w:val="single" w:sz="8" w:color="003445"/>
            </w:tcBorders>
            <w:shd w:val="clear" w:color="auto" w:fill="003445"/>
          </w:tcPr>
          <w:p>
            <w:pPr>
              <w:spacing w:after="0"/>
              <w:rPr>
                <w:sz w:val="20"/>
                <w:szCs w:val="20"/>
                <w:color w:val="auto"/>
              </w:rPr>
            </w:pPr>
          </w:p>
        </w:tc>
        <w:tc>
          <w:tcPr>
            <w:tcW w:w="160" w:type="dxa"/>
            <w:vAlign w:val="bottom"/>
            <w:shd w:val="clear" w:color="auto" w:fill="003445"/>
          </w:tcPr>
          <w:p>
            <w:pPr>
              <w:spacing w:after="0"/>
              <w:rPr>
                <w:sz w:val="20"/>
                <w:szCs w:val="20"/>
                <w:color w:val="auto"/>
              </w:rPr>
            </w:pPr>
          </w:p>
        </w:tc>
        <w:tc>
          <w:tcPr>
            <w:tcW w:w="3920" w:type="dxa"/>
            <w:vAlign w:val="bottom"/>
            <w:gridSpan w:val="8"/>
            <w:shd w:val="clear" w:color="auto" w:fill="003445"/>
          </w:tcPr>
          <w:p>
            <w:pPr>
              <w:jc w:val="center"/>
              <w:ind w:right="120"/>
              <w:spacing w:after="0"/>
              <w:rPr>
                <w:sz w:val="20"/>
                <w:szCs w:val="20"/>
                <w:color w:val="auto"/>
              </w:rPr>
            </w:pPr>
            <w:r>
              <w:rPr>
                <w:rFonts w:ascii="Arial" w:cs="Arial" w:eastAsia="Arial" w:hAnsi="Arial"/>
                <w:sz w:val="17"/>
                <w:szCs w:val="17"/>
                <w:b w:val="1"/>
                <w:bCs w:val="1"/>
                <w:color w:val="FFFFFF"/>
              </w:rPr>
              <w:t>Securities Beneficially Owned or Controlled</w:t>
            </w:r>
          </w:p>
        </w:tc>
        <w:tc>
          <w:tcPr>
            <w:tcW w:w="200" w:type="dxa"/>
            <w:vAlign w:val="bottom"/>
            <w:tcBorders>
              <w:right w:val="single" w:sz="8" w:color="003445"/>
            </w:tcBorders>
            <w:shd w:val="clear" w:color="auto" w:fill="003445"/>
          </w:tcPr>
          <w:p>
            <w:pPr>
              <w:spacing w:after="0"/>
              <w:rPr>
                <w:sz w:val="20"/>
                <w:szCs w:val="20"/>
                <w:color w:val="auto"/>
              </w:rPr>
            </w:pPr>
          </w:p>
        </w:tc>
        <w:tc>
          <w:tcPr>
            <w:tcW w:w="1060" w:type="dxa"/>
            <w:vAlign w:val="bottom"/>
            <w:tcBorders>
              <w:right w:val="single" w:sz="8" w:color="003445"/>
            </w:tcBorders>
            <w:shd w:val="clear" w:color="auto" w:fill="003445"/>
          </w:tcPr>
          <w:p>
            <w:pPr>
              <w:spacing w:after="0"/>
              <w:rPr>
                <w:sz w:val="20"/>
                <w:szCs w:val="20"/>
                <w:color w:val="auto"/>
              </w:rPr>
            </w:pPr>
          </w:p>
        </w:tc>
        <w:tc>
          <w:tcPr>
            <w:tcW w:w="1080" w:type="dxa"/>
            <w:vAlign w:val="bottom"/>
            <w:tcBorders>
              <w:right w:val="single" w:sz="8" w:color="003445"/>
            </w:tcBorders>
            <w:shd w:val="clear" w:color="auto" w:fill="003445"/>
          </w:tcPr>
          <w:p>
            <w:pPr>
              <w:spacing w:after="0"/>
              <w:rPr>
                <w:sz w:val="20"/>
                <w:szCs w:val="20"/>
                <w:color w:val="auto"/>
              </w:rPr>
            </w:pPr>
          </w:p>
        </w:tc>
        <w:tc>
          <w:tcPr>
            <w:tcW w:w="160" w:type="dxa"/>
            <w:vAlign w:val="bottom"/>
            <w:shd w:val="clear" w:color="auto" w:fill="003445"/>
          </w:tcPr>
          <w:p>
            <w:pPr>
              <w:spacing w:after="0"/>
              <w:rPr>
                <w:sz w:val="20"/>
                <w:szCs w:val="20"/>
                <w:color w:val="auto"/>
              </w:rPr>
            </w:pPr>
          </w:p>
        </w:tc>
        <w:tc>
          <w:tcPr>
            <w:tcW w:w="40" w:type="dxa"/>
            <w:vAlign w:val="bottom"/>
            <w:shd w:val="clear" w:color="auto" w:fill="003445"/>
          </w:tcPr>
          <w:p>
            <w:pPr>
              <w:spacing w:after="0"/>
              <w:rPr>
                <w:sz w:val="20"/>
                <w:szCs w:val="20"/>
                <w:color w:val="auto"/>
              </w:rPr>
            </w:pPr>
          </w:p>
        </w:tc>
        <w:tc>
          <w:tcPr>
            <w:tcW w:w="740" w:type="dxa"/>
            <w:vAlign w:val="bottom"/>
            <w:tcBorders>
              <w:right w:val="single" w:sz="8" w:color="231F20"/>
            </w:tcBorders>
            <w:shd w:val="clear" w:color="auto" w:fill="003445"/>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000" w:type="dxa"/>
            <w:vAlign w:val="bottom"/>
            <w:tcBorders>
              <w:left w:val="single" w:sz="8" w:color="231F20"/>
              <w:bottom w:val="single" w:sz="8" w:color="003445"/>
            </w:tcBorders>
            <w:shd w:val="clear" w:color="auto" w:fill="003445"/>
          </w:tcPr>
          <w:p>
            <w:pPr>
              <w:spacing w:after="0"/>
              <w:rPr>
                <w:sz w:val="23"/>
                <w:szCs w:val="23"/>
                <w:color w:val="auto"/>
              </w:rPr>
            </w:pPr>
          </w:p>
        </w:tc>
        <w:tc>
          <w:tcPr>
            <w:tcW w:w="200" w:type="dxa"/>
            <w:vAlign w:val="bottom"/>
            <w:tcBorders>
              <w:bottom w:val="single" w:sz="8" w:color="003445"/>
              <w:right w:val="single" w:sz="8" w:color="003445"/>
            </w:tcBorders>
            <w:shd w:val="clear" w:color="auto" w:fill="003445"/>
          </w:tcPr>
          <w:p>
            <w:pPr>
              <w:spacing w:after="0"/>
              <w:rPr>
                <w:sz w:val="23"/>
                <w:szCs w:val="23"/>
                <w:color w:val="auto"/>
              </w:rPr>
            </w:pPr>
          </w:p>
        </w:tc>
        <w:tc>
          <w:tcPr>
            <w:tcW w:w="1080" w:type="dxa"/>
            <w:vAlign w:val="bottom"/>
            <w:tcBorders>
              <w:bottom w:val="single" w:sz="8" w:color="003445"/>
              <w:right w:val="single" w:sz="8" w:color="003445"/>
            </w:tcBorders>
            <w:shd w:val="clear" w:color="auto" w:fill="003445"/>
          </w:tcPr>
          <w:p>
            <w:pPr>
              <w:spacing w:after="0"/>
              <w:rPr>
                <w:sz w:val="23"/>
                <w:szCs w:val="23"/>
                <w:color w:val="auto"/>
              </w:rPr>
            </w:pPr>
          </w:p>
        </w:tc>
        <w:tc>
          <w:tcPr>
            <w:tcW w:w="600" w:type="dxa"/>
            <w:vAlign w:val="bottom"/>
            <w:tcBorders>
              <w:bottom w:val="single" w:sz="8" w:color="003445"/>
              <w:right w:val="single" w:sz="8" w:color="003445"/>
            </w:tcBorders>
            <w:shd w:val="clear" w:color="auto" w:fill="003445"/>
          </w:tcPr>
          <w:p>
            <w:pPr>
              <w:spacing w:after="0"/>
              <w:rPr>
                <w:sz w:val="23"/>
                <w:szCs w:val="23"/>
                <w:color w:val="auto"/>
              </w:rPr>
            </w:pPr>
          </w:p>
        </w:tc>
        <w:tc>
          <w:tcPr>
            <w:tcW w:w="460" w:type="dxa"/>
            <w:vAlign w:val="bottom"/>
            <w:tcBorders>
              <w:bottom w:val="single" w:sz="8" w:color="003445"/>
              <w:right w:val="single" w:sz="8" w:color="003445"/>
            </w:tcBorders>
            <w:shd w:val="clear" w:color="auto" w:fill="003445"/>
          </w:tcPr>
          <w:p>
            <w:pPr>
              <w:spacing w:after="0"/>
              <w:rPr>
                <w:sz w:val="23"/>
                <w:szCs w:val="23"/>
                <w:color w:val="auto"/>
              </w:rPr>
            </w:pPr>
          </w:p>
        </w:tc>
        <w:tc>
          <w:tcPr>
            <w:tcW w:w="160" w:type="dxa"/>
            <w:vAlign w:val="bottom"/>
            <w:tcBorders>
              <w:bottom w:val="single" w:sz="8" w:color="003445"/>
            </w:tcBorders>
            <w:shd w:val="clear" w:color="auto" w:fill="003445"/>
          </w:tcPr>
          <w:p>
            <w:pPr>
              <w:spacing w:after="0"/>
              <w:rPr>
                <w:sz w:val="23"/>
                <w:szCs w:val="23"/>
                <w:color w:val="auto"/>
              </w:rPr>
            </w:pPr>
          </w:p>
        </w:tc>
        <w:tc>
          <w:tcPr>
            <w:tcW w:w="900" w:type="dxa"/>
            <w:vAlign w:val="bottom"/>
            <w:tcBorders>
              <w:bottom w:val="single" w:sz="8" w:color="003445"/>
              <w:right w:val="single" w:sz="8" w:color="003445"/>
            </w:tcBorders>
            <w:shd w:val="clear" w:color="auto" w:fill="003445"/>
          </w:tcPr>
          <w:p>
            <w:pPr>
              <w:spacing w:after="0"/>
              <w:rPr>
                <w:sz w:val="23"/>
                <w:szCs w:val="23"/>
                <w:color w:val="auto"/>
              </w:rPr>
            </w:pPr>
          </w:p>
        </w:tc>
        <w:tc>
          <w:tcPr>
            <w:tcW w:w="2400" w:type="dxa"/>
            <w:vAlign w:val="bottom"/>
            <w:tcBorders>
              <w:bottom w:val="single" w:sz="8" w:color="003445"/>
            </w:tcBorders>
            <w:gridSpan w:val="5"/>
            <w:shd w:val="clear" w:color="auto" w:fill="003445"/>
          </w:tcPr>
          <w:p>
            <w:pPr>
              <w:jc w:val="center"/>
              <w:ind w:right="400"/>
              <w:spacing w:after="0"/>
              <w:rPr>
                <w:sz w:val="20"/>
                <w:szCs w:val="20"/>
                <w:color w:val="auto"/>
              </w:rPr>
            </w:pPr>
            <w:r>
              <w:rPr>
                <w:rFonts w:ascii="Arial" w:cs="Arial" w:eastAsia="Arial" w:hAnsi="Arial"/>
                <w:sz w:val="17"/>
                <w:szCs w:val="17"/>
                <w:b w:val="1"/>
                <w:bCs w:val="1"/>
                <w:color w:val="FFFFFF"/>
              </w:rPr>
              <w:t>(as at April 30, 2026)</w:t>
            </w:r>
          </w:p>
        </w:tc>
        <w:tc>
          <w:tcPr>
            <w:tcW w:w="500" w:type="dxa"/>
            <w:vAlign w:val="bottom"/>
            <w:tcBorders>
              <w:bottom w:val="single" w:sz="8" w:color="003445"/>
              <w:right w:val="single" w:sz="8" w:color="003445"/>
            </w:tcBorders>
            <w:shd w:val="clear" w:color="auto" w:fill="003445"/>
          </w:tcPr>
          <w:p>
            <w:pPr>
              <w:spacing w:after="0"/>
              <w:rPr>
                <w:sz w:val="23"/>
                <w:szCs w:val="23"/>
                <w:color w:val="auto"/>
              </w:rPr>
            </w:pPr>
          </w:p>
        </w:tc>
        <w:tc>
          <w:tcPr>
            <w:tcW w:w="120" w:type="dxa"/>
            <w:vAlign w:val="bottom"/>
            <w:tcBorders>
              <w:bottom w:val="single" w:sz="8" w:color="003445"/>
            </w:tcBorders>
            <w:shd w:val="clear" w:color="auto" w:fill="003445"/>
          </w:tcPr>
          <w:p>
            <w:pPr>
              <w:spacing w:after="0"/>
              <w:rPr>
                <w:sz w:val="23"/>
                <w:szCs w:val="23"/>
                <w:color w:val="auto"/>
              </w:rPr>
            </w:pPr>
          </w:p>
        </w:tc>
        <w:tc>
          <w:tcPr>
            <w:tcW w:w="200" w:type="dxa"/>
            <w:vAlign w:val="bottom"/>
            <w:tcBorders>
              <w:bottom w:val="single" w:sz="8" w:color="003445"/>
              <w:right w:val="single" w:sz="8" w:color="003445"/>
            </w:tcBorders>
            <w:shd w:val="clear" w:color="auto" w:fill="003445"/>
          </w:tcPr>
          <w:p>
            <w:pPr>
              <w:spacing w:after="0"/>
              <w:rPr>
                <w:sz w:val="23"/>
                <w:szCs w:val="23"/>
                <w:color w:val="auto"/>
              </w:rPr>
            </w:pPr>
          </w:p>
        </w:tc>
        <w:tc>
          <w:tcPr>
            <w:tcW w:w="1060" w:type="dxa"/>
            <w:vAlign w:val="bottom"/>
            <w:tcBorders>
              <w:bottom w:val="single" w:sz="8" w:color="003445"/>
              <w:right w:val="single" w:sz="8" w:color="003445"/>
            </w:tcBorders>
            <w:shd w:val="clear" w:color="auto" w:fill="003445"/>
          </w:tcPr>
          <w:p>
            <w:pPr>
              <w:spacing w:after="0"/>
              <w:rPr>
                <w:sz w:val="23"/>
                <w:szCs w:val="23"/>
                <w:color w:val="auto"/>
              </w:rPr>
            </w:pPr>
          </w:p>
        </w:tc>
        <w:tc>
          <w:tcPr>
            <w:tcW w:w="1080" w:type="dxa"/>
            <w:vAlign w:val="bottom"/>
            <w:tcBorders>
              <w:bottom w:val="single" w:sz="8" w:color="003445"/>
              <w:right w:val="single" w:sz="8" w:color="003445"/>
            </w:tcBorders>
            <w:shd w:val="clear" w:color="auto" w:fill="003445"/>
          </w:tcPr>
          <w:p>
            <w:pPr>
              <w:spacing w:after="0"/>
              <w:rPr>
                <w:sz w:val="23"/>
                <w:szCs w:val="23"/>
                <w:color w:val="auto"/>
              </w:rPr>
            </w:pPr>
          </w:p>
        </w:tc>
        <w:tc>
          <w:tcPr>
            <w:tcW w:w="160" w:type="dxa"/>
            <w:vAlign w:val="bottom"/>
            <w:tcBorders>
              <w:bottom w:val="single" w:sz="8" w:color="003445"/>
            </w:tcBorders>
            <w:shd w:val="clear" w:color="auto" w:fill="003445"/>
          </w:tcPr>
          <w:p>
            <w:pPr>
              <w:spacing w:after="0"/>
              <w:rPr>
                <w:sz w:val="23"/>
                <w:szCs w:val="23"/>
                <w:color w:val="auto"/>
              </w:rPr>
            </w:pPr>
          </w:p>
        </w:tc>
        <w:tc>
          <w:tcPr>
            <w:tcW w:w="40" w:type="dxa"/>
            <w:vAlign w:val="bottom"/>
            <w:tcBorders>
              <w:bottom w:val="single" w:sz="8" w:color="003445"/>
            </w:tcBorders>
            <w:shd w:val="clear" w:color="auto" w:fill="003445"/>
          </w:tcPr>
          <w:p>
            <w:pPr>
              <w:spacing w:after="0"/>
              <w:rPr>
                <w:sz w:val="23"/>
                <w:szCs w:val="23"/>
                <w:color w:val="auto"/>
              </w:rPr>
            </w:pPr>
          </w:p>
        </w:tc>
        <w:tc>
          <w:tcPr>
            <w:tcW w:w="740" w:type="dxa"/>
            <w:vAlign w:val="bottom"/>
            <w:tcBorders>
              <w:bottom w:val="single" w:sz="8" w:color="003445"/>
              <w:right w:val="single" w:sz="8" w:color="231F20"/>
            </w:tcBorders>
            <w:shd w:val="clear" w:color="auto" w:fill="003445"/>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0" w:type="dxa"/>
            <w:vAlign w:val="bottom"/>
            <w:tcBorders>
              <w:top w:val="single" w:sz="8" w:color="231F20"/>
              <w:left w:val="single" w:sz="8" w:color="231F20"/>
            </w:tcBorders>
            <w:shd w:val="clear" w:color="auto" w:fill="F2F2F2"/>
          </w:tcPr>
          <w:p>
            <w:pPr>
              <w:spacing w:after="0"/>
              <w:rPr>
                <w:sz w:val="19"/>
                <w:szCs w:val="19"/>
                <w:color w:val="auto"/>
              </w:rPr>
            </w:pPr>
          </w:p>
        </w:tc>
        <w:tc>
          <w:tcPr>
            <w:tcW w:w="200" w:type="dxa"/>
            <w:vAlign w:val="bottom"/>
            <w:tcBorders>
              <w:top w:val="single" w:sz="8" w:color="231F20"/>
              <w:right w:val="single" w:sz="8" w:color="F2F2F2"/>
            </w:tcBorders>
            <w:shd w:val="clear" w:color="auto" w:fill="F2F2F2"/>
          </w:tcPr>
          <w:p>
            <w:pPr>
              <w:spacing w:after="0"/>
              <w:rPr>
                <w:sz w:val="19"/>
                <w:szCs w:val="19"/>
                <w:color w:val="auto"/>
              </w:rPr>
            </w:pPr>
          </w:p>
        </w:tc>
        <w:tc>
          <w:tcPr>
            <w:tcW w:w="1080" w:type="dxa"/>
            <w:vAlign w:val="bottom"/>
            <w:tcBorders>
              <w:top w:val="single" w:sz="8" w:color="231F20"/>
              <w:right w:val="single" w:sz="8" w:color="231F20"/>
            </w:tcBorders>
            <w:shd w:val="clear" w:color="auto" w:fill="F2F2F2"/>
          </w:tcPr>
          <w:p>
            <w:pPr>
              <w:spacing w:after="0"/>
              <w:rPr>
                <w:sz w:val="19"/>
                <w:szCs w:val="19"/>
                <w:color w:val="auto"/>
              </w:rPr>
            </w:pPr>
          </w:p>
        </w:tc>
        <w:tc>
          <w:tcPr>
            <w:tcW w:w="600" w:type="dxa"/>
            <w:vAlign w:val="bottom"/>
            <w:tcBorders>
              <w:top w:val="single" w:sz="8" w:color="231F20"/>
              <w:right w:val="single" w:sz="8" w:color="F2F2F2"/>
            </w:tcBorders>
            <w:shd w:val="clear" w:color="auto" w:fill="F2F2F2"/>
          </w:tcPr>
          <w:p>
            <w:pPr>
              <w:spacing w:after="0"/>
              <w:rPr>
                <w:sz w:val="19"/>
                <w:szCs w:val="19"/>
                <w:color w:val="auto"/>
              </w:rPr>
            </w:pPr>
          </w:p>
        </w:tc>
        <w:tc>
          <w:tcPr>
            <w:tcW w:w="460" w:type="dxa"/>
            <w:vAlign w:val="bottom"/>
            <w:tcBorders>
              <w:top w:val="single" w:sz="8" w:color="231F20"/>
              <w:right w:val="single" w:sz="8" w:color="F2F2F2"/>
            </w:tcBorders>
            <w:shd w:val="clear" w:color="auto" w:fill="F2F2F2"/>
          </w:tcPr>
          <w:p>
            <w:pPr>
              <w:spacing w:after="0"/>
              <w:rPr>
                <w:sz w:val="19"/>
                <w:szCs w:val="19"/>
                <w:color w:val="auto"/>
              </w:rPr>
            </w:pPr>
          </w:p>
        </w:tc>
        <w:tc>
          <w:tcPr>
            <w:tcW w:w="160" w:type="dxa"/>
            <w:vAlign w:val="bottom"/>
            <w:tcBorders>
              <w:top w:val="single" w:sz="8" w:color="231F20"/>
            </w:tcBorders>
            <w:shd w:val="clear" w:color="auto" w:fill="F2F2F2"/>
          </w:tcPr>
          <w:p>
            <w:pPr>
              <w:spacing w:after="0"/>
              <w:rPr>
                <w:sz w:val="19"/>
                <w:szCs w:val="19"/>
                <w:color w:val="auto"/>
              </w:rPr>
            </w:pPr>
          </w:p>
        </w:tc>
        <w:tc>
          <w:tcPr>
            <w:tcW w:w="900" w:type="dxa"/>
            <w:vAlign w:val="bottom"/>
            <w:tcBorders>
              <w:top w:val="single" w:sz="8" w:color="231F20"/>
              <w:right w:val="single" w:sz="8" w:color="231F20"/>
            </w:tcBorders>
            <w:shd w:val="clear" w:color="auto" w:fill="F2F2F2"/>
          </w:tcPr>
          <w:p>
            <w:pPr>
              <w:spacing w:after="0"/>
              <w:rPr>
                <w:sz w:val="19"/>
                <w:szCs w:val="19"/>
                <w:color w:val="auto"/>
              </w:rPr>
            </w:pPr>
          </w:p>
        </w:tc>
        <w:tc>
          <w:tcPr>
            <w:tcW w:w="540" w:type="dxa"/>
            <w:vAlign w:val="bottom"/>
            <w:tcBorders>
              <w:top w:val="single" w:sz="8" w:color="231F20"/>
              <w:right w:val="single" w:sz="8" w:color="F2F2F2"/>
            </w:tcBorders>
            <w:shd w:val="clear" w:color="auto" w:fill="F2F2F2"/>
          </w:tcPr>
          <w:p>
            <w:pPr>
              <w:spacing w:after="0"/>
              <w:rPr>
                <w:sz w:val="19"/>
                <w:szCs w:val="19"/>
                <w:color w:val="auto"/>
              </w:rPr>
            </w:pPr>
          </w:p>
        </w:tc>
        <w:tc>
          <w:tcPr>
            <w:tcW w:w="1600" w:type="dxa"/>
            <w:vAlign w:val="bottom"/>
            <w:tcBorders>
              <w:top w:val="single" w:sz="8" w:color="231F20"/>
              <w:right w:val="single" w:sz="8" w:color="231F20"/>
            </w:tcBorders>
            <w:gridSpan w:val="3"/>
            <w:shd w:val="clear" w:color="auto" w:fill="F2F2F2"/>
          </w:tcPr>
          <w:p>
            <w:pPr>
              <w:jc w:val="center"/>
              <w:ind w:right="360"/>
              <w:spacing w:after="0"/>
              <w:rPr>
                <w:sz w:val="20"/>
                <w:szCs w:val="20"/>
                <w:color w:val="auto"/>
              </w:rPr>
            </w:pPr>
            <w:r>
              <w:rPr>
                <w:rFonts w:ascii="Arial" w:cs="Arial" w:eastAsia="Arial" w:hAnsi="Arial"/>
                <w:sz w:val="17"/>
                <w:szCs w:val="17"/>
                <w:b w:val="1"/>
                <w:bCs w:val="1"/>
                <w:color w:val="auto"/>
              </w:rPr>
              <w:t>Replacement</w:t>
            </w:r>
          </w:p>
        </w:tc>
        <w:tc>
          <w:tcPr>
            <w:tcW w:w="260" w:type="dxa"/>
            <w:vAlign w:val="bottom"/>
            <w:tcBorders>
              <w:top w:val="single" w:sz="8" w:color="231F20"/>
            </w:tcBorders>
            <w:shd w:val="clear" w:color="auto" w:fill="F2F2F2"/>
          </w:tcPr>
          <w:p>
            <w:pPr>
              <w:spacing w:after="0"/>
              <w:rPr>
                <w:sz w:val="19"/>
                <w:szCs w:val="19"/>
                <w:color w:val="auto"/>
              </w:rPr>
            </w:pPr>
          </w:p>
        </w:tc>
        <w:tc>
          <w:tcPr>
            <w:tcW w:w="500" w:type="dxa"/>
            <w:vAlign w:val="bottom"/>
            <w:tcBorders>
              <w:top w:val="single" w:sz="8" w:color="231F20"/>
              <w:right w:val="single" w:sz="8" w:color="F2F2F2"/>
            </w:tcBorders>
            <w:shd w:val="clear" w:color="auto" w:fill="F2F2F2"/>
          </w:tcPr>
          <w:p>
            <w:pPr>
              <w:spacing w:after="0"/>
              <w:rPr>
                <w:sz w:val="19"/>
                <w:szCs w:val="19"/>
                <w:color w:val="auto"/>
              </w:rPr>
            </w:pPr>
          </w:p>
        </w:tc>
        <w:tc>
          <w:tcPr>
            <w:tcW w:w="120" w:type="dxa"/>
            <w:vAlign w:val="bottom"/>
            <w:tcBorders>
              <w:top w:val="single" w:sz="8" w:color="231F20"/>
            </w:tcBorders>
            <w:shd w:val="clear" w:color="auto" w:fill="F2F2F2"/>
          </w:tcPr>
          <w:p>
            <w:pPr>
              <w:spacing w:after="0"/>
              <w:rPr>
                <w:sz w:val="19"/>
                <w:szCs w:val="19"/>
                <w:color w:val="auto"/>
              </w:rPr>
            </w:pPr>
          </w:p>
        </w:tc>
        <w:tc>
          <w:tcPr>
            <w:tcW w:w="200" w:type="dxa"/>
            <w:vAlign w:val="bottom"/>
            <w:tcBorders>
              <w:top w:val="single" w:sz="8" w:color="231F20"/>
              <w:right w:val="single" w:sz="8" w:color="F2F2F2"/>
            </w:tcBorders>
            <w:shd w:val="clear" w:color="auto" w:fill="F2F2F2"/>
          </w:tcPr>
          <w:p>
            <w:pPr>
              <w:spacing w:after="0"/>
              <w:rPr>
                <w:sz w:val="19"/>
                <w:szCs w:val="19"/>
                <w:color w:val="auto"/>
              </w:rPr>
            </w:pPr>
          </w:p>
        </w:tc>
        <w:tc>
          <w:tcPr>
            <w:tcW w:w="1060" w:type="dxa"/>
            <w:vAlign w:val="bottom"/>
            <w:tcBorders>
              <w:top w:val="single" w:sz="8" w:color="231F20"/>
              <w:right w:val="single" w:sz="8" w:color="231F20"/>
            </w:tcBorders>
            <w:shd w:val="clear" w:color="auto" w:fill="F2F2F2"/>
          </w:tcPr>
          <w:p>
            <w:pPr>
              <w:spacing w:after="0"/>
              <w:rPr>
                <w:sz w:val="19"/>
                <w:szCs w:val="19"/>
                <w:color w:val="auto"/>
              </w:rPr>
            </w:pPr>
          </w:p>
        </w:tc>
        <w:tc>
          <w:tcPr>
            <w:tcW w:w="1080" w:type="dxa"/>
            <w:vAlign w:val="bottom"/>
            <w:tcBorders>
              <w:top w:val="single" w:sz="8" w:color="231F20"/>
              <w:right w:val="single" w:sz="8" w:color="F2F2F2"/>
            </w:tcBorders>
            <w:shd w:val="clear" w:color="auto" w:fill="F2F2F2"/>
          </w:tcPr>
          <w:p>
            <w:pPr>
              <w:spacing w:after="0"/>
              <w:rPr>
                <w:sz w:val="19"/>
                <w:szCs w:val="19"/>
                <w:color w:val="auto"/>
              </w:rPr>
            </w:pPr>
          </w:p>
        </w:tc>
        <w:tc>
          <w:tcPr>
            <w:tcW w:w="160" w:type="dxa"/>
            <w:vAlign w:val="bottom"/>
            <w:tcBorders>
              <w:top w:val="single" w:sz="8" w:color="231F20"/>
            </w:tcBorders>
            <w:shd w:val="clear" w:color="auto" w:fill="F2F2F2"/>
          </w:tcPr>
          <w:p>
            <w:pPr>
              <w:spacing w:after="0"/>
              <w:rPr>
                <w:sz w:val="19"/>
                <w:szCs w:val="19"/>
                <w:color w:val="auto"/>
              </w:rPr>
            </w:pPr>
          </w:p>
        </w:tc>
        <w:tc>
          <w:tcPr>
            <w:tcW w:w="40" w:type="dxa"/>
            <w:vAlign w:val="bottom"/>
            <w:tcBorders>
              <w:top w:val="single" w:sz="8" w:color="231F20"/>
            </w:tcBorders>
            <w:shd w:val="clear" w:color="auto" w:fill="F2F2F2"/>
          </w:tcPr>
          <w:p>
            <w:pPr>
              <w:spacing w:after="0"/>
              <w:rPr>
                <w:sz w:val="19"/>
                <w:szCs w:val="19"/>
                <w:color w:val="auto"/>
              </w:rPr>
            </w:pPr>
          </w:p>
        </w:tc>
        <w:tc>
          <w:tcPr>
            <w:tcW w:w="740" w:type="dxa"/>
            <w:vAlign w:val="bottom"/>
            <w:tcBorders>
              <w:top w:val="single" w:sz="8" w:color="231F20"/>
              <w:right w:val="single" w:sz="8" w:color="231F20"/>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280" w:type="dxa"/>
            <w:vAlign w:val="bottom"/>
            <w:tcBorders>
              <w:left w:val="single" w:sz="8" w:color="231F20"/>
              <w:bottom w:val="single" w:sz="8" w:color="F2F2F2"/>
              <w:right w:val="single" w:sz="8" w:color="231F20"/>
            </w:tcBorders>
            <w:gridSpan w:val="3"/>
            <w:shd w:val="clear" w:color="auto" w:fill="F2F2F2"/>
          </w:tcPr>
          <w:p>
            <w:pPr>
              <w:ind w:left="920"/>
              <w:spacing w:after="0"/>
              <w:rPr>
                <w:sz w:val="20"/>
                <w:szCs w:val="20"/>
                <w:color w:val="auto"/>
              </w:rPr>
            </w:pPr>
            <w:r>
              <w:rPr>
                <w:rFonts w:ascii="Arial" w:cs="Arial" w:eastAsia="Arial" w:hAnsi="Arial"/>
                <w:sz w:val="17"/>
                <w:szCs w:val="17"/>
                <w:b w:val="1"/>
                <w:bCs w:val="1"/>
                <w:color w:val="auto"/>
              </w:rPr>
              <w:t>Shares</w:t>
            </w:r>
          </w:p>
        </w:tc>
        <w:tc>
          <w:tcPr>
            <w:tcW w:w="600" w:type="dxa"/>
            <w:vAlign w:val="bottom"/>
            <w:tcBorders>
              <w:bottom w:val="single" w:sz="8" w:color="F2F2F2"/>
              <w:right w:val="single" w:sz="8" w:color="F2F2F2"/>
            </w:tcBorders>
            <w:shd w:val="clear" w:color="auto" w:fill="F2F2F2"/>
          </w:tcPr>
          <w:p>
            <w:pPr>
              <w:spacing w:after="0"/>
              <w:rPr>
                <w:sz w:val="23"/>
                <w:szCs w:val="23"/>
                <w:color w:val="auto"/>
              </w:rPr>
            </w:pPr>
          </w:p>
        </w:tc>
        <w:tc>
          <w:tcPr>
            <w:tcW w:w="1520" w:type="dxa"/>
            <w:vAlign w:val="bottom"/>
            <w:tcBorders>
              <w:bottom w:val="single" w:sz="8" w:color="F2F2F2"/>
              <w:right w:val="single" w:sz="8" w:color="231F20"/>
            </w:tcBorders>
            <w:gridSpan w:val="3"/>
            <w:shd w:val="clear" w:color="auto" w:fill="F2F2F2"/>
          </w:tcPr>
          <w:p>
            <w:pPr>
              <w:ind w:left="280"/>
              <w:spacing w:after="0"/>
              <w:rPr>
                <w:sz w:val="20"/>
                <w:szCs w:val="20"/>
                <w:color w:val="auto"/>
              </w:rPr>
            </w:pPr>
            <w:r>
              <w:rPr>
                <w:rFonts w:ascii="Arial" w:cs="Arial" w:eastAsia="Arial" w:hAnsi="Arial"/>
                <w:sz w:val="17"/>
                <w:szCs w:val="17"/>
                <w:b w:val="1"/>
                <w:bCs w:val="1"/>
                <w:color w:val="auto"/>
              </w:rPr>
              <w:t>PSUs</w:t>
            </w:r>
          </w:p>
        </w:tc>
        <w:tc>
          <w:tcPr>
            <w:tcW w:w="540" w:type="dxa"/>
            <w:vAlign w:val="bottom"/>
            <w:tcBorders>
              <w:bottom w:val="single" w:sz="8" w:color="F2F2F2"/>
              <w:right w:val="single" w:sz="8" w:color="F2F2F2"/>
            </w:tcBorders>
            <w:shd w:val="clear" w:color="auto" w:fill="F2F2F2"/>
          </w:tcPr>
          <w:p>
            <w:pPr>
              <w:spacing w:after="0"/>
              <w:rPr>
                <w:sz w:val="23"/>
                <w:szCs w:val="23"/>
                <w:color w:val="auto"/>
              </w:rPr>
            </w:pPr>
          </w:p>
        </w:tc>
        <w:tc>
          <w:tcPr>
            <w:tcW w:w="1600" w:type="dxa"/>
            <w:vAlign w:val="bottom"/>
            <w:tcBorders>
              <w:bottom w:val="single" w:sz="8" w:color="F2F2F2"/>
              <w:right w:val="single" w:sz="8" w:color="231F20"/>
            </w:tcBorders>
            <w:gridSpan w:val="3"/>
            <w:shd w:val="clear" w:color="auto" w:fill="F2F2F2"/>
          </w:tcPr>
          <w:p>
            <w:pPr>
              <w:jc w:val="center"/>
              <w:ind w:right="360"/>
              <w:spacing w:after="0"/>
              <w:rPr>
                <w:sz w:val="20"/>
                <w:szCs w:val="20"/>
                <w:color w:val="auto"/>
              </w:rPr>
            </w:pPr>
            <w:r>
              <w:rPr>
                <w:rFonts w:ascii="Arial" w:cs="Arial" w:eastAsia="Arial" w:hAnsi="Arial"/>
                <w:sz w:val="17"/>
                <w:szCs w:val="17"/>
                <w:b w:val="1"/>
                <w:bCs w:val="1"/>
                <w:color w:val="auto"/>
              </w:rPr>
              <w:t>LTIP Awards</w:t>
            </w:r>
          </w:p>
        </w:tc>
        <w:tc>
          <w:tcPr>
            <w:tcW w:w="260" w:type="dxa"/>
            <w:vAlign w:val="bottom"/>
            <w:tcBorders>
              <w:bottom w:val="single" w:sz="8" w:color="F2F2F2"/>
            </w:tcBorders>
            <w:shd w:val="clear" w:color="auto" w:fill="F2F2F2"/>
          </w:tcPr>
          <w:p>
            <w:pPr>
              <w:spacing w:after="0"/>
              <w:rPr>
                <w:sz w:val="23"/>
                <w:szCs w:val="23"/>
                <w:color w:val="auto"/>
              </w:rPr>
            </w:pPr>
          </w:p>
        </w:tc>
        <w:tc>
          <w:tcPr>
            <w:tcW w:w="500" w:type="dxa"/>
            <w:vAlign w:val="bottom"/>
            <w:tcBorders>
              <w:bottom w:val="single" w:sz="8" w:color="F2F2F2"/>
              <w:right w:val="single" w:sz="8" w:color="F2F2F2"/>
            </w:tcBorders>
            <w:shd w:val="clear" w:color="auto" w:fill="F2F2F2"/>
          </w:tcPr>
          <w:p>
            <w:pPr>
              <w:spacing w:after="0"/>
              <w:rPr>
                <w:sz w:val="23"/>
                <w:szCs w:val="23"/>
                <w:color w:val="auto"/>
              </w:rPr>
            </w:pPr>
          </w:p>
        </w:tc>
        <w:tc>
          <w:tcPr>
            <w:tcW w:w="120" w:type="dxa"/>
            <w:vAlign w:val="bottom"/>
            <w:tcBorders>
              <w:bottom w:val="single" w:sz="8" w:color="F2F2F2"/>
            </w:tcBorders>
            <w:shd w:val="clear" w:color="auto" w:fill="F2F2F2"/>
          </w:tcPr>
          <w:p>
            <w:pPr>
              <w:spacing w:after="0"/>
              <w:rPr>
                <w:sz w:val="23"/>
                <w:szCs w:val="23"/>
                <w:color w:val="auto"/>
              </w:rPr>
            </w:pPr>
          </w:p>
        </w:tc>
        <w:tc>
          <w:tcPr>
            <w:tcW w:w="1260" w:type="dxa"/>
            <w:vAlign w:val="bottom"/>
            <w:tcBorders>
              <w:bottom w:val="single" w:sz="8" w:color="F2F2F2"/>
              <w:right w:val="single" w:sz="8" w:color="231F20"/>
            </w:tcBorders>
            <w:gridSpan w:val="2"/>
            <w:shd w:val="clear" w:color="auto" w:fill="F2F2F2"/>
          </w:tcPr>
          <w:p>
            <w:pPr>
              <w:spacing w:after="0"/>
              <w:rPr>
                <w:sz w:val="20"/>
                <w:szCs w:val="20"/>
                <w:color w:val="auto"/>
              </w:rPr>
            </w:pPr>
            <w:r>
              <w:rPr>
                <w:rFonts w:ascii="Arial" w:cs="Arial" w:eastAsia="Arial" w:hAnsi="Arial"/>
                <w:sz w:val="17"/>
                <w:szCs w:val="17"/>
                <w:b w:val="1"/>
                <w:bCs w:val="1"/>
                <w:color w:val="auto"/>
              </w:rPr>
              <w:t>RSUs</w:t>
            </w:r>
          </w:p>
        </w:tc>
        <w:tc>
          <w:tcPr>
            <w:tcW w:w="1240" w:type="dxa"/>
            <w:vAlign w:val="bottom"/>
            <w:tcBorders>
              <w:bottom w:val="single" w:sz="8" w:color="F2F2F2"/>
            </w:tcBorders>
            <w:gridSpan w:val="2"/>
            <w:shd w:val="clear" w:color="auto" w:fill="F2F2F2"/>
          </w:tcPr>
          <w:p>
            <w:pPr>
              <w:ind w:left="840"/>
              <w:spacing w:after="0"/>
              <w:rPr>
                <w:sz w:val="20"/>
                <w:szCs w:val="20"/>
                <w:color w:val="auto"/>
              </w:rPr>
            </w:pPr>
            <w:r>
              <w:rPr>
                <w:rFonts w:ascii="Arial" w:cs="Arial" w:eastAsia="Arial" w:hAnsi="Arial"/>
                <w:sz w:val="17"/>
                <w:szCs w:val="17"/>
                <w:b w:val="1"/>
                <w:bCs w:val="1"/>
                <w:color w:val="auto"/>
                <w:w w:val="93"/>
              </w:rPr>
              <w:t>Total</w:t>
            </w:r>
          </w:p>
        </w:tc>
        <w:tc>
          <w:tcPr>
            <w:tcW w:w="40" w:type="dxa"/>
            <w:vAlign w:val="bottom"/>
            <w:tcBorders>
              <w:bottom w:val="single" w:sz="8" w:color="F2F2F2"/>
            </w:tcBorders>
            <w:shd w:val="clear" w:color="auto" w:fill="F2F2F2"/>
          </w:tcPr>
          <w:p>
            <w:pPr>
              <w:spacing w:after="0"/>
              <w:rPr>
                <w:sz w:val="23"/>
                <w:szCs w:val="23"/>
                <w:color w:val="auto"/>
              </w:rPr>
            </w:pPr>
          </w:p>
        </w:tc>
        <w:tc>
          <w:tcPr>
            <w:tcW w:w="740" w:type="dxa"/>
            <w:vAlign w:val="bottom"/>
            <w:tcBorders>
              <w:bottom w:val="single" w:sz="8" w:color="F2F2F2"/>
              <w:right w:val="single" w:sz="8" w:color="231F20"/>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000" w:type="dxa"/>
            <w:vAlign w:val="bottom"/>
            <w:tcBorders>
              <w:top w:val="single" w:sz="8" w:color="231F20"/>
              <w:left w:val="single" w:sz="8" w:color="231F20"/>
            </w:tcBorders>
          </w:tcPr>
          <w:p>
            <w:pPr>
              <w:spacing w:after="0"/>
              <w:rPr>
                <w:sz w:val="19"/>
                <w:szCs w:val="19"/>
                <w:color w:val="auto"/>
              </w:rPr>
            </w:pPr>
          </w:p>
        </w:tc>
        <w:tc>
          <w:tcPr>
            <w:tcW w:w="200" w:type="dxa"/>
            <w:vAlign w:val="bottom"/>
            <w:tcBorders>
              <w:top w:val="single" w:sz="8" w:color="231F20"/>
              <w:right w:val="single" w:sz="8" w:color="231F20"/>
            </w:tcBorders>
          </w:tcPr>
          <w:p>
            <w:pPr>
              <w:spacing w:after="0"/>
              <w:rPr>
                <w:sz w:val="19"/>
                <w:szCs w:val="19"/>
                <w:color w:val="auto"/>
              </w:rPr>
            </w:pPr>
          </w:p>
        </w:tc>
        <w:tc>
          <w:tcPr>
            <w:tcW w:w="1080" w:type="dxa"/>
            <w:vAlign w:val="bottom"/>
            <w:tcBorders>
              <w:top w:val="single" w:sz="8" w:color="231F20"/>
              <w:right w:val="single" w:sz="8" w:color="231F20"/>
            </w:tcBorders>
          </w:tcPr>
          <w:p>
            <w:pPr>
              <w:jc w:val="center"/>
              <w:spacing w:after="0"/>
              <w:rPr>
                <w:sz w:val="20"/>
                <w:szCs w:val="20"/>
                <w:color w:val="auto"/>
              </w:rPr>
            </w:pPr>
            <w:r>
              <w:rPr>
                <w:rFonts w:ascii="Arial" w:cs="Arial" w:eastAsia="Arial" w:hAnsi="Arial"/>
                <w:sz w:val="16"/>
                <w:szCs w:val="16"/>
                <w:b w:val="1"/>
                <w:bCs w:val="1"/>
                <w:color w:val="auto"/>
                <w:w w:val="96"/>
              </w:rPr>
              <w:t>Market</w:t>
            </w:r>
          </w:p>
        </w:tc>
        <w:tc>
          <w:tcPr>
            <w:tcW w:w="600" w:type="dxa"/>
            <w:vAlign w:val="bottom"/>
            <w:tcBorders>
              <w:top w:val="single" w:sz="8" w:color="231F20"/>
            </w:tcBorders>
          </w:tcPr>
          <w:p>
            <w:pPr>
              <w:spacing w:after="0"/>
              <w:rPr>
                <w:sz w:val="19"/>
                <w:szCs w:val="19"/>
                <w:color w:val="auto"/>
              </w:rPr>
            </w:pPr>
          </w:p>
        </w:tc>
        <w:tc>
          <w:tcPr>
            <w:tcW w:w="460" w:type="dxa"/>
            <w:vAlign w:val="bottom"/>
            <w:tcBorders>
              <w:top w:val="single" w:sz="8" w:color="231F20"/>
              <w:right w:val="single" w:sz="8" w:color="231F20"/>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900" w:type="dxa"/>
            <w:vAlign w:val="bottom"/>
            <w:tcBorders>
              <w:top w:val="single" w:sz="8" w:color="231F20"/>
              <w:right w:val="single" w:sz="8" w:color="231F20"/>
            </w:tcBorders>
          </w:tcPr>
          <w:p>
            <w:pPr>
              <w:jc w:val="center"/>
              <w:ind w:right="4"/>
              <w:spacing w:after="0"/>
              <w:rPr>
                <w:sz w:val="20"/>
                <w:szCs w:val="20"/>
                <w:color w:val="auto"/>
              </w:rPr>
            </w:pPr>
            <w:r>
              <w:rPr>
                <w:rFonts w:ascii="Arial" w:cs="Arial" w:eastAsia="Arial" w:hAnsi="Arial"/>
                <w:sz w:val="16"/>
                <w:szCs w:val="16"/>
                <w:b w:val="1"/>
                <w:bCs w:val="1"/>
                <w:color w:val="auto"/>
                <w:w w:val="96"/>
              </w:rPr>
              <w:t>Market</w:t>
            </w:r>
          </w:p>
        </w:tc>
        <w:tc>
          <w:tcPr>
            <w:tcW w:w="540" w:type="dxa"/>
            <w:vAlign w:val="bottom"/>
            <w:tcBorders>
              <w:top w:val="single" w:sz="8" w:color="231F20"/>
            </w:tcBorders>
          </w:tcPr>
          <w:p>
            <w:pPr>
              <w:spacing w:after="0"/>
              <w:rPr>
                <w:sz w:val="19"/>
                <w:szCs w:val="19"/>
                <w:color w:val="auto"/>
              </w:rPr>
            </w:pPr>
          </w:p>
        </w:tc>
        <w:tc>
          <w:tcPr>
            <w:tcW w:w="380" w:type="dxa"/>
            <w:vAlign w:val="bottom"/>
            <w:tcBorders>
              <w:top w:val="single" w:sz="8" w:color="231F20"/>
            </w:tcBorders>
          </w:tcPr>
          <w:p>
            <w:pPr>
              <w:spacing w:after="0"/>
              <w:rPr>
                <w:sz w:val="19"/>
                <w:szCs w:val="19"/>
                <w:color w:val="auto"/>
              </w:rPr>
            </w:pPr>
          </w:p>
        </w:tc>
        <w:tc>
          <w:tcPr>
            <w:tcW w:w="160" w:type="dxa"/>
            <w:vAlign w:val="bottom"/>
            <w:tcBorders>
              <w:top w:val="single" w:sz="8" w:color="231F20"/>
              <w:right w:val="single" w:sz="8" w:color="231F20"/>
            </w:tcBorders>
          </w:tcPr>
          <w:p>
            <w:pPr>
              <w:spacing w:after="0"/>
              <w:rPr>
                <w:sz w:val="19"/>
                <w:szCs w:val="19"/>
                <w:color w:val="auto"/>
              </w:rPr>
            </w:pPr>
          </w:p>
        </w:tc>
        <w:tc>
          <w:tcPr>
            <w:tcW w:w="1060" w:type="dxa"/>
            <w:vAlign w:val="bottom"/>
            <w:tcBorders>
              <w:top w:val="single" w:sz="8" w:color="231F20"/>
              <w:right w:val="single" w:sz="8" w:color="231F20"/>
            </w:tcBorders>
          </w:tcPr>
          <w:p>
            <w:pPr>
              <w:jc w:val="center"/>
              <w:spacing w:after="0"/>
              <w:rPr>
                <w:sz w:val="20"/>
                <w:szCs w:val="20"/>
                <w:color w:val="auto"/>
              </w:rPr>
            </w:pPr>
            <w:r>
              <w:rPr>
                <w:rFonts w:ascii="Arial" w:cs="Arial" w:eastAsia="Arial" w:hAnsi="Arial"/>
                <w:sz w:val="16"/>
                <w:szCs w:val="16"/>
                <w:b w:val="1"/>
                <w:bCs w:val="1"/>
                <w:color w:val="auto"/>
                <w:w w:val="96"/>
              </w:rPr>
              <w:t>Market</w:t>
            </w:r>
          </w:p>
        </w:tc>
        <w:tc>
          <w:tcPr>
            <w:tcW w:w="260" w:type="dxa"/>
            <w:vAlign w:val="bottom"/>
            <w:tcBorders>
              <w:top w:val="single" w:sz="8" w:color="231F20"/>
            </w:tcBorders>
          </w:tcPr>
          <w:p>
            <w:pPr>
              <w:spacing w:after="0"/>
              <w:rPr>
                <w:sz w:val="19"/>
                <w:szCs w:val="19"/>
                <w:color w:val="auto"/>
              </w:rPr>
            </w:pPr>
          </w:p>
        </w:tc>
        <w:tc>
          <w:tcPr>
            <w:tcW w:w="500" w:type="dxa"/>
            <w:vAlign w:val="bottom"/>
            <w:tcBorders>
              <w:top w:val="single" w:sz="8" w:color="231F20"/>
            </w:tcBorders>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200" w:type="dxa"/>
            <w:vAlign w:val="bottom"/>
            <w:tcBorders>
              <w:top w:val="single" w:sz="8" w:color="231F20"/>
              <w:right w:val="single" w:sz="8" w:color="231F20"/>
            </w:tcBorders>
          </w:tcPr>
          <w:p>
            <w:pPr>
              <w:spacing w:after="0"/>
              <w:rPr>
                <w:sz w:val="19"/>
                <w:szCs w:val="19"/>
                <w:color w:val="auto"/>
              </w:rPr>
            </w:pPr>
          </w:p>
        </w:tc>
        <w:tc>
          <w:tcPr>
            <w:tcW w:w="1060" w:type="dxa"/>
            <w:vAlign w:val="bottom"/>
            <w:tcBorders>
              <w:top w:val="single" w:sz="8" w:color="231F20"/>
              <w:right w:val="single" w:sz="8" w:color="231F20"/>
            </w:tcBorders>
          </w:tcPr>
          <w:p>
            <w:pPr>
              <w:ind w:left="300"/>
              <w:spacing w:after="0"/>
              <w:rPr>
                <w:sz w:val="20"/>
                <w:szCs w:val="20"/>
                <w:color w:val="auto"/>
              </w:rPr>
            </w:pPr>
            <w:r>
              <w:rPr>
                <w:rFonts w:ascii="Arial" w:cs="Arial" w:eastAsia="Arial" w:hAnsi="Arial"/>
                <w:sz w:val="16"/>
                <w:szCs w:val="16"/>
                <w:b w:val="1"/>
                <w:bCs w:val="1"/>
                <w:color w:val="auto"/>
              </w:rPr>
              <w:t>Market</w:t>
            </w:r>
          </w:p>
        </w:tc>
        <w:tc>
          <w:tcPr>
            <w:tcW w:w="1080" w:type="dxa"/>
            <w:vAlign w:val="bottom"/>
            <w:tcBorders>
              <w:top w:val="single" w:sz="8" w:color="231F20"/>
              <w:right w:val="single" w:sz="8" w:color="231F20"/>
            </w:tcBorders>
          </w:tcPr>
          <w:p>
            <w:pPr>
              <w:spacing w:after="0"/>
              <w:rPr>
                <w:sz w:val="19"/>
                <w:szCs w:val="19"/>
                <w:color w:val="auto"/>
              </w:rPr>
            </w:pPr>
          </w:p>
        </w:tc>
        <w:tc>
          <w:tcPr>
            <w:tcW w:w="160" w:type="dxa"/>
            <w:vAlign w:val="bottom"/>
            <w:tcBorders>
              <w:top w:val="single" w:sz="8" w:color="231F20"/>
            </w:tcBorders>
          </w:tcPr>
          <w:p>
            <w:pPr>
              <w:spacing w:after="0"/>
              <w:rPr>
                <w:sz w:val="19"/>
                <w:szCs w:val="19"/>
                <w:color w:val="auto"/>
              </w:rPr>
            </w:pPr>
          </w:p>
        </w:tc>
        <w:tc>
          <w:tcPr>
            <w:tcW w:w="40" w:type="dxa"/>
            <w:vAlign w:val="bottom"/>
            <w:tcBorders>
              <w:top w:val="single" w:sz="8" w:color="231F20"/>
            </w:tcBorders>
          </w:tcPr>
          <w:p>
            <w:pPr>
              <w:spacing w:after="0"/>
              <w:rPr>
                <w:sz w:val="19"/>
                <w:szCs w:val="19"/>
                <w:color w:val="auto"/>
              </w:rPr>
            </w:pPr>
          </w:p>
        </w:tc>
        <w:tc>
          <w:tcPr>
            <w:tcW w:w="740" w:type="dxa"/>
            <w:vAlign w:val="bottom"/>
            <w:tcBorders>
              <w:top w:val="single" w:sz="8" w:color="231F20"/>
              <w:right w:val="single" w:sz="8" w:color="231F20"/>
            </w:tcBorders>
          </w:tcPr>
          <w:p>
            <w:pPr>
              <w:jc w:val="center"/>
              <w:ind w:right="76"/>
              <w:spacing w:after="0"/>
              <w:rPr>
                <w:sz w:val="20"/>
                <w:szCs w:val="20"/>
                <w:color w:val="auto"/>
              </w:rPr>
            </w:pPr>
            <w:r>
              <w:rPr>
                <w:rFonts w:ascii="Arial" w:cs="Arial" w:eastAsia="Arial" w:hAnsi="Arial"/>
                <w:sz w:val="16"/>
                <w:szCs w:val="16"/>
                <w:b w:val="1"/>
                <w:bCs w:val="1"/>
                <w:color w:val="auto"/>
                <w:w w:val="96"/>
              </w:rPr>
              <w:t>Market</w:t>
            </w:r>
          </w:p>
        </w:tc>
        <w:tc>
          <w:tcPr>
            <w:tcW w:w="0" w:type="dxa"/>
            <w:vAlign w:val="bottom"/>
          </w:tcPr>
          <w:p>
            <w:pPr>
              <w:spacing w:after="0"/>
              <w:rPr>
                <w:sz w:val="1"/>
                <w:szCs w:val="1"/>
                <w:color w:val="auto"/>
              </w:rPr>
            </w:pPr>
          </w:p>
        </w:tc>
      </w:tr>
      <w:tr>
        <w:trPr>
          <w:trHeight w:val="276"/>
        </w:trPr>
        <w:tc>
          <w:tcPr>
            <w:tcW w:w="1000" w:type="dxa"/>
            <w:vAlign w:val="bottom"/>
            <w:tcBorders>
              <w:left w:val="single" w:sz="8" w:color="231F20"/>
              <w:bottom w:val="single" w:sz="8" w:color="auto"/>
            </w:tcBorders>
          </w:tcPr>
          <w:p>
            <w:pPr>
              <w:ind w:left="360"/>
              <w:spacing w:after="0"/>
              <w:rPr>
                <w:sz w:val="20"/>
                <w:szCs w:val="20"/>
                <w:color w:val="auto"/>
              </w:rPr>
            </w:pPr>
            <w:r>
              <w:rPr>
                <w:rFonts w:ascii="Arial" w:cs="Arial" w:eastAsia="Arial" w:hAnsi="Arial"/>
                <w:sz w:val="16"/>
                <w:szCs w:val="16"/>
                <w:b w:val="1"/>
                <w:bCs w:val="1"/>
                <w:color w:val="auto"/>
              </w:rPr>
              <w:t>Number</w:t>
            </w:r>
          </w:p>
        </w:tc>
        <w:tc>
          <w:tcPr>
            <w:tcW w:w="200" w:type="dxa"/>
            <w:vAlign w:val="bottom"/>
            <w:tcBorders>
              <w:bottom w:val="single" w:sz="8" w:color="auto"/>
              <w:right w:val="single" w:sz="8" w:color="231F20"/>
            </w:tcBorders>
          </w:tcPr>
          <w:p>
            <w:pPr>
              <w:spacing w:after="0"/>
              <w:rPr>
                <w:sz w:val="24"/>
                <w:szCs w:val="24"/>
                <w:color w:val="auto"/>
              </w:rPr>
            </w:pPr>
          </w:p>
        </w:tc>
        <w:tc>
          <w:tcPr>
            <w:tcW w:w="1080" w:type="dxa"/>
            <w:vAlign w:val="bottom"/>
            <w:tcBorders>
              <w:bottom w:val="single" w:sz="8" w:color="auto"/>
              <w:right w:val="single" w:sz="8" w:color="231F20"/>
            </w:tcBorders>
          </w:tcPr>
          <w:p>
            <w:pPr>
              <w:jc w:val="center"/>
              <w:ind w:left="7"/>
              <w:spacing w:after="0"/>
              <w:rPr>
                <w:sz w:val="20"/>
                <w:szCs w:val="20"/>
                <w:color w:val="auto"/>
              </w:rPr>
            </w:pPr>
            <w:r>
              <w:rPr>
                <w:rFonts w:ascii="Arial" w:cs="Arial" w:eastAsia="Arial" w:hAnsi="Arial"/>
                <w:sz w:val="16"/>
                <w:szCs w:val="16"/>
                <w:b w:val="1"/>
                <w:bCs w:val="1"/>
                <w:color w:val="auto"/>
                <w:w w:val="91"/>
              </w:rPr>
              <w:t>Value</w:t>
            </w:r>
            <w:r>
              <w:rPr>
                <w:rFonts w:ascii="Arial" w:cs="Arial" w:eastAsia="Arial" w:hAnsi="Arial"/>
                <w:sz w:val="23"/>
                <w:szCs w:val="23"/>
                <w:b w:val="1"/>
                <w:bCs w:val="1"/>
                <w:color w:val="auto"/>
                <w:w w:val="91"/>
                <w:vertAlign w:val="superscript"/>
              </w:rPr>
              <w:t>(1)</w:t>
            </w:r>
          </w:p>
        </w:tc>
        <w:tc>
          <w:tcPr>
            <w:tcW w:w="1060" w:type="dxa"/>
            <w:vAlign w:val="bottom"/>
            <w:tcBorders>
              <w:bottom w:val="single" w:sz="8" w:color="auto"/>
              <w:right w:val="single" w:sz="8" w:color="231F20"/>
            </w:tcBorders>
            <w:gridSpan w:val="2"/>
          </w:tcPr>
          <w:p>
            <w:pPr>
              <w:jc w:val="center"/>
              <w:ind w:left="1"/>
              <w:spacing w:after="0"/>
              <w:rPr>
                <w:sz w:val="20"/>
                <w:szCs w:val="20"/>
                <w:color w:val="auto"/>
              </w:rPr>
            </w:pPr>
            <w:r>
              <w:rPr>
                <w:rFonts w:ascii="Arial" w:cs="Arial" w:eastAsia="Arial" w:hAnsi="Arial"/>
                <w:sz w:val="16"/>
                <w:szCs w:val="16"/>
                <w:b w:val="1"/>
                <w:bCs w:val="1"/>
                <w:color w:val="auto"/>
                <w:w w:val="95"/>
              </w:rPr>
              <w:t>Number</w:t>
            </w: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231F20"/>
            </w:tcBorders>
          </w:tcPr>
          <w:p>
            <w:pPr>
              <w:jc w:val="center"/>
              <w:ind w:right="4"/>
              <w:spacing w:after="0"/>
              <w:rPr>
                <w:sz w:val="20"/>
                <w:szCs w:val="20"/>
                <w:color w:val="auto"/>
              </w:rPr>
            </w:pPr>
            <w:r>
              <w:rPr>
                <w:rFonts w:ascii="Arial" w:cs="Arial" w:eastAsia="Arial" w:hAnsi="Arial"/>
                <w:sz w:val="16"/>
                <w:szCs w:val="16"/>
                <w:b w:val="1"/>
                <w:bCs w:val="1"/>
                <w:color w:val="auto"/>
                <w:w w:val="87"/>
              </w:rPr>
              <w:t>Value</w:t>
            </w:r>
            <w:r>
              <w:rPr>
                <w:rFonts w:ascii="Arial" w:cs="Arial" w:eastAsia="Arial" w:hAnsi="Arial"/>
                <w:sz w:val="23"/>
                <w:szCs w:val="23"/>
                <w:b w:val="1"/>
                <w:bCs w:val="1"/>
                <w:color w:val="auto"/>
                <w:w w:val="87"/>
                <w:vertAlign w:val="superscript"/>
              </w:rPr>
              <w:t>(1)</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Number</w:t>
            </w:r>
          </w:p>
        </w:tc>
        <w:tc>
          <w:tcPr>
            <w:tcW w:w="160" w:type="dxa"/>
            <w:vAlign w:val="bottom"/>
            <w:tcBorders>
              <w:bottom w:val="single" w:sz="8" w:color="auto"/>
              <w:right w:val="single" w:sz="8" w:color="231F20"/>
            </w:tcBorders>
          </w:tcPr>
          <w:p>
            <w:pPr>
              <w:spacing w:after="0"/>
              <w:rPr>
                <w:sz w:val="24"/>
                <w:szCs w:val="24"/>
                <w:color w:val="auto"/>
              </w:rPr>
            </w:pPr>
          </w:p>
        </w:tc>
        <w:tc>
          <w:tcPr>
            <w:tcW w:w="1060" w:type="dxa"/>
            <w:vAlign w:val="bottom"/>
            <w:tcBorders>
              <w:bottom w:val="single" w:sz="8" w:color="auto"/>
              <w:right w:val="single" w:sz="8" w:color="231F20"/>
            </w:tcBorders>
          </w:tcPr>
          <w:p>
            <w:pPr>
              <w:jc w:val="center"/>
              <w:spacing w:after="0"/>
              <w:rPr>
                <w:sz w:val="20"/>
                <w:szCs w:val="20"/>
                <w:color w:val="auto"/>
              </w:rPr>
            </w:pPr>
            <w:r>
              <w:rPr>
                <w:rFonts w:ascii="Arial" w:cs="Arial" w:eastAsia="Arial" w:hAnsi="Arial"/>
                <w:sz w:val="16"/>
                <w:szCs w:val="16"/>
                <w:b w:val="1"/>
                <w:bCs w:val="1"/>
                <w:color w:val="auto"/>
                <w:w w:val="91"/>
              </w:rPr>
              <w:t>Value</w:t>
            </w:r>
            <w:r>
              <w:rPr>
                <w:rFonts w:ascii="Arial" w:cs="Arial" w:eastAsia="Arial" w:hAnsi="Arial"/>
                <w:sz w:val="23"/>
                <w:szCs w:val="23"/>
                <w:b w:val="1"/>
                <w:bCs w:val="1"/>
                <w:color w:val="auto"/>
                <w:w w:val="91"/>
                <w:vertAlign w:val="superscript"/>
              </w:rPr>
              <w:t>(1)</w:t>
            </w: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Number</w:t>
            </w:r>
          </w:p>
        </w:tc>
        <w:tc>
          <w:tcPr>
            <w:tcW w:w="200" w:type="dxa"/>
            <w:vAlign w:val="bottom"/>
            <w:tcBorders>
              <w:bottom w:val="single" w:sz="8" w:color="auto"/>
              <w:right w:val="single" w:sz="8" w:color="231F20"/>
            </w:tcBorders>
          </w:tcPr>
          <w:p>
            <w:pPr>
              <w:spacing w:after="0"/>
              <w:rPr>
                <w:sz w:val="24"/>
                <w:szCs w:val="24"/>
                <w:color w:val="auto"/>
              </w:rPr>
            </w:pPr>
          </w:p>
        </w:tc>
        <w:tc>
          <w:tcPr>
            <w:tcW w:w="1060" w:type="dxa"/>
            <w:vAlign w:val="bottom"/>
            <w:tcBorders>
              <w:bottom w:val="single" w:sz="8" w:color="auto"/>
              <w:right w:val="single" w:sz="8" w:color="231F20"/>
            </w:tcBorders>
          </w:tcPr>
          <w:p>
            <w:pPr>
              <w:ind w:left="280"/>
              <w:spacing w:after="0"/>
              <w:rPr>
                <w:sz w:val="20"/>
                <w:szCs w:val="20"/>
                <w:color w:val="auto"/>
              </w:rPr>
            </w:pPr>
            <w:r>
              <w:rPr>
                <w:rFonts w:ascii="Arial" w:cs="Arial" w:eastAsia="Arial" w:hAnsi="Arial"/>
                <w:sz w:val="16"/>
                <w:szCs w:val="16"/>
                <w:b w:val="1"/>
                <w:bCs w:val="1"/>
                <w:color w:val="auto"/>
              </w:rPr>
              <w:t>Value</w:t>
            </w:r>
            <w:r>
              <w:rPr>
                <w:rFonts w:ascii="Arial" w:cs="Arial" w:eastAsia="Arial" w:hAnsi="Arial"/>
                <w:sz w:val="23"/>
                <w:szCs w:val="23"/>
                <w:b w:val="1"/>
                <w:bCs w:val="1"/>
                <w:color w:val="auto"/>
                <w:vertAlign w:val="superscript"/>
              </w:rPr>
              <w:t>(1)</w:t>
            </w:r>
          </w:p>
        </w:tc>
        <w:tc>
          <w:tcPr>
            <w:tcW w:w="1080" w:type="dxa"/>
            <w:vAlign w:val="bottom"/>
            <w:tcBorders>
              <w:bottom w:val="single" w:sz="8" w:color="auto"/>
              <w:right w:val="single" w:sz="8" w:color="231F20"/>
            </w:tcBorders>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231F20"/>
            </w:tcBorders>
          </w:tcPr>
          <w:p>
            <w:pPr>
              <w:jc w:val="center"/>
              <w:ind w:right="96"/>
              <w:spacing w:after="0"/>
              <w:rPr>
                <w:sz w:val="20"/>
                <w:szCs w:val="20"/>
                <w:color w:val="auto"/>
              </w:rPr>
            </w:pPr>
            <w:r>
              <w:rPr>
                <w:rFonts w:ascii="Arial" w:cs="Arial" w:eastAsia="Arial" w:hAnsi="Arial"/>
                <w:sz w:val="16"/>
                <w:szCs w:val="16"/>
                <w:b w:val="1"/>
                <w:bCs w:val="1"/>
                <w:color w:val="auto"/>
                <w:w w:val="91"/>
              </w:rPr>
              <w:t>Value</w:t>
            </w:r>
            <w:r>
              <w:rPr>
                <w:rFonts w:ascii="Arial" w:cs="Arial" w:eastAsia="Arial" w:hAnsi="Arial"/>
                <w:sz w:val="23"/>
                <w:szCs w:val="23"/>
                <w:b w:val="1"/>
                <w:bCs w:val="1"/>
                <w:color w:val="auto"/>
                <w:w w:val="91"/>
                <w:vertAlign w:val="superscript"/>
              </w:rPr>
              <w:t>(1)</w:t>
            </w:r>
          </w:p>
        </w:tc>
        <w:tc>
          <w:tcPr>
            <w:tcW w:w="0" w:type="dxa"/>
            <w:vAlign w:val="bottom"/>
          </w:tcPr>
          <w:p>
            <w:pPr>
              <w:spacing w:after="0"/>
              <w:rPr>
                <w:sz w:val="1"/>
                <w:szCs w:val="1"/>
                <w:color w:val="auto"/>
              </w:rPr>
            </w:pPr>
          </w:p>
        </w:tc>
      </w:tr>
      <w:tr>
        <w:trPr>
          <w:trHeight w:val="201"/>
        </w:trPr>
        <w:tc>
          <w:tcPr>
            <w:tcW w:w="1000" w:type="dxa"/>
            <w:vAlign w:val="bottom"/>
            <w:tcBorders>
              <w:left w:val="single" w:sz="8" w:color="231F20"/>
            </w:tcBorders>
          </w:tcPr>
          <w:p>
            <w:pPr>
              <w:ind w:left="520"/>
              <w:spacing w:after="0"/>
              <w:rPr>
                <w:sz w:val="20"/>
                <w:szCs w:val="20"/>
                <w:color w:val="auto"/>
              </w:rPr>
            </w:pPr>
            <w:r>
              <w:rPr>
                <w:rFonts w:ascii="Arial" w:cs="Arial" w:eastAsia="Arial" w:hAnsi="Arial"/>
                <w:sz w:val="12"/>
                <w:szCs w:val="12"/>
                <w:color w:val="auto"/>
              </w:rPr>
              <w:t>5,177</w:t>
            </w:r>
          </w:p>
        </w:tc>
        <w:tc>
          <w:tcPr>
            <w:tcW w:w="200" w:type="dxa"/>
            <w:vAlign w:val="bottom"/>
            <w:tcBorders>
              <w:right w:val="single" w:sz="8" w:color="231F20"/>
            </w:tcBorders>
          </w:tcPr>
          <w:p>
            <w:pPr>
              <w:spacing w:after="0"/>
              <w:rPr>
                <w:sz w:val="17"/>
                <w:szCs w:val="17"/>
                <w:color w:val="auto"/>
              </w:rPr>
            </w:pPr>
          </w:p>
        </w:tc>
        <w:tc>
          <w:tcPr>
            <w:tcW w:w="1080" w:type="dxa"/>
            <w:vAlign w:val="bottom"/>
            <w:tcBorders>
              <w:right w:val="single" w:sz="8" w:color="231F20"/>
            </w:tcBorders>
          </w:tcPr>
          <w:p>
            <w:pPr>
              <w:jc w:val="center"/>
              <w:ind w:left="7"/>
              <w:spacing w:after="0"/>
              <w:rPr>
                <w:sz w:val="20"/>
                <w:szCs w:val="20"/>
                <w:color w:val="auto"/>
              </w:rPr>
            </w:pPr>
            <w:r>
              <w:rPr>
                <w:rFonts w:ascii="Arial" w:cs="Arial" w:eastAsia="Arial" w:hAnsi="Arial"/>
                <w:sz w:val="12"/>
                <w:szCs w:val="12"/>
                <w:color w:val="auto"/>
              </w:rPr>
              <w:t>$32,977</w:t>
            </w:r>
          </w:p>
        </w:tc>
        <w:tc>
          <w:tcPr>
            <w:tcW w:w="1060" w:type="dxa"/>
            <w:vAlign w:val="bottom"/>
            <w:tcBorders>
              <w:right w:val="single" w:sz="8" w:color="231F20"/>
            </w:tcBorders>
            <w:gridSpan w:val="2"/>
          </w:tcPr>
          <w:p>
            <w:pPr>
              <w:jc w:val="right"/>
              <w:ind w:right="192"/>
              <w:spacing w:after="0"/>
              <w:rPr>
                <w:sz w:val="20"/>
                <w:szCs w:val="20"/>
                <w:color w:val="auto"/>
              </w:rPr>
            </w:pPr>
            <w:r>
              <w:rPr>
                <w:rFonts w:ascii="Arial" w:cs="Arial" w:eastAsia="Arial" w:hAnsi="Arial"/>
                <w:sz w:val="12"/>
                <w:szCs w:val="12"/>
                <w:color w:val="auto"/>
              </w:rPr>
              <w:t>201,577</w:t>
            </w:r>
          </w:p>
        </w:tc>
        <w:tc>
          <w:tcPr>
            <w:tcW w:w="160" w:type="dxa"/>
            <w:vAlign w:val="bottom"/>
          </w:tcPr>
          <w:p>
            <w:pPr>
              <w:spacing w:after="0"/>
              <w:rPr>
                <w:sz w:val="17"/>
                <w:szCs w:val="17"/>
                <w:color w:val="auto"/>
              </w:rPr>
            </w:pPr>
          </w:p>
        </w:tc>
        <w:tc>
          <w:tcPr>
            <w:tcW w:w="900" w:type="dxa"/>
            <w:vAlign w:val="bottom"/>
            <w:tcBorders>
              <w:right w:val="single" w:sz="8" w:color="231F20"/>
            </w:tcBorders>
          </w:tcPr>
          <w:p>
            <w:pPr>
              <w:jc w:val="center"/>
              <w:ind w:right="4"/>
              <w:spacing w:after="0"/>
              <w:rPr>
                <w:sz w:val="20"/>
                <w:szCs w:val="20"/>
                <w:color w:val="auto"/>
              </w:rPr>
            </w:pPr>
            <w:r>
              <w:rPr>
                <w:rFonts w:ascii="Arial" w:cs="Arial" w:eastAsia="Arial" w:hAnsi="Arial"/>
                <w:sz w:val="12"/>
                <w:szCs w:val="12"/>
                <w:color w:val="auto"/>
              </w:rPr>
              <w:t>$1,284,045</w:t>
            </w:r>
          </w:p>
        </w:tc>
        <w:tc>
          <w:tcPr>
            <w:tcW w:w="920" w:type="dxa"/>
            <w:vAlign w:val="bottom"/>
            <w:gridSpan w:val="2"/>
          </w:tcPr>
          <w:p>
            <w:pPr>
              <w:jc w:val="right"/>
              <w:ind w:right="30"/>
              <w:spacing w:after="0"/>
              <w:rPr>
                <w:sz w:val="20"/>
                <w:szCs w:val="20"/>
                <w:color w:val="auto"/>
              </w:rPr>
            </w:pPr>
            <w:r>
              <w:rPr>
                <w:rFonts w:ascii="Arial" w:cs="Arial" w:eastAsia="Arial" w:hAnsi="Arial"/>
                <w:sz w:val="12"/>
                <w:szCs w:val="12"/>
                <w:color w:val="auto"/>
              </w:rPr>
              <w:t>617,476</w:t>
            </w:r>
          </w:p>
        </w:tc>
        <w:tc>
          <w:tcPr>
            <w:tcW w:w="160" w:type="dxa"/>
            <w:vAlign w:val="bottom"/>
            <w:tcBorders>
              <w:right w:val="single" w:sz="8" w:color="231F20"/>
            </w:tcBorders>
          </w:tcPr>
          <w:p>
            <w:pPr>
              <w:spacing w:after="0"/>
              <w:rPr>
                <w:sz w:val="17"/>
                <w:szCs w:val="17"/>
                <w:color w:val="auto"/>
              </w:rPr>
            </w:pPr>
          </w:p>
        </w:tc>
        <w:tc>
          <w:tcPr>
            <w:tcW w:w="1060" w:type="dxa"/>
            <w:vAlign w:val="bottom"/>
            <w:tcBorders>
              <w:right w:val="single" w:sz="8" w:color="231F20"/>
            </w:tcBorders>
          </w:tcPr>
          <w:p>
            <w:pPr>
              <w:jc w:val="center"/>
              <w:spacing w:after="0"/>
              <w:rPr>
                <w:sz w:val="20"/>
                <w:szCs w:val="20"/>
                <w:color w:val="auto"/>
              </w:rPr>
            </w:pPr>
            <w:r>
              <w:rPr>
                <w:rFonts w:ascii="Arial" w:cs="Arial" w:eastAsia="Arial" w:hAnsi="Arial"/>
                <w:sz w:val="12"/>
                <w:szCs w:val="12"/>
                <w:color w:val="auto"/>
              </w:rPr>
              <w:t>$3,933,322</w:t>
            </w:r>
          </w:p>
        </w:tc>
        <w:tc>
          <w:tcPr>
            <w:tcW w:w="26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80,469</w:t>
            </w:r>
          </w:p>
        </w:tc>
        <w:tc>
          <w:tcPr>
            <w:tcW w:w="200" w:type="dxa"/>
            <w:vAlign w:val="bottom"/>
            <w:tcBorders>
              <w:right w:val="single" w:sz="8" w:color="231F20"/>
            </w:tcBorders>
          </w:tcPr>
          <w:p>
            <w:pPr>
              <w:spacing w:after="0"/>
              <w:rPr>
                <w:sz w:val="17"/>
                <w:szCs w:val="17"/>
                <w:color w:val="auto"/>
              </w:rPr>
            </w:pPr>
          </w:p>
        </w:tc>
        <w:tc>
          <w:tcPr>
            <w:tcW w:w="1060" w:type="dxa"/>
            <w:vAlign w:val="bottom"/>
            <w:tcBorders>
              <w:right w:val="single" w:sz="8" w:color="231F20"/>
            </w:tcBorders>
          </w:tcPr>
          <w:p>
            <w:pPr>
              <w:ind w:left="300"/>
              <w:spacing w:after="0"/>
              <w:rPr>
                <w:sz w:val="20"/>
                <w:szCs w:val="20"/>
                <w:color w:val="auto"/>
              </w:rPr>
            </w:pPr>
            <w:r>
              <w:rPr>
                <w:rFonts w:ascii="Arial" w:cs="Arial" w:eastAsia="Arial" w:hAnsi="Arial"/>
                <w:sz w:val="12"/>
                <w:szCs w:val="12"/>
                <w:color w:val="auto"/>
              </w:rPr>
              <w:t>$512,588</w:t>
            </w:r>
          </w:p>
        </w:tc>
        <w:tc>
          <w:tcPr>
            <w:tcW w:w="1080" w:type="dxa"/>
            <w:vAlign w:val="bottom"/>
            <w:tcBorders>
              <w:right w:val="single" w:sz="8" w:color="231F20"/>
            </w:tcBorders>
          </w:tcPr>
          <w:p>
            <w:pPr>
              <w:jc w:val="right"/>
              <w:ind w:right="199"/>
              <w:spacing w:after="0"/>
              <w:rPr>
                <w:sz w:val="20"/>
                <w:szCs w:val="20"/>
                <w:color w:val="auto"/>
              </w:rPr>
            </w:pPr>
            <w:r>
              <w:rPr>
                <w:rFonts w:ascii="Arial" w:cs="Arial" w:eastAsia="Arial" w:hAnsi="Arial"/>
                <w:sz w:val="12"/>
                <w:szCs w:val="12"/>
                <w:color w:val="auto"/>
              </w:rPr>
              <w:t>904,699</w:t>
            </w:r>
          </w:p>
        </w:tc>
        <w:tc>
          <w:tcPr>
            <w:tcW w:w="160" w:type="dxa"/>
            <w:vAlign w:val="bottom"/>
          </w:tcPr>
          <w:p>
            <w:pPr>
              <w:spacing w:after="0"/>
              <w:rPr>
                <w:sz w:val="17"/>
                <w:szCs w:val="17"/>
                <w:color w:val="auto"/>
              </w:rPr>
            </w:pPr>
          </w:p>
        </w:tc>
        <w:tc>
          <w:tcPr>
            <w:tcW w:w="780" w:type="dxa"/>
            <w:vAlign w:val="bottom"/>
            <w:tcBorders>
              <w:right w:val="single" w:sz="8" w:color="231F20"/>
            </w:tcBorders>
            <w:gridSpan w:val="2"/>
          </w:tcPr>
          <w:p>
            <w:pPr>
              <w:jc w:val="center"/>
              <w:ind w:right="36"/>
              <w:spacing w:after="0"/>
              <w:rPr>
                <w:sz w:val="20"/>
                <w:szCs w:val="20"/>
                <w:color w:val="auto"/>
              </w:rPr>
            </w:pPr>
            <w:r>
              <w:rPr>
                <w:rFonts w:ascii="Arial" w:cs="Arial" w:eastAsia="Arial" w:hAnsi="Arial"/>
                <w:sz w:val="12"/>
                <w:szCs w:val="12"/>
                <w:color w:val="auto"/>
              </w:rPr>
              <w:t>$5,762,933</w:t>
            </w:r>
          </w:p>
        </w:tc>
        <w:tc>
          <w:tcPr>
            <w:tcW w:w="0" w:type="dxa"/>
            <w:vAlign w:val="bottom"/>
          </w:tcPr>
          <w:p>
            <w:pPr>
              <w:spacing w:after="0"/>
              <w:rPr>
                <w:sz w:val="1"/>
                <w:szCs w:val="1"/>
                <w:color w:val="auto"/>
              </w:rPr>
            </w:pPr>
          </w:p>
        </w:tc>
      </w:tr>
      <w:tr>
        <w:trPr>
          <w:trHeight w:val="67"/>
        </w:trPr>
        <w:tc>
          <w:tcPr>
            <w:tcW w:w="1000" w:type="dxa"/>
            <w:vAlign w:val="bottom"/>
            <w:tcBorders>
              <w:left w:val="single" w:sz="8" w:color="231F20"/>
              <w:bottom w:val="single" w:sz="8" w:color="231F20"/>
            </w:tcBorders>
          </w:tcPr>
          <w:p>
            <w:pPr>
              <w:spacing w:after="0"/>
              <w:rPr>
                <w:sz w:val="5"/>
                <w:szCs w:val="5"/>
                <w:color w:val="auto"/>
              </w:rPr>
            </w:pPr>
          </w:p>
        </w:tc>
        <w:tc>
          <w:tcPr>
            <w:tcW w:w="200" w:type="dxa"/>
            <w:vAlign w:val="bottom"/>
            <w:tcBorders>
              <w:bottom w:val="single" w:sz="8" w:color="231F20"/>
              <w:right w:val="single" w:sz="8" w:color="231F20"/>
            </w:tcBorders>
          </w:tcPr>
          <w:p>
            <w:pPr>
              <w:spacing w:after="0"/>
              <w:rPr>
                <w:sz w:val="5"/>
                <w:szCs w:val="5"/>
                <w:color w:val="auto"/>
              </w:rPr>
            </w:pPr>
          </w:p>
        </w:tc>
        <w:tc>
          <w:tcPr>
            <w:tcW w:w="1080" w:type="dxa"/>
            <w:vAlign w:val="bottom"/>
            <w:tcBorders>
              <w:bottom w:val="single" w:sz="8" w:color="231F20"/>
              <w:right w:val="single" w:sz="8" w:color="231F20"/>
            </w:tcBorders>
          </w:tcPr>
          <w:p>
            <w:pPr>
              <w:spacing w:after="0"/>
              <w:rPr>
                <w:sz w:val="5"/>
                <w:szCs w:val="5"/>
                <w:color w:val="auto"/>
              </w:rPr>
            </w:pPr>
          </w:p>
        </w:tc>
        <w:tc>
          <w:tcPr>
            <w:tcW w:w="600" w:type="dxa"/>
            <w:vAlign w:val="bottom"/>
            <w:tcBorders>
              <w:bottom w:val="single" w:sz="8" w:color="231F20"/>
            </w:tcBorders>
          </w:tcPr>
          <w:p>
            <w:pPr>
              <w:spacing w:after="0"/>
              <w:rPr>
                <w:sz w:val="5"/>
                <w:szCs w:val="5"/>
                <w:color w:val="auto"/>
              </w:rPr>
            </w:pPr>
          </w:p>
        </w:tc>
        <w:tc>
          <w:tcPr>
            <w:tcW w:w="460" w:type="dxa"/>
            <w:vAlign w:val="bottom"/>
            <w:tcBorders>
              <w:bottom w:val="single" w:sz="8" w:color="231F20"/>
              <w:right w:val="single" w:sz="8" w:color="231F20"/>
            </w:tcBorders>
          </w:tcPr>
          <w:p>
            <w:pPr>
              <w:spacing w:after="0"/>
              <w:rPr>
                <w:sz w:val="5"/>
                <w:szCs w:val="5"/>
                <w:color w:val="auto"/>
              </w:rPr>
            </w:pPr>
          </w:p>
        </w:tc>
        <w:tc>
          <w:tcPr>
            <w:tcW w:w="160" w:type="dxa"/>
            <w:vAlign w:val="bottom"/>
            <w:tcBorders>
              <w:bottom w:val="single" w:sz="8" w:color="231F20"/>
            </w:tcBorders>
          </w:tcPr>
          <w:p>
            <w:pPr>
              <w:spacing w:after="0"/>
              <w:rPr>
                <w:sz w:val="5"/>
                <w:szCs w:val="5"/>
                <w:color w:val="auto"/>
              </w:rPr>
            </w:pPr>
          </w:p>
        </w:tc>
        <w:tc>
          <w:tcPr>
            <w:tcW w:w="900" w:type="dxa"/>
            <w:vAlign w:val="bottom"/>
            <w:tcBorders>
              <w:bottom w:val="single" w:sz="8" w:color="231F20"/>
              <w:right w:val="single" w:sz="8" w:color="231F20"/>
            </w:tcBorders>
          </w:tcPr>
          <w:p>
            <w:pPr>
              <w:spacing w:after="0"/>
              <w:rPr>
                <w:sz w:val="5"/>
                <w:szCs w:val="5"/>
                <w:color w:val="auto"/>
              </w:rPr>
            </w:pPr>
          </w:p>
        </w:tc>
        <w:tc>
          <w:tcPr>
            <w:tcW w:w="540" w:type="dxa"/>
            <w:vAlign w:val="bottom"/>
            <w:tcBorders>
              <w:bottom w:val="single" w:sz="8" w:color="231F20"/>
            </w:tcBorders>
          </w:tcPr>
          <w:p>
            <w:pPr>
              <w:spacing w:after="0"/>
              <w:rPr>
                <w:sz w:val="5"/>
                <w:szCs w:val="5"/>
                <w:color w:val="auto"/>
              </w:rPr>
            </w:pPr>
          </w:p>
        </w:tc>
        <w:tc>
          <w:tcPr>
            <w:tcW w:w="380" w:type="dxa"/>
            <w:vAlign w:val="bottom"/>
            <w:tcBorders>
              <w:bottom w:val="single" w:sz="8" w:color="231F20"/>
            </w:tcBorders>
          </w:tcPr>
          <w:p>
            <w:pPr>
              <w:spacing w:after="0"/>
              <w:rPr>
                <w:sz w:val="5"/>
                <w:szCs w:val="5"/>
                <w:color w:val="auto"/>
              </w:rPr>
            </w:pPr>
          </w:p>
        </w:tc>
        <w:tc>
          <w:tcPr>
            <w:tcW w:w="160" w:type="dxa"/>
            <w:vAlign w:val="bottom"/>
            <w:tcBorders>
              <w:bottom w:val="single" w:sz="8" w:color="231F20"/>
              <w:right w:val="single" w:sz="8" w:color="231F20"/>
            </w:tcBorders>
          </w:tcPr>
          <w:p>
            <w:pPr>
              <w:spacing w:after="0"/>
              <w:rPr>
                <w:sz w:val="5"/>
                <w:szCs w:val="5"/>
                <w:color w:val="auto"/>
              </w:rPr>
            </w:pPr>
          </w:p>
        </w:tc>
        <w:tc>
          <w:tcPr>
            <w:tcW w:w="1060" w:type="dxa"/>
            <w:vAlign w:val="bottom"/>
            <w:tcBorders>
              <w:bottom w:val="single" w:sz="8" w:color="231F20"/>
              <w:right w:val="single" w:sz="8" w:color="231F20"/>
            </w:tcBorders>
          </w:tcPr>
          <w:p>
            <w:pPr>
              <w:spacing w:after="0"/>
              <w:rPr>
                <w:sz w:val="5"/>
                <w:szCs w:val="5"/>
                <w:color w:val="auto"/>
              </w:rPr>
            </w:pPr>
          </w:p>
        </w:tc>
        <w:tc>
          <w:tcPr>
            <w:tcW w:w="260" w:type="dxa"/>
            <w:vAlign w:val="bottom"/>
            <w:tcBorders>
              <w:bottom w:val="single" w:sz="8" w:color="231F20"/>
            </w:tcBorders>
          </w:tcPr>
          <w:p>
            <w:pPr>
              <w:spacing w:after="0"/>
              <w:rPr>
                <w:sz w:val="5"/>
                <w:szCs w:val="5"/>
                <w:color w:val="auto"/>
              </w:rPr>
            </w:pPr>
          </w:p>
        </w:tc>
        <w:tc>
          <w:tcPr>
            <w:tcW w:w="500" w:type="dxa"/>
            <w:vAlign w:val="bottom"/>
            <w:tcBorders>
              <w:bottom w:val="single" w:sz="8" w:color="231F20"/>
            </w:tcBorders>
          </w:tcPr>
          <w:p>
            <w:pPr>
              <w:spacing w:after="0"/>
              <w:rPr>
                <w:sz w:val="5"/>
                <w:szCs w:val="5"/>
                <w:color w:val="auto"/>
              </w:rPr>
            </w:pPr>
          </w:p>
        </w:tc>
        <w:tc>
          <w:tcPr>
            <w:tcW w:w="120" w:type="dxa"/>
            <w:vAlign w:val="bottom"/>
            <w:tcBorders>
              <w:bottom w:val="single" w:sz="8" w:color="231F20"/>
            </w:tcBorders>
          </w:tcPr>
          <w:p>
            <w:pPr>
              <w:spacing w:after="0"/>
              <w:rPr>
                <w:sz w:val="5"/>
                <w:szCs w:val="5"/>
                <w:color w:val="auto"/>
              </w:rPr>
            </w:pPr>
          </w:p>
        </w:tc>
        <w:tc>
          <w:tcPr>
            <w:tcW w:w="200" w:type="dxa"/>
            <w:vAlign w:val="bottom"/>
            <w:tcBorders>
              <w:bottom w:val="single" w:sz="8" w:color="231F20"/>
              <w:right w:val="single" w:sz="8" w:color="231F20"/>
            </w:tcBorders>
          </w:tcPr>
          <w:p>
            <w:pPr>
              <w:spacing w:after="0"/>
              <w:rPr>
                <w:sz w:val="5"/>
                <w:szCs w:val="5"/>
                <w:color w:val="auto"/>
              </w:rPr>
            </w:pPr>
          </w:p>
        </w:tc>
        <w:tc>
          <w:tcPr>
            <w:tcW w:w="1060" w:type="dxa"/>
            <w:vAlign w:val="bottom"/>
            <w:tcBorders>
              <w:bottom w:val="single" w:sz="8" w:color="231F20"/>
              <w:right w:val="single" w:sz="8" w:color="231F20"/>
            </w:tcBorders>
          </w:tcPr>
          <w:p>
            <w:pPr>
              <w:spacing w:after="0"/>
              <w:rPr>
                <w:sz w:val="5"/>
                <w:szCs w:val="5"/>
                <w:color w:val="auto"/>
              </w:rPr>
            </w:pPr>
          </w:p>
        </w:tc>
        <w:tc>
          <w:tcPr>
            <w:tcW w:w="1080" w:type="dxa"/>
            <w:vAlign w:val="bottom"/>
            <w:tcBorders>
              <w:bottom w:val="single" w:sz="8" w:color="231F20"/>
              <w:right w:val="single" w:sz="8" w:color="231F20"/>
            </w:tcBorders>
          </w:tcPr>
          <w:p>
            <w:pPr>
              <w:spacing w:after="0"/>
              <w:rPr>
                <w:sz w:val="5"/>
                <w:szCs w:val="5"/>
                <w:color w:val="auto"/>
              </w:rPr>
            </w:pPr>
          </w:p>
        </w:tc>
        <w:tc>
          <w:tcPr>
            <w:tcW w:w="160" w:type="dxa"/>
            <w:vAlign w:val="bottom"/>
            <w:tcBorders>
              <w:bottom w:val="single" w:sz="8" w:color="231F20"/>
            </w:tcBorders>
          </w:tcPr>
          <w:p>
            <w:pPr>
              <w:spacing w:after="0"/>
              <w:rPr>
                <w:sz w:val="5"/>
                <w:szCs w:val="5"/>
                <w:color w:val="auto"/>
              </w:rPr>
            </w:pPr>
          </w:p>
        </w:tc>
        <w:tc>
          <w:tcPr>
            <w:tcW w:w="40" w:type="dxa"/>
            <w:vAlign w:val="bottom"/>
            <w:tcBorders>
              <w:bottom w:val="single" w:sz="8" w:color="231F20"/>
            </w:tcBorders>
          </w:tcPr>
          <w:p>
            <w:pPr>
              <w:spacing w:after="0"/>
              <w:rPr>
                <w:sz w:val="5"/>
                <w:szCs w:val="5"/>
                <w:color w:val="auto"/>
              </w:rPr>
            </w:pPr>
          </w:p>
        </w:tc>
        <w:tc>
          <w:tcPr>
            <w:tcW w:w="7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-5580380</wp:posOffset>
            </wp:positionV>
            <wp:extent cx="1630045" cy="2021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0045" cy="202120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700"/>
          </w:cols>
          <w:pgMar w:left="600" w:top="264" w:right="599" w:bottom="1440" w:gutter="0" w:footer="0" w:header="0"/>
        </w:sectPr>
      </w:pPr>
    </w:p>
    <w:bookmarkStart w:id="32" w:name="page33"/>
    <w:bookmarkEnd w:id="32"/>
    <w:tbl>
      <w:tblPr>
        <w:tblLayout w:type="fixed"/>
        <w:tblInd w:w="10" w:type="dxa"/>
        <w:tblCellMar>
          <w:top w:w="0" w:type="dxa"/>
          <w:left w:w="0" w:type="dxa"/>
          <w:bottom w:w="0" w:type="dxa"/>
          <w:right w:w="0" w:type="dxa"/>
        </w:tblCellMar>
      </w:tblPr>
      <w:tr>
        <w:trPr>
          <w:trHeight w:val="314"/>
        </w:trPr>
        <w:tc>
          <w:tcPr>
            <w:tcW w:w="2920" w:type="dxa"/>
            <w:vAlign w:val="bottom"/>
            <w:tcBorders>
              <w:top w:val="single" w:sz="8" w:color="231F20"/>
              <w:left w:val="single" w:sz="8" w:color="231F20"/>
              <w:right w:val="single" w:sz="8" w:color="auto"/>
            </w:tcBorders>
          </w:tcPr>
          <w:p>
            <w:pPr>
              <w:ind w:left="840"/>
              <w:spacing w:after="0"/>
              <w:rPr>
                <w:sz w:val="20"/>
                <w:szCs w:val="20"/>
                <w:color w:val="auto"/>
              </w:rPr>
            </w:pPr>
            <w:r>
              <w:rPr>
                <w:rFonts w:ascii="Arial" w:cs="Arial" w:eastAsia="Arial" w:hAnsi="Arial"/>
                <w:sz w:val="17"/>
                <w:szCs w:val="17"/>
                <w:b w:val="1"/>
                <w:bCs w:val="1"/>
                <w:color w:val="auto"/>
              </w:rPr>
              <w:t>SANJAY NAKRA</w:t>
            </w:r>
          </w:p>
        </w:tc>
        <w:tc>
          <w:tcPr>
            <w:tcW w:w="1500" w:type="dxa"/>
            <w:vAlign w:val="bottom"/>
            <w:tcBorders>
              <w:top w:val="single" w:sz="8" w:color="231F20"/>
              <w:bottom w:val="single" w:sz="8" w:color="003445"/>
            </w:tcBorders>
            <w:shd w:val="clear" w:color="auto" w:fill="003445"/>
          </w:tcPr>
          <w:p>
            <w:pPr>
              <w:spacing w:after="0"/>
              <w:rPr>
                <w:sz w:val="24"/>
                <w:szCs w:val="24"/>
                <w:color w:val="auto"/>
              </w:rPr>
            </w:pPr>
          </w:p>
        </w:tc>
        <w:tc>
          <w:tcPr>
            <w:tcW w:w="6280" w:type="dxa"/>
            <w:vAlign w:val="bottom"/>
            <w:tcBorders>
              <w:top w:val="single" w:sz="8" w:color="231F20"/>
              <w:bottom w:val="single" w:sz="8" w:color="003445"/>
              <w:right w:val="single" w:sz="8" w:color="231F20"/>
            </w:tcBorders>
            <w:gridSpan w:val="5"/>
            <w:shd w:val="clear" w:color="auto" w:fill="003445"/>
          </w:tcPr>
          <w:p>
            <w:pPr>
              <w:jc w:val="center"/>
              <w:ind w:right="1368"/>
              <w:spacing w:after="0"/>
              <w:rPr>
                <w:sz w:val="20"/>
                <w:szCs w:val="20"/>
                <w:color w:val="auto"/>
              </w:rPr>
            </w:pPr>
            <w:r>
              <w:rPr>
                <w:rFonts w:ascii="Arial" w:cs="Arial" w:eastAsia="Arial" w:hAnsi="Arial"/>
                <w:sz w:val="17"/>
                <w:szCs w:val="17"/>
                <w:b w:val="1"/>
                <w:bCs w:val="1"/>
                <w:color w:val="FFFFFF"/>
              </w:rPr>
              <w:t>Biographical Information and Principal Occupation</w:t>
            </w:r>
          </w:p>
        </w:tc>
        <w:tc>
          <w:tcPr>
            <w:tcW w:w="0" w:type="dxa"/>
            <w:vAlign w:val="bottom"/>
          </w:tcPr>
          <w:p>
            <w:pPr>
              <w:spacing w:after="0"/>
              <w:rPr>
                <w:sz w:val="1"/>
                <w:szCs w:val="1"/>
                <w:color w:val="auto"/>
              </w:rPr>
            </w:pPr>
          </w:p>
        </w:tc>
      </w:tr>
      <w:tr>
        <w:trPr>
          <w:trHeight w:val="238"/>
        </w:trPr>
        <w:tc>
          <w:tcPr>
            <w:tcW w:w="2920" w:type="dxa"/>
            <w:vAlign w:val="bottom"/>
            <w:tcBorders>
              <w:top w:val="single" w:sz="8" w:color="231F20"/>
              <w:left w:val="single" w:sz="8" w:color="231F20"/>
              <w:right w:val="single" w:sz="8" w:color="auto"/>
            </w:tcBorders>
          </w:tcPr>
          <w:p>
            <w:pPr>
              <w:spacing w:after="0"/>
              <w:rPr>
                <w:sz w:val="20"/>
                <w:szCs w:val="20"/>
                <w:color w:val="auto"/>
              </w:rPr>
            </w:pPr>
          </w:p>
        </w:tc>
        <w:tc>
          <w:tcPr>
            <w:tcW w:w="7780" w:type="dxa"/>
            <w:vAlign w:val="bottom"/>
            <w:tcBorders>
              <w:top w:val="single" w:sz="8" w:color="231F20"/>
              <w:right w:val="single" w:sz="8" w:color="231F20"/>
            </w:tcBorders>
            <w:gridSpan w:val="6"/>
          </w:tcPr>
          <w:p>
            <w:pPr>
              <w:ind w:left="80"/>
              <w:spacing w:after="0"/>
              <w:rPr>
                <w:sz w:val="20"/>
                <w:szCs w:val="20"/>
                <w:color w:val="auto"/>
              </w:rPr>
            </w:pPr>
            <w:r>
              <w:rPr>
                <w:rFonts w:ascii="Arial" w:cs="Arial" w:eastAsia="Arial" w:hAnsi="Arial"/>
                <w:sz w:val="17"/>
                <w:szCs w:val="17"/>
                <w:color w:val="auto"/>
              </w:rPr>
              <w:t>Mr. Nakra is a senior corporate finance leader with over two decades of investment banking</w:t>
            </w:r>
          </w:p>
        </w:tc>
        <w:tc>
          <w:tcPr>
            <w:tcW w:w="0" w:type="dxa"/>
            <w:vAlign w:val="bottom"/>
          </w:tcPr>
          <w:p>
            <w:pPr>
              <w:spacing w:after="0"/>
              <w:rPr>
                <w:sz w:val="1"/>
                <w:szCs w:val="1"/>
                <w:color w:val="auto"/>
              </w:rPr>
            </w:pPr>
          </w:p>
        </w:tc>
      </w:tr>
      <w:tr>
        <w:trPr>
          <w:trHeight w:val="196"/>
        </w:trPr>
        <w:tc>
          <w:tcPr>
            <w:tcW w:w="2920" w:type="dxa"/>
            <w:vAlign w:val="bottom"/>
            <w:tcBorders>
              <w:left w:val="single" w:sz="8" w:color="231F20"/>
              <w:right w:val="single" w:sz="8" w:color="auto"/>
            </w:tcBorders>
          </w:tcPr>
          <w:p>
            <w:pPr>
              <w:spacing w:after="0"/>
              <w:rPr>
                <w:sz w:val="17"/>
                <w:szCs w:val="17"/>
                <w:color w:val="auto"/>
              </w:rPr>
            </w:pPr>
          </w:p>
        </w:tc>
        <w:tc>
          <w:tcPr>
            <w:tcW w:w="7780" w:type="dxa"/>
            <w:vAlign w:val="bottom"/>
            <w:tcBorders>
              <w:right w:val="single" w:sz="8" w:color="231F20"/>
            </w:tcBorders>
            <w:gridSpan w:val="6"/>
          </w:tcPr>
          <w:p>
            <w:pPr>
              <w:ind w:left="80"/>
              <w:spacing w:after="0"/>
              <w:rPr>
                <w:sz w:val="20"/>
                <w:szCs w:val="20"/>
                <w:color w:val="auto"/>
              </w:rPr>
            </w:pPr>
            <w:r>
              <w:rPr>
                <w:rFonts w:ascii="Arial" w:cs="Arial" w:eastAsia="Arial" w:hAnsi="Arial"/>
                <w:sz w:val="17"/>
                <w:szCs w:val="17"/>
                <w:color w:val="auto"/>
              </w:rPr>
              <w:t>experience in Europe, the US, and Canada. He held progressively senior roles including Managing</w:t>
            </w:r>
          </w:p>
        </w:tc>
        <w:tc>
          <w:tcPr>
            <w:tcW w:w="0" w:type="dxa"/>
            <w:vAlign w:val="bottom"/>
          </w:tcPr>
          <w:p>
            <w:pPr>
              <w:spacing w:after="0"/>
              <w:rPr>
                <w:sz w:val="1"/>
                <w:szCs w:val="1"/>
                <w:color w:val="auto"/>
              </w:rPr>
            </w:pPr>
          </w:p>
        </w:tc>
      </w:tr>
      <w:tr>
        <w:trPr>
          <w:trHeight w:val="196"/>
        </w:trPr>
        <w:tc>
          <w:tcPr>
            <w:tcW w:w="2920" w:type="dxa"/>
            <w:vAlign w:val="bottom"/>
            <w:tcBorders>
              <w:left w:val="single" w:sz="8" w:color="231F20"/>
              <w:right w:val="single" w:sz="8" w:color="auto"/>
            </w:tcBorders>
          </w:tcPr>
          <w:p>
            <w:pPr>
              <w:spacing w:after="0"/>
              <w:rPr>
                <w:sz w:val="17"/>
                <w:szCs w:val="17"/>
                <w:color w:val="auto"/>
              </w:rPr>
            </w:pPr>
          </w:p>
        </w:tc>
        <w:tc>
          <w:tcPr>
            <w:tcW w:w="7780" w:type="dxa"/>
            <w:vAlign w:val="bottom"/>
            <w:tcBorders>
              <w:right w:val="single" w:sz="8" w:color="231F20"/>
            </w:tcBorders>
            <w:gridSpan w:val="6"/>
          </w:tcPr>
          <w:p>
            <w:pPr>
              <w:ind w:left="80"/>
              <w:spacing w:after="0"/>
              <w:rPr>
                <w:sz w:val="20"/>
                <w:szCs w:val="20"/>
                <w:color w:val="auto"/>
              </w:rPr>
            </w:pPr>
            <w:r>
              <w:rPr>
                <w:rFonts w:ascii="Arial" w:cs="Arial" w:eastAsia="Arial" w:hAnsi="Arial"/>
                <w:sz w:val="17"/>
                <w:szCs w:val="17"/>
                <w:color w:val="auto"/>
              </w:rPr>
              <w:t>Director and Co-Group Head, Diversified Industries for TD Securities. He also served as Managing</w:t>
            </w:r>
          </w:p>
        </w:tc>
        <w:tc>
          <w:tcPr>
            <w:tcW w:w="0" w:type="dxa"/>
            <w:vAlign w:val="bottom"/>
          </w:tcPr>
          <w:p>
            <w:pPr>
              <w:spacing w:after="0"/>
              <w:rPr>
                <w:sz w:val="1"/>
                <w:szCs w:val="1"/>
                <w:color w:val="auto"/>
              </w:rPr>
            </w:pPr>
          </w:p>
        </w:tc>
      </w:tr>
      <w:tr>
        <w:trPr>
          <w:trHeight w:val="196"/>
        </w:trPr>
        <w:tc>
          <w:tcPr>
            <w:tcW w:w="2920" w:type="dxa"/>
            <w:vAlign w:val="bottom"/>
            <w:tcBorders>
              <w:left w:val="single" w:sz="8" w:color="231F20"/>
              <w:right w:val="single" w:sz="8" w:color="auto"/>
            </w:tcBorders>
          </w:tcPr>
          <w:p>
            <w:pPr>
              <w:spacing w:after="0"/>
              <w:rPr>
                <w:sz w:val="17"/>
                <w:szCs w:val="17"/>
                <w:color w:val="auto"/>
              </w:rPr>
            </w:pPr>
          </w:p>
        </w:tc>
        <w:tc>
          <w:tcPr>
            <w:tcW w:w="7780" w:type="dxa"/>
            <w:vAlign w:val="bottom"/>
            <w:tcBorders>
              <w:right w:val="single" w:sz="8" w:color="231F20"/>
            </w:tcBorders>
            <w:gridSpan w:val="6"/>
          </w:tcPr>
          <w:p>
            <w:pPr>
              <w:ind w:left="80"/>
              <w:spacing w:after="0"/>
              <w:rPr>
                <w:sz w:val="20"/>
                <w:szCs w:val="20"/>
                <w:color w:val="auto"/>
              </w:rPr>
            </w:pPr>
            <w:r>
              <w:rPr>
                <w:rFonts w:ascii="Arial" w:cs="Arial" w:eastAsia="Arial" w:hAnsi="Arial"/>
                <w:sz w:val="17"/>
                <w:szCs w:val="17"/>
                <w:color w:val="auto"/>
              </w:rPr>
              <w:t>Director and Group Head, Technology and Infrastructure, Investment Banking at TD Securities.</w:t>
            </w:r>
          </w:p>
        </w:tc>
        <w:tc>
          <w:tcPr>
            <w:tcW w:w="0" w:type="dxa"/>
            <w:vAlign w:val="bottom"/>
          </w:tcPr>
          <w:p>
            <w:pPr>
              <w:spacing w:after="0"/>
              <w:rPr>
                <w:sz w:val="1"/>
                <w:szCs w:val="1"/>
                <w:color w:val="auto"/>
              </w:rPr>
            </w:pPr>
          </w:p>
        </w:tc>
      </w:tr>
      <w:tr>
        <w:trPr>
          <w:trHeight w:val="196"/>
        </w:trPr>
        <w:tc>
          <w:tcPr>
            <w:tcW w:w="2920" w:type="dxa"/>
            <w:vAlign w:val="bottom"/>
            <w:tcBorders>
              <w:left w:val="single" w:sz="8" w:color="231F20"/>
              <w:right w:val="single" w:sz="8" w:color="auto"/>
            </w:tcBorders>
          </w:tcPr>
          <w:p>
            <w:pPr>
              <w:spacing w:after="0"/>
              <w:rPr>
                <w:sz w:val="17"/>
                <w:szCs w:val="17"/>
                <w:color w:val="auto"/>
              </w:rPr>
            </w:pPr>
          </w:p>
        </w:tc>
        <w:tc>
          <w:tcPr>
            <w:tcW w:w="7780" w:type="dxa"/>
            <w:vAlign w:val="bottom"/>
            <w:tcBorders>
              <w:right w:val="single" w:sz="8" w:color="231F20"/>
            </w:tcBorders>
            <w:gridSpan w:val="6"/>
          </w:tcPr>
          <w:p>
            <w:pPr>
              <w:ind w:left="80"/>
              <w:spacing w:after="0"/>
              <w:rPr>
                <w:sz w:val="20"/>
                <w:szCs w:val="20"/>
                <w:color w:val="auto"/>
              </w:rPr>
            </w:pPr>
            <w:r>
              <w:rPr>
                <w:rFonts w:ascii="Arial" w:cs="Arial" w:eastAsia="Arial" w:hAnsi="Arial"/>
                <w:sz w:val="17"/>
                <w:szCs w:val="17"/>
                <w:color w:val="auto"/>
              </w:rPr>
              <w:t>Mr. Nakra serves on the Board of Directors of C&amp;C Group PLC, Canadian General Investments,</w:t>
            </w:r>
          </w:p>
        </w:tc>
        <w:tc>
          <w:tcPr>
            <w:tcW w:w="0" w:type="dxa"/>
            <w:vAlign w:val="bottom"/>
          </w:tcPr>
          <w:p>
            <w:pPr>
              <w:spacing w:after="0"/>
              <w:rPr>
                <w:sz w:val="1"/>
                <w:szCs w:val="1"/>
                <w:color w:val="auto"/>
              </w:rPr>
            </w:pPr>
          </w:p>
        </w:tc>
      </w:tr>
      <w:tr>
        <w:trPr>
          <w:trHeight w:val="196"/>
        </w:trPr>
        <w:tc>
          <w:tcPr>
            <w:tcW w:w="2920" w:type="dxa"/>
            <w:vAlign w:val="bottom"/>
            <w:tcBorders>
              <w:left w:val="single" w:sz="8" w:color="231F20"/>
              <w:right w:val="single" w:sz="8" w:color="auto"/>
            </w:tcBorders>
          </w:tcPr>
          <w:p>
            <w:pPr>
              <w:spacing w:after="0"/>
              <w:rPr>
                <w:sz w:val="17"/>
                <w:szCs w:val="17"/>
                <w:color w:val="auto"/>
              </w:rPr>
            </w:pPr>
          </w:p>
        </w:tc>
        <w:tc>
          <w:tcPr>
            <w:tcW w:w="7780" w:type="dxa"/>
            <w:vAlign w:val="bottom"/>
            <w:tcBorders>
              <w:right w:val="single" w:sz="8" w:color="231F20"/>
            </w:tcBorders>
            <w:gridSpan w:val="6"/>
          </w:tcPr>
          <w:p>
            <w:pPr>
              <w:ind w:left="80"/>
              <w:spacing w:after="0"/>
              <w:rPr>
                <w:sz w:val="20"/>
                <w:szCs w:val="20"/>
                <w:color w:val="auto"/>
              </w:rPr>
            </w:pPr>
            <w:r>
              <w:rPr>
                <w:rFonts w:ascii="Arial" w:cs="Arial" w:eastAsia="Arial" w:hAnsi="Arial"/>
                <w:sz w:val="17"/>
                <w:szCs w:val="17"/>
                <w:color w:val="auto"/>
              </w:rPr>
              <w:t>Limited and NuraLogix Corporation, and is the Vice Chair of the Board of Directors and Co-Chair of</w:t>
            </w:r>
          </w:p>
        </w:tc>
        <w:tc>
          <w:tcPr>
            <w:tcW w:w="0" w:type="dxa"/>
            <w:vAlign w:val="bottom"/>
          </w:tcPr>
          <w:p>
            <w:pPr>
              <w:spacing w:after="0"/>
              <w:rPr>
                <w:sz w:val="1"/>
                <w:szCs w:val="1"/>
                <w:color w:val="auto"/>
              </w:rPr>
            </w:pPr>
          </w:p>
        </w:tc>
      </w:tr>
      <w:tr>
        <w:trPr>
          <w:trHeight w:val="196"/>
        </w:trPr>
        <w:tc>
          <w:tcPr>
            <w:tcW w:w="2920" w:type="dxa"/>
            <w:vAlign w:val="bottom"/>
            <w:tcBorders>
              <w:left w:val="single" w:sz="8" w:color="231F20"/>
              <w:right w:val="single" w:sz="8" w:color="auto"/>
            </w:tcBorders>
          </w:tcPr>
          <w:p>
            <w:pPr>
              <w:spacing w:after="0"/>
              <w:rPr>
                <w:sz w:val="17"/>
                <w:szCs w:val="17"/>
                <w:color w:val="auto"/>
              </w:rPr>
            </w:pPr>
          </w:p>
        </w:tc>
        <w:tc>
          <w:tcPr>
            <w:tcW w:w="7780" w:type="dxa"/>
            <w:vAlign w:val="bottom"/>
            <w:tcBorders>
              <w:right w:val="single" w:sz="8" w:color="231F20"/>
            </w:tcBorders>
            <w:gridSpan w:val="6"/>
          </w:tcPr>
          <w:p>
            <w:pPr>
              <w:ind w:left="80"/>
              <w:spacing w:after="0"/>
              <w:rPr>
                <w:sz w:val="20"/>
                <w:szCs w:val="20"/>
                <w:color w:val="auto"/>
              </w:rPr>
            </w:pPr>
            <w:r>
              <w:rPr>
                <w:rFonts w:ascii="Arial" w:cs="Arial" w:eastAsia="Arial" w:hAnsi="Arial"/>
                <w:sz w:val="17"/>
                <w:szCs w:val="17"/>
                <w:color w:val="auto"/>
              </w:rPr>
              <w:t>Women Centre Stage of Soulpepper Theatre Company and Co-Chair of the University Health</w:t>
            </w:r>
          </w:p>
        </w:tc>
        <w:tc>
          <w:tcPr>
            <w:tcW w:w="0" w:type="dxa"/>
            <w:vAlign w:val="bottom"/>
          </w:tcPr>
          <w:p>
            <w:pPr>
              <w:spacing w:after="0"/>
              <w:rPr>
                <w:sz w:val="1"/>
                <w:szCs w:val="1"/>
                <w:color w:val="auto"/>
              </w:rPr>
            </w:pPr>
          </w:p>
        </w:tc>
      </w:tr>
      <w:tr>
        <w:trPr>
          <w:trHeight w:val="230"/>
        </w:trPr>
        <w:tc>
          <w:tcPr>
            <w:tcW w:w="2920" w:type="dxa"/>
            <w:vAlign w:val="bottom"/>
            <w:tcBorders>
              <w:left w:val="single" w:sz="8" w:color="231F20"/>
              <w:right w:val="single" w:sz="8" w:color="auto"/>
            </w:tcBorders>
          </w:tcPr>
          <w:p>
            <w:pPr>
              <w:spacing w:after="0"/>
              <w:rPr>
                <w:sz w:val="20"/>
                <w:szCs w:val="20"/>
                <w:color w:val="auto"/>
              </w:rPr>
            </w:pPr>
          </w:p>
        </w:tc>
        <w:tc>
          <w:tcPr>
            <w:tcW w:w="4500" w:type="dxa"/>
            <w:vAlign w:val="bottom"/>
            <w:gridSpan w:val="5"/>
          </w:tcPr>
          <w:p>
            <w:pPr>
              <w:ind w:left="80"/>
              <w:spacing w:after="0"/>
              <w:rPr>
                <w:sz w:val="20"/>
                <w:szCs w:val="20"/>
                <w:color w:val="auto"/>
              </w:rPr>
            </w:pPr>
            <w:r>
              <w:rPr>
                <w:rFonts w:ascii="Arial" w:cs="Arial" w:eastAsia="Arial" w:hAnsi="Arial"/>
                <w:sz w:val="17"/>
                <w:szCs w:val="17"/>
                <w:color w:val="auto"/>
              </w:rPr>
              <w:t>Network (UHN) Annual Gala: Diwali — A Night to Shine.</w:t>
            </w:r>
          </w:p>
        </w:tc>
        <w:tc>
          <w:tcPr>
            <w:tcW w:w="32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920" w:type="dxa"/>
            <w:vAlign w:val="bottom"/>
            <w:tcBorders>
              <w:left w:val="single" w:sz="8" w:color="231F20"/>
              <w:right w:val="single" w:sz="8" w:color="auto"/>
            </w:tcBorders>
          </w:tcPr>
          <w:p>
            <w:pPr>
              <w:spacing w:after="0"/>
              <w:rPr>
                <w:sz w:val="24"/>
                <w:szCs w:val="24"/>
                <w:color w:val="auto"/>
              </w:rPr>
            </w:pPr>
          </w:p>
        </w:tc>
        <w:tc>
          <w:tcPr>
            <w:tcW w:w="7780" w:type="dxa"/>
            <w:vAlign w:val="bottom"/>
            <w:tcBorders>
              <w:right w:val="single" w:sz="8" w:color="231F20"/>
            </w:tcBorders>
            <w:gridSpan w:val="6"/>
          </w:tcPr>
          <w:p>
            <w:pPr>
              <w:ind w:left="80"/>
              <w:spacing w:after="0"/>
              <w:rPr>
                <w:sz w:val="20"/>
                <w:szCs w:val="20"/>
                <w:color w:val="auto"/>
              </w:rPr>
            </w:pPr>
            <w:r>
              <w:rPr>
                <w:rFonts w:ascii="Arial" w:cs="Arial" w:eastAsia="Arial" w:hAnsi="Arial"/>
                <w:sz w:val="17"/>
                <w:szCs w:val="17"/>
                <w:color w:val="auto"/>
              </w:rPr>
              <w:t>Mr. Nakra holds a Chartered Accountant (CA) designation from the Institute of Chartered</w:t>
            </w:r>
          </w:p>
        </w:tc>
        <w:tc>
          <w:tcPr>
            <w:tcW w:w="0" w:type="dxa"/>
            <w:vAlign w:val="bottom"/>
          </w:tcPr>
          <w:p>
            <w:pPr>
              <w:spacing w:after="0"/>
              <w:rPr>
                <w:sz w:val="1"/>
                <w:szCs w:val="1"/>
                <w:color w:val="auto"/>
              </w:rPr>
            </w:pPr>
          </w:p>
        </w:tc>
      </w:tr>
      <w:tr>
        <w:trPr>
          <w:trHeight w:val="196"/>
        </w:trPr>
        <w:tc>
          <w:tcPr>
            <w:tcW w:w="2920" w:type="dxa"/>
            <w:vAlign w:val="bottom"/>
            <w:tcBorders>
              <w:left w:val="single" w:sz="8" w:color="231F20"/>
              <w:right w:val="single" w:sz="8" w:color="auto"/>
            </w:tcBorders>
          </w:tcPr>
          <w:p>
            <w:pPr>
              <w:spacing w:after="0"/>
              <w:rPr>
                <w:sz w:val="17"/>
                <w:szCs w:val="17"/>
                <w:color w:val="auto"/>
              </w:rPr>
            </w:pPr>
          </w:p>
        </w:tc>
        <w:tc>
          <w:tcPr>
            <w:tcW w:w="7780" w:type="dxa"/>
            <w:vAlign w:val="bottom"/>
            <w:tcBorders>
              <w:right w:val="single" w:sz="8" w:color="231F20"/>
            </w:tcBorders>
            <w:gridSpan w:val="6"/>
          </w:tcPr>
          <w:p>
            <w:pPr>
              <w:ind w:left="80"/>
              <w:spacing w:after="0"/>
              <w:rPr>
                <w:sz w:val="20"/>
                <w:szCs w:val="20"/>
                <w:color w:val="auto"/>
              </w:rPr>
            </w:pPr>
            <w:r>
              <w:rPr>
                <w:rFonts w:ascii="Arial" w:cs="Arial" w:eastAsia="Arial" w:hAnsi="Arial"/>
                <w:sz w:val="17"/>
                <w:szCs w:val="17"/>
                <w:color w:val="auto"/>
              </w:rPr>
              <w:t>Accountants of Ontario, a Master of Business Administration from Schulich School of Business,</w:t>
            </w:r>
          </w:p>
        </w:tc>
        <w:tc>
          <w:tcPr>
            <w:tcW w:w="0" w:type="dxa"/>
            <w:vAlign w:val="bottom"/>
          </w:tcPr>
          <w:p>
            <w:pPr>
              <w:spacing w:after="0"/>
              <w:rPr>
                <w:sz w:val="1"/>
                <w:szCs w:val="1"/>
                <w:color w:val="auto"/>
              </w:rPr>
            </w:pPr>
          </w:p>
        </w:tc>
      </w:tr>
      <w:tr>
        <w:trPr>
          <w:trHeight w:val="230"/>
        </w:trPr>
        <w:tc>
          <w:tcPr>
            <w:tcW w:w="2920" w:type="dxa"/>
            <w:vAlign w:val="bottom"/>
            <w:tcBorders>
              <w:left w:val="single" w:sz="8" w:color="231F20"/>
              <w:right w:val="single" w:sz="8" w:color="auto"/>
            </w:tcBorders>
          </w:tcPr>
          <w:p>
            <w:pPr>
              <w:spacing w:after="0"/>
              <w:rPr>
                <w:sz w:val="20"/>
                <w:szCs w:val="20"/>
                <w:color w:val="auto"/>
              </w:rPr>
            </w:pPr>
          </w:p>
        </w:tc>
        <w:tc>
          <w:tcPr>
            <w:tcW w:w="4500" w:type="dxa"/>
            <w:vAlign w:val="bottom"/>
            <w:gridSpan w:val="5"/>
          </w:tcPr>
          <w:p>
            <w:pPr>
              <w:ind w:left="80"/>
              <w:spacing w:after="0"/>
              <w:rPr>
                <w:sz w:val="20"/>
                <w:szCs w:val="20"/>
                <w:color w:val="auto"/>
              </w:rPr>
            </w:pPr>
            <w:r>
              <w:rPr>
                <w:rFonts w:ascii="Arial" w:cs="Arial" w:eastAsia="Arial" w:hAnsi="Arial"/>
                <w:sz w:val="17"/>
                <w:szCs w:val="17"/>
                <w:color w:val="auto"/>
              </w:rPr>
              <w:t>and a Bachelor of Arts from York University.</w:t>
            </w:r>
          </w:p>
        </w:tc>
        <w:tc>
          <w:tcPr>
            <w:tcW w:w="32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920" w:type="dxa"/>
            <w:vAlign w:val="bottom"/>
            <w:tcBorders>
              <w:left w:val="single" w:sz="8" w:color="231F20"/>
              <w:bottom w:val="single" w:sz="8" w:color="auto"/>
              <w:right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8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920" w:type="dxa"/>
            <w:vAlign w:val="bottom"/>
            <w:tcBorders>
              <w:left w:val="single" w:sz="8" w:color="231F20"/>
              <w:right w:val="single" w:sz="8" w:color="auto"/>
            </w:tcBorders>
          </w:tcPr>
          <w:p>
            <w:pPr>
              <w:ind w:left="160"/>
              <w:spacing w:after="0"/>
              <w:rPr>
                <w:sz w:val="20"/>
                <w:szCs w:val="20"/>
                <w:color w:val="auto"/>
              </w:rPr>
            </w:pPr>
            <w:r>
              <w:rPr>
                <w:rFonts w:ascii="Arial" w:cs="Arial" w:eastAsia="Arial" w:hAnsi="Arial"/>
                <w:sz w:val="17"/>
                <w:szCs w:val="17"/>
                <w:color w:val="auto"/>
              </w:rPr>
              <w:t>Age: 55</w:t>
            </w:r>
          </w:p>
        </w:tc>
        <w:tc>
          <w:tcPr>
            <w:tcW w:w="15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8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20" w:type="dxa"/>
            <w:vAlign w:val="bottom"/>
            <w:tcBorders>
              <w:left w:val="single" w:sz="8" w:color="231F20"/>
              <w:right w:val="single" w:sz="8" w:color="auto"/>
            </w:tcBorders>
          </w:tcPr>
          <w:p>
            <w:pPr>
              <w:ind w:left="160"/>
              <w:spacing w:after="0"/>
              <w:rPr>
                <w:sz w:val="20"/>
                <w:szCs w:val="20"/>
                <w:color w:val="auto"/>
              </w:rPr>
            </w:pPr>
            <w:r>
              <w:rPr>
                <w:rFonts w:ascii="Arial" w:cs="Arial" w:eastAsia="Arial" w:hAnsi="Arial"/>
                <w:sz w:val="19"/>
                <w:szCs w:val="19"/>
                <w:color w:val="auto"/>
              </w:rPr>
              <w:t>Location: Toronto, Ontario,</w:t>
            </w:r>
          </w:p>
        </w:tc>
        <w:tc>
          <w:tcPr>
            <w:tcW w:w="1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20" w:type="dxa"/>
            <w:vAlign w:val="bottom"/>
            <w:tcBorders>
              <w:left w:val="single" w:sz="8" w:color="231F20"/>
              <w:right w:val="single" w:sz="8" w:color="auto"/>
            </w:tcBorders>
          </w:tcPr>
          <w:p>
            <w:pPr>
              <w:ind w:left="160"/>
              <w:spacing w:after="0"/>
              <w:rPr>
                <w:sz w:val="20"/>
                <w:szCs w:val="20"/>
                <w:color w:val="auto"/>
              </w:rPr>
            </w:pPr>
            <w:r>
              <w:rPr>
                <w:rFonts w:ascii="Arial" w:cs="Arial" w:eastAsia="Arial" w:hAnsi="Arial"/>
                <w:sz w:val="19"/>
                <w:szCs w:val="19"/>
                <w:color w:val="auto"/>
              </w:rPr>
              <w:t>Canada</w:t>
            </w:r>
          </w:p>
        </w:tc>
        <w:tc>
          <w:tcPr>
            <w:tcW w:w="15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8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920" w:type="dxa"/>
            <w:vAlign w:val="bottom"/>
            <w:tcBorders>
              <w:left w:val="single" w:sz="8" w:color="231F20"/>
              <w:bottom w:val="single" w:sz="8" w:color="231F20"/>
              <w:right w:val="single" w:sz="8" w:color="auto"/>
            </w:tcBorders>
          </w:tcPr>
          <w:p>
            <w:pPr>
              <w:ind w:left="160"/>
              <w:spacing w:after="0"/>
              <w:rPr>
                <w:sz w:val="20"/>
                <w:szCs w:val="20"/>
                <w:color w:val="auto"/>
              </w:rPr>
            </w:pPr>
            <w:r>
              <w:rPr>
                <w:rFonts w:ascii="Arial" w:cs="Arial" w:eastAsia="Arial" w:hAnsi="Arial"/>
                <w:sz w:val="17"/>
                <w:szCs w:val="17"/>
                <w:color w:val="auto"/>
              </w:rPr>
              <w:t>Director Since: September 2022</w:t>
            </w:r>
          </w:p>
        </w:tc>
        <w:tc>
          <w:tcPr>
            <w:tcW w:w="1500" w:type="dxa"/>
            <w:vAlign w:val="bottom"/>
            <w:tcBorders>
              <w:bottom w:val="single" w:sz="8" w:color="231F20"/>
            </w:tcBorders>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520" w:type="dxa"/>
            <w:vAlign w:val="bottom"/>
            <w:tcBorders>
              <w:bottom w:val="single" w:sz="8" w:color="231F20"/>
            </w:tcBorders>
          </w:tcPr>
          <w:p>
            <w:pPr>
              <w:spacing w:after="0"/>
              <w:rPr>
                <w:sz w:val="21"/>
                <w:szCs w:val="21"/>
                <w:color w:val="auto"/>
              </w:rPr>
            </w:pPr>
          </w:p>
        </w:tc>
        <w:tc>
          <w:tcPr>
            <w:tcW w:w="1840" w:type="dxa"/>
            <w:vAlign w:val="bottom"/>
            <w:tcBorders>
              <w:bottom w:val="single" w:sz="8" w:color="231F20"/>
            </w:tcBorders>
          </w:tcPr>
          <w:p>
            <w:pPr>
              <w:spacing w:after="0"/>
              <w:rPr>
                <w:sz w:val="21"/>
                <w:szCs w:val="21"/>
                <w:color w:val="auto"/>
              </w:rPr>
            </w:pPr>
          </w:p>
        </w:tc>
        <w:tc>
          <w:tcPr>
            <w:tcW w:w="120" w:type="dxa"/>
            <w:vAlign w:val="bottom"/>
            <w:tcBorders>
              <w:bottom w:val="single" w:sz="8" w:color="231F20"/>
            </w:tcBorders>
          </w:tcPr>
          <w:p>
            <w:pPr>
              <w:spacing w:after="0"/>
              <w:rPr>
                <w:sz w:val="21"/>
                <w:szCs w:val="21"/>
                <w:color w:val="auto"/>
              </w:rPr>
            </w:pPr>
          </w:p>
        </w:tc>
        <w:tc>
          <w:tcPr>
            <w:tcW w:w="3280" w:type="dxa"/>
            <w:vAlign w:val="bottom"/>
            <w:tcBorders>
              <w:bottom w:val="single" w:sz="8" w:color="231F20"/>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920" w:type="dxa"/>
            <w:vAlign w:val="bottom"/>
            <w:tcBorders>
              <w:left w:val="single" w:sz="8" w:color="231F20"/>
              <w:right w:val="single" w:sz="8" w:color="231F20"/>
            </w:tcBorders>
          </w:tcPr>
          <w:p>
            <w:pPr>
              <w:ind w:left="160"/>
              <w:spacing w:after="0"/>
              <w:rPr>
                <w:sz w:val="20"/>
                <w:szCs w:val="20"/>
                <w:color w:val="auto"/>
              </w:rPr>
            </w:pPr>
            <w:r>
              <w:rPr>
                <w:rFonts w:ascii="Arial" w:cs="Arial" w:eastAsia="Arial" w:hAnsi="Arial"/>
                <w:sz w:val="17"/>
                <w:szCs w:val="17"/>
                <w:color w:val="auto"/>
              </w:rPr>
              <w:t xml:space="preserve">Status: </w:t>
            </w:r>
            <w:r>
              <w:rPr>
                <w:rFonts w:ascii="Arial" w:cs="Arial" w:eastAsia="Arial" w:hAnsi="Arial"/>
                <w:sz w:val="17"/>
                <w:szCs w:val="17"/>
                <w:b w:val="1"/>
                <w:bCs w:val="1"/>
                <w:color w:val="auto"/>
              </w:rPr>
              <w:t>INDEPENDENT</w:t>
            </w:r>
          </w:p>
        </w:tc>
        <w:tc>
          <w:tcPr>
            <w:tcW w:w="1500" w:type="dxa"/>
            <w:vAlign w:val="bottom"/>
            <w:tcBorders>
              <w:bottom w:val="single" w:sz="8" w:color="003445"/>
            </w:tcBorders>
            <w:shd w:val="clear" w:color="auto" w:fill="003445"/>
          </w:tcPr>
          <w:p>
            <w:pPr>
              <w:spacing w:after="0"/>
              <w:rPr>
                <w:sz w:val="24"/>
                <w:szCs w:val="24"/>
                <w:color w:val="auto"/>
              </w:rPr>
            </w:pPr>
          </w:p>
        </w:tc>
        <w:tc>
          <w:tcPr>
            <w:tcW w:w="520" w:type="dxa"/>
            <w:vAlign w:val="bottom"/>
            <w:tcBorders>
              <w:bottom w:val="single" w:sz="8" w:color="003445"/>
              <w:right w:val="single" w:sz="8" w:color="003445"/>
            </w:tcBorders>
            <w:shd w:val="clear" w:color="auto" w:fill="003445"/>
          </w:tcPr>
          <w:p>
            <w:pPr>
              <w:spacing w:after="0"/>
              <w:rPr>
                <w:sz w:val="24"/>
                <w:szCs w:val="24"/>
                <w:color w:val="auto"/>
              </w:rPr>
            </w:pPr>
          </w:p>
        </w:tc>
        <w:tc>
          <w:tcPr>
            <w:tcW w:w="5760" w:type="dxa"/>
            <w:vAlign w:val="bottom"/>
            <w:tcBorders>
              <w:bottom w:val="single" w:sz="8" w:color="003445"/>
              <w:right w:val="single" w:sz="8" w:color="231F20"/>
            </w:tcBorders>
            <w:gridSpan w:val="4"/>
            <w:shd w:val="clear" w:color="auto" w:fill="003445"/>
          </w:tcPr>
          <w:p>
            <w:pPr>
              <w:jc w:val="center"/>
              <w:ind w:right="1908"/>
              <w:spacing w:after="0"/>
              <w:rPr>
                <w:sz w:val="20"/>
                <w:szCs w:val="20"/>
                <w:color w:val="auto"/>
              </w:rPr>
            </w:pPr>
            <w:r>
              <w:rPr>
                <w:rFonts w:ascii="Arial" w:cs="Arial" w:eastAsia="Arial" w:hAnsi="Arial"/>
                <w:sz w:val="17"/>
                <w:szCs w:val="17"/>
                <w:b w:val="1"/>
                <w:bCs w:val="1"/>
                <w:color w:val="FFFFFF"/>
              </w:rPr>
              <w:t>Other Public Board Memberships</w:t>
            </w:r>
          </w:p>
        </w:tc>
        <w:tc>
          <w:tcPr>
            <w:tcW w:w="0" w:type="dxa"/>
            <w:vAlign w:val="bottom"/>
          </w:tcPr>
          <w:p>
            <w:pPr>
              <w:spacing w:after="0"/>
              <w:rPr>
                <w:sz w:val="1"/>
                <w:szCs w:val="1"/>
                <w:color w:val="auto"/>
              </w:rPr>
            </w:pPr>
          </w:p>
        </w:tc>
      </w:tr>
      <w:tr>
        <w:trPr>
          <w:trHeight w:val="225"/>
        </w:trPr>
        <w:tc>
          <w:tcPr>
            <w:tcW w:w="2920" w:type="dxa"/>
            <w:vAlign w:val="bottom"/>
            <w:tcBorders>
              <w:top w:val="single" w:sz="8" w:color="231F20"/>
              <w:left w:val="single" w:sz="8" w:color="231F20"/>
              <w:right w:val="single" w:sz="8" w:color="231F20"/>
            </w:tcBorders>
          </w:tcPr>
          <w:p>
            <w:pPr>
              <w:spacing w:after="0"/>
              <w:rPr>
                <w:sz w:val="19"/>
                <w:szCs w:val="19"/>
                <w:color w:val="auto"/>
              </w:rPr>
            </w:pPr>
          </w:p>
        </w:tc>
        <w:tc>
          <w:tcPr>
            <w:tcW w:w="4500" w:type="dxa"/>
            <w:vAlign w:val="bottom"/>
            <w:tcBorders>
              <w:top w:val="single" w:sz="8" w:color="231F20"/>
            </w:tcBorders>
            <w:gridSpan w:val="5"/>
          </w:tcPr>
          <w:p>
            <w:pPr>
              <w:ind w:left="80"/>
              <w:spacing w:after="0"/>
              <w:rPr>
                <w:sz w:val="20"/>
                <w:szCs w:val="20"/>
                <w:color w:val="auto"/>
              </w:rPr>
            </w:pPr>
            <w:r>
              <w:rPr>
                <w:rFonts w:ascii="Arial" w:cs="Arial" w:eastAsia="Arial" w:hAnsi="Arial"/>
                <w:sz w:val="17"/>
                <w:szCs w:val="17"/>
                <w:color w:val="auto"/>
              </w:rPr>
              <w:t>Canadian General Investments, Limited</w:t>
            </w:r>
          </w:p>
        </w:tc>
        <w:tc>
          <w:tcPr>
            <w:tcW w:w="3280" w:type="dxa"/>
            <w:vAlign w:val="bottom"/>
            <w:tcBorders>
              <w:top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20" w:type="dxa"/>
            <w:vAlign w:val="bottom"/>
            <w:tcBorders>
              <w:left w:val="single" w:sz="8" w:color="231F20"/>
              <w:bottom w:val="single" w:sz="8" w:color="231F20"/>
              <w:right w:val="single" w:sz="8" w:color="231F20"/>
            </w:tcBorders>
          </w:tcPr>
          <w:p>
            <w:pPr>
              <w:spacing w:after="0"/>
              <w:rPr>
                <w:sz w:val="20"/>
                <w:szCs w:val="20"/>
                <w:color w:val="auto"/>
              </w:rPr>
            </w:pPr>
          </w:p>
        </w:tc>
        <w:tc>
          <w:tcPr>
            <w:tcW w:w="1500" w:type="dxa"/>
            <w:vAlign w:val="bottom"/>
            <w:tcBorders>
              <w:bottom w:val="single" w:sz="8" w:color="231F20"/>
            </w:tcBorders>
          </w:tcPr>
          <w:p>
            <w:pPr>
              <w:ind w:left="80"/>
              <w:spacing w:after="0"/>
              <w:rPr>
                <w:sz w:val="20"/>
                <w:szCs w:val="20"/>
                <w:color w:val="auto"/>
              </w:rPr>
            </w:pPr>
            <w:r>
              <w:rPr>
                <w:rFonts w:ascii="Arial" w:cs="Arial" w:eastAsia="Arial" w:hAnsi="Arial"/>
                <w:sz w:val="17"/>
                <w:szCs w:val="17"/>
                <w:color w:val="auto"/>
              </w:rPr>
              <w:t>C&amp;C Group PLC</w:t>
            </w:r>
          </w:p>
        </w:tc>
        <w:tc>
          <w:tcPr>
            <w:tcW w:w="520" w:type="dxa"/>
            <w:vAlign w:val="bottom"/>
            <w:tcBorders>
              <w:bottom w:val="single" w:sz="8" w:color="231F20"/>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1840" w:type="dxa"/>
            <w:vAlign w:val="bottom"/>
            <w:tcBorders>
              <w:bottom w:val="single" w:sz="8" w:color="231F20"/>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328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920" w:type="dxa"/>
            <w:vAlign w:val="bottom"/>
            <w:tcBorders>
              <w:left w:val="single" w:sz="8" w:color="231F20"/>
              <w:right w:val="single" w:sz="8" w:color="003445"/>
            </w:tcBorders>
            <w:shd w:val="clear" w:color="auto" w:fill="003445"/>
          </w:tcPr>
          <w:p>
            <w:pPr>
              <w:spacing w:after="0"/>
              <w:rPr>
                <w:sz w:val="19"/>
                <w:szCs w:val="19"/>
                <w:color w:val="auto"/>
              </w:rPr>
            </w:pPr>
          </w:p>
        </w:tc>
        <w:tc>
          <w:tcPr>
            <w:tcW w:w="1500" w:type="dxa"/>
            <w:vAlign w:val="bottom"/>
            <w:shd w:val="clear" w:color="auto" w:fill="003445"/>
          </w:tcPr>
          <w:p>
            <w:pPr>
              <w:spacing w:after="0"/>
              <w:rPr>
                <w:sz w:val="19"/>
                <w:szCs w:val="19"/>
                <w:color w:val="auto"/>
              </w:rPr>
            </w:pPr>
          </w:p>
        </w:tc>
        <w:tc>
          <w:tcPr>
            <w:tcW w:w="520" w:type="dxa"/>
            <w:vAlign w:val="bottom"/>
            <w:tcBorders>
              <w:right w:val="single" w:sz="8" w:color="231F20"/>
            </w:tcBorders>
            <w:shd w:val="clear" w:color="auto" w:fill="003445"/>
          </w:tcPr>
          <w:p>
            <w:pPr>
              <w:spacing w:after="0"/>
              <w:rPr>
                <w:sz w:val="19"/>
                <w:szCs w:val="19"/>
                <w:color w:val="auto"/>
              </w:rPr>
            </w:pPr>
          </w:p>
        </w:tc>
        <w:tc>
          <w:tcPr>
            <w:tcW w:w="520" w:type="dxa"/>
            <w:vAlign w:val="bottom"/>
            <w:tcBorders>
              <w:right w:val="single" w:sz="8" w:color="003445"/>
            </w:tcBorders>
            <w:shd w:val="clear" w:color="auto" w:fill="003445"/>
          </w:tcPr>
          <w:p>
            <w:pPr>
              <w:spacing w:after="0"/>
              <w:rPr>
                <w:sz w:val="19"/>
                <w:szCs w:val="19"/>
                <w:color w:val="auto"/>
              </w:rPr>
            </w:pPr>
          </w:p>
        </w:tc>
        <w:tc>
          <w:tcPr>
            <w:tcW w:w="1840" w:type="dxa"/>
            <w:vAlign w:val="bottom"/>
            <w:tcBorders>
              <w:right w:val="single" w:sz="8" w:color="231F20"/>
            </w:tcBorders>
            <w:shd w:val="clear" w:color="auto" w:fill="003445"/>
          </w:tcPr>
          <w:p>
            <w:pPr>
              <w:jc w:val="center"/>
              <w:ind w:right="344"/>
              <w:spacing w:after="0"/>
              <w:rPr>
                <w:sz w:val="20"/>
                <w:szCs w:val="20"/>
                <w:color w:val="auto"/>
              </w:rPr>
            </w:pPr>
            <w:r>
              <w:rPr>
                <w:rFonts w:ascii="Arial" w:cs="Arial" w:eastAsia="Arial" w:hAnsi="Arial"/>
                <w:sz w:val="19"/>
                <w:szCs w:val="19"/>
                <w:b w:val="1"/>
                <w:bCs w:val="1"/>
                <w:color w:val="FFFFFF"/>
              </w:rPr>
              <w:t>Attendance at</w:t>
            </w:r>
          </w:p>
        </w:tc>
        <w:tc>
          <w:tcPr>
            <w:tcW w:w="120" w:type="dxa"/>
            <w:vAlign w:val="bottom"/>
            <w:shd w:val="clear" w:color="auto" w:fill="003445"/>
          </w:tcPr>
          <w:p>
            <w:pPr>
              <w:spacing w:after="0"/>
              <w:rPr>
                <w:sz w:val="19"/>
                <w:szCs w:val="19"/>
                <w:color w:val="auto"/>
              </w:rPr>
            </w:pPr>
          </w:p>
        </w:tc>
        <w:tc>
          <w:tcPr>
            <w:tcW w:w="3280" w:type="dxa"/>
            <w:vAlign w:val="bottom"/>
            <w:tcBorders>
              <w:right w:val="single" w:sz="8" w:color="231F20"/>
            </w:tcBorders>
            <w:vMerge w:val="restart"/>
            <w:shd w:val="clear" w:color="auto" w:fill="003445"/>
          </w:tcPr>
          <w:p>
            <w:pPr>
              <w:jc w:val="right"/>
              <w:ind w:right="248"/>
              <w:spacing w:after="0"/>
              <w:rPr>
                <w:sz w:val="20"/>
                <w:szCs w:val="20"/>
                <w:color w:val="auto"/>
              </w:rPr>
            </w:pPr>
            <w:r>
              <w:rPr>
                <w:rFonts w:ascii="Arial" w:cs="Arial" w:eastAsia="Arial" w:hAnsi="Arial"/>
                <w:sz w:val="19"/>
                <w:szCs w:val="19"/>
                <w:b w:val="1"/>
                <w:bCs w:val="1"/>
                <w:color w:val="FFFFFF"/>
              </w:rPr>
              <w:t xml:space="preserve">         Overall Attendance       </w:t>
            </w:r>
          </w:p>
        </w:tc>
        <w:tc>
          <w:tcPr>
            <w:tcW w:w="0" w:type="dxa"/>
            <w:vAlign w:val="bottom"/>
          </w:tcPr>
          <w:p>
            <w:pPr>
              <w:spacing w:after="0"/>
              <w:rPr>
                <w:sz w:val="1"/>
                <w:szCs w:val="1"/>
                <w:color w:val="auto"/>
              </w:rPr>
            </w:pPr>
          </w:p>
        </w:tc>
      </w:tr>
      <w:tr>
        <w:trPr>
          <w:trHeight w:val="210"/>
        </w:trPr>
        <w:tc>
          <w:tcPr>
            <w:tcW w:w="2920" w:type="dxa"/>
            <w:vAlign w:val="bottom"/>
            <w:tcBorders>
              <w:left w:val="single" w:sz="8" w:color="231F20"/>
              <w:right w:val="single" w:sz="8" w:color="003445"/>
            </w:tcBorders>
            <w:shd w:val="clear" w:color="auto" w:fill="003445"/>
          </w:tcPr>
          <w:p>
            <w:pPr>
              <w:spacing w:after="0"/>
              <w:rPr>
                <w:sz w:val="18"/>
                <w:szCs w:val="18"/>
                <w:color w:val="auto"/>
              </w:rPr>
            </w:pPr>
          </w:p>
        </w:tc>
        <w:tc>
          <w:tcPr>
            <w:tcW w:w="1500" w:type="dxa"/>
            <w:vAlign w:val="bottom"/>
            <w:shd w:val="clear" w:color="auto" w:fill="003445"/>
          </w:tcPr>
          <w:p>
            <w:pPr>
              <w:spacing w:after="0"/>
              <w:rPr>
                <w:sz w:val="18"/>
                <w:szCs w:val="18"/>
                <w:color w:val="auto"/>
              </w:rPr>
            </w:pPr>
          </w:p>
        </w:tc>
        <w:tc>
          <w:tcPr>
            <w:tcW w:w="520" w:type="dxa"/>
            <w:vAlign w:val="bottom"/>
            <w:tcBorders>
              <w:right w:val="single" w:sz="8" w:color="231F20"/>
            </w:tcBorders>
            <w:shd w:val="clear" w:color="auto" w:fill="003445"/>
          </w:tcPr>
          <w:p>
            <w:pPr>
              <w:spacing w:after="0"/>
              <w:rPr>
                <w:sz w:val="18"/>
                <w:szCs w:val="18"/>
                <w:color w:val="auto"/>
              </w:rPr>
            </w:pPr>
          </w:p>
        </w:tc>
        <w:tc>
          <w:tcPr>
            <w:tcW w:w="2360" w:type="dxa"/>
            <w:vAlign w:val="bottom"/>
            <w:tcBorders>
              <w:right w:val="single" w:sz="8" w:color="231F20"/>
            </w:tcBorders>
            <w:gridSpan w:val="2"/>
            <w:shd w:val="clear" w:color="auto" w:fill="003445"/>
          </w:tcPr>
          <w:p>
            <w:pPr>
              <w:ind w:left="240"/>
              <w:spacing w:after="0" w:line="210" w:lineRule="exact"/>
              <w:rPr>
                <w:sz w:val="20"/>
                <w:szCs w:val="20"/>
                <w:color w:val="auto"/>
              </w:rPr>
            </w:pPr>
            <w:r>
              <w:rPr>
                <w:rFonts w:ascii="Arial" w:cs="Arial" w:eastAsia="Arial" w:hAnsi="Arial"/>
                <w:sz w:val="19"/>
                <w:szCs w:val="19"/>
                <w:b w:val="1"/>
                <w:bCs w:val="1"/>
                <w:color w:val="FFFFFF"/>
              </w:rPr>
              <w:t>   Regular Meetings</w:t>
            </w:r>
          </w:p>
        </w:tc>
        <w:tc>
          <w:tcPr>
            <w:tcW w:w="120" w:type="dxa"/>
            <w:vAlign w:val="bottom"/>
            <w:shd w:val="clear" w:color="auto" w:fill="003445"/>
          </w:tcPr>
          <w:p>
            <w:pPr>
              <w:spacing w:after="0"/>
              <w:rPr>
                <w:sz w:val="18"/>
                <w:szCs w:val="18"/>
                <w:color w:val="auto"/>
              </w:rPr>
            </w:pPr>
          </w:p>
        </w:tc>
        <w:tc>
          <w:tcPr>
            <w:tcW w:w="3280" w:type="dxa"/>
            <w:vAlign w:val="bottom"/>
            <w:tcBorders>
              <w:right w:val="single" w:sz="8" w:color="231F20"/>
            </w:tcBorders>
            <w:vMerge w:val="continue"/>
            <w:shd w:val="clear" w:color="auto" w:fill="003445"/>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420" w:type="dxa"/>
            <w:vAlign w:val="bottom"/>
            <w:tcBorders>
              <w:left w:val="single" w:sz="8" w:color="231F20"/>
              <w:bottom w:val="single" w:sz="8" w:color="231F20"/>
            </w:tcBorders>
            <w:gridSpan w:val="2"/>
            <w:shd w:val="clear" w:color="auto" w:fill="003445"/>
          </w:tcPr>
          <w:p>
            <w:pPr>
              <w:jc w:val="center"/>
              <w:ind w:left="568"/>
              <w:spacing w:after="0"/>
              <w:rPr>
                <w:sz w:val="20"/>
                <w:szCs w:val="20"/>
                <w:color w:val="auto"/>
              </w:rPr>
            </w:pPr>
            <w:r>
              <w:rPr>
                <w:rFonts w:ascii="Arial" w:cs="Arial" w:eastAsia="Arial" w:hAnsi="Arial"/>
                <w:sz w:val="19"/>
                <w:szCs w:val="19"/>
                <w:b w:val="1"/>
                <w:bCs w:val="1"/>
                <w:color w:val="FFFFFF"/>
              </w:rPr>
              <w:t>Board / Committee Memberships</w:t>
            </w:r>
          </w:p>
        </w:tc>
        <w:tc>
          <w:tcPr>
            <w:tcW w:w="520" w:type="dxa"/>
            <w:vAlign w:val="bottom"/>
            <w:tcBorders>
              <w:bottom w:val="single" w:sz="8" w:color="231F20"/>
              <w:right w:val="single" w:sz="8" w:color="231F20"/>
            </w:tcBorders>
            <w:shd w:val="clear" w:color="auto" w:fill="003445"/>
          </w:tcPr>
          <w:p>
            <w:pPr>
              <w:spacing w:after="0"/>
              <w:rPr>
                <w:sz w:val="24"/>
                <w:szCs w:val="24"/>
                <w:color w:val="auto"/>
              </w:rPr>
            </w:pPr>
          </w:p>
        </w:tc>
        <w:tc>
          <w:tcPr>
            <w:tcW w:w="520" w:type="dxa"/>
            <w:vAlign w:val="bottom"/>
            <w:tcBorders>
              <w:bottom w:val="single" w:sz="8" w:color="231F20"/>
              <w:right w:val="single" w:sz="8" w:color="003445"/>
            </w:tcBorders>
            <w:shd w:val="clear" w:color="auto" w:fill="003445"/>
          </w:tcPr>
          <w:p>
            <w:pPr>
              <w:spacing w:after="0"/>
              <w:rPr>
                <w:sz w:val="24"/>
                <w:szCs w:val="24"/>
                <w:color w:val="auto"/>
              </w:rPr>
            </w:pPr>
          </w:p>
        </w:tc>
        <w:tc>
          <w:tcPr>
            <w:tcW w:w="1840" w:type="dxa"/>
            <w:vAlign w:val="bottom"/>
            <w:tcBorders>
              <w:bottom w:val="single" w:sz="8" w:color="231F20"/>
              <w:right w:val="single" w:sz="8" w:color="231F20"/>
            </w:tcBorders>
            <w:shd w:val="clear" w:color="auto" w:fill="003445"/>
          </w:tcPr>
          <w:p>
            <w:pPr>
              <w:jc w:val="center"/>
              <w:ind w:right="344"/>
              <w:spacing w:after="0"/>
              <w:rPr>
                <w:sz w:val="20"/>
                <w:szCs w:val="20"/>
                <w:color w:val="auto"/>
              </w:rPr>
            </w:pPr>
            <w:r>
              <w:rPr>
                <w:rFonts w:ascii="Arial" w:cs="Arial" w:eastAsia="Arial" w:hAnsi="Arial"/>
                <w:sz w:val="19"/>
                <w:szCs w:val="19"/>
                <w:b w:val="1"/>
                <w:bCs w:val="1"/>
                <w:color w:val="FFFFFF"/>
              </w:rPr>
              <w:t>in Fiscal 2025</w:t>
            </w:r>
          </w:p>
        </w:tc>
        <w:tc>
          <w:tcPr>
            <w:tcW w:w="120" w:type="dxa"/>
            <w:vAlign w:val="bottom"/>
            <w:tcBorders>
              <w:bottom w:val="single" w:sz="8" w:color="231F20"/>
            </w:tcBorders>
            <w:shd w:val="clear" w:color="auto" w:fill="003445"/>
          </w:tcPr>
          <w:p>
            <w:pPr>
              <w:spacing w:after="0"/>
              <w:rPr>
                <w:sz w:val="24"/>
                <w:szCs w:val="24"/>
                <w:color w:val="auto"/>
              </w:rPr>
            </w:pPr>
          </w:p>
        </w:tc>
        <w:tc>
          <w:tcPr>
            <w:tcW w:w="3280" w:type="dxa"/>
            <w:vAlign w:val="bottom"/>
            <w:tcBorders>
              <w:bottom w:val="single" w:sz="8" w:color="231F20"/>
              <w:right w:val="single" w:sz="8" w:color="231F20"/>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420" w:type="dxa"/>
            <w:vAlign w:val="bottom"/>
            <w:tcBorders>
              <w:left w:val="single" w:sz="8" w:color="231F20"/>
            </w:tcBorders>
            <w:gridSpan w:val="2"/>
          </w:tcPr>
          <w:p>
            <w:pPr>
              <w:jc w:val="center"/>
              <w:ind w:left="568"/>
              <w:spacing w:after="0"/>
              <w:rPr>
                <w:sz w:val="20"/>
                <w:szCs w:val="20"/>
                <w:color w:val="auto"/>
              </w:rPr>
            </w:pPr>
            <w:r>
              <w:rPr>
                <w:rFonts w:ascii="Arial" w:cs="Arial" w:eastAsia="Arial" w:hAnsi="Arial"/>
                <w:sz w:val="19"/>
                <w:szCs w:val="19"/>
                <w:color w:val="auto"/>
              </w:rPr>
              <w:t>Board</w:t>
            </w:r>
          </w:p>
        </w:tc>
        <w:tc>
          <w:tcPr>
            <w:tcW w:w="520" w:type="dxa"/>
            <w:vAlign w:val="bottom"/>
            <w:tcBorders>
              <w:right w:val="single" w:sz="8" w:color="231F20"/>
            </w:tcBorders>
          </w:tcPr>
          <w:p>
            <w:pPr>
              <w:spacing w:after="0"/>
              <w:rPr>
                <w:sz w:val="19"/>
                <w:szCs w:val="19"/>
                <w:color w:val="auto"/>
              </w:rPr>
            </w:pPr>
          </w:p>
        </w:tc>
        <w:tc>
          <w:tcPr>
            <w:tcW w:w="2360" w:type="dxa"/>
            <w:vAlign w:val="bottom"/>
            <w:tcBorders>
              <w:right w:val="single" w:sz="8" w:color="231F20"/>
            </w:tcBorders>
            <w:gridSpan w:val="2"/>
          </w:tcPr>
          <w:p>
            <w:pPr>
              <w:jc w:val="center"/>
              <w:spacing w:after="0"/>
              <w:rPr>
                <w:sz w:val="20"/>
                <w:szCs w:val="20"/>
                <w:color w:val="auto"/>
              </w:rPr>
            </w:pPr>
            <w:r>
              <w:rPr>
                <w:rFonts w:ascii="Arial" w:cs="Arial" w:eastAsia="Arial" w:hAnsi="Arial"/>
                <w:sz w:val="19"/>
                <w:szCs w:val="19"/>
                <w:color w:val="auto"/>
              </w:rPr>
              <w:t>7/7</w:t>
            </w:r>
          </w:p>
        </w:tc>
        <w:tc>
          <w:tcPr>
            <w:tcW w:w="120" w:type="dxa"/>
            <w:vAlign w:val="bottom"/>
          </w:tcPr>
          <w:p>
            <w:pPr>
              <w:spacing w:after="0"/>
              <w:rPr>
                <w:sz w:val="19"/>
                <w:szCs w:val="19"/>
                <w:color w:val="auto"/>
              </w:rPr>
            </w:pPr>
          </w:p>
        </w:tc>
        <w:tc>
          <w:tcPr>
            <w:tcW w:w="3280" w:type="dxa"/>
            <w:vAlign w:val="bottom"/>
            <w:tcBorders>
              <w:right w:val="single" w:sz="8" w:color="231F20"/>
            </w:tcBorders>
          </w:tcPr>
          <w:p>
            <w:pPr>
              <w:jc w:val="right"/>
              <w:ind w:right="1348"/>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75"/>
        </w:trPr>
        <w:tc>
          <w:tcPr>
            <w:tcW w:w="4420" w:type="dxa"/>
            <w:vAlign w:val="bottom"/>
            <w:tcBorders>
              <w:left w:val="single" w:sz="8" w:color="231F20"/>
            </w:tcBorders>
            <w:gridSpan w:val="2"/>
          </w:tcPr>
          <w:p>
            <w:pPr>
              <w:jc w:val="center"/>
              <w:ind w:left="568"/>
              <w:spacing w:after="0"/>
              <w:rPr>
                <w:sz w:val="20"/>
                <w:szCs w:val="20"/>
                <w:color w:val="auto"/>
              </w:rPr>
            </w:pPr>
            <w:r>
              <w:rPr>
                <w:rFonts w:ascii="Arial" w:cs="Arial" w:eastAsia="Arial" w:hAnsi="Arial"/>
                <w:sz w:val="19"/>
                <w:szCs w:val="19"/>
                <w:color w:val="auto"/>
              </w:rPr>
              <w:t>Nominating and Governance Committee</w:t>
            </w:r>
          </w:p>
        </w:tc>
        <w:tc>
          <w:tcPr>
            <w:tcW w:w="520" w:type="dxa"/>
            <w:vAlign w:val="bottom"/>
            <w:tcBorders>
              <w:right w:val="single" w:sz="8" w:color="231F20"/>
            </w:tcBorders>
          </w:tcPr>
          <w:p>
            <w:pPr>
              <w:spacing w:after="0"/>
              <w:rPr>
                <w:sz w:val="23"/>
                <w:szCs w:val="23"/>
                <w:color w:val="auto"/>
              </w:rPr>
            </w:pPr>
          </w:p>
        </w:tc>
        <w:tc>
          <w:tcPr>
            <w:tcW w:w="2360" w:type="dxa"/>
            <w:vAlign w:val="bottom"/>
            <w:tcBorders>
              <w:right w:val="single" w:sz="8" w:color="231F20"/>
            </w:tcBorders>
            <w:gridSpan w:val="2"/>
          </w:tcPr>
          <w:p>
            <w:pPr>
              <w:jc w:val="center"/>
              <w:spacing w:after="0"/>
              <w:rPr>
                <w:sz w:val="20"/>
                <w:szCs w:val="20"/>
                <w:color w:val="auto"/>
              </w:rPr>
            </w:pPr>
            <w:r>
              <w:rPr>
                <w:rFonts w:ascii="Arial" w:cs="Arial" w:eastAsia="Arial" w:hAnsi="Arial"/>
                <w:sz w:val="19"/>
                <w:szCs w:val="19"/>
                <w:color w:val="auto"/>
              </w:rPr>
              <w:t>5/5</w:t>
            </w:r>
          </w:p>
        </w:tc>
        <w:tc>
          <w:tcPr>
            <w:tcW w:w="120" w:type="dxa"/>
            <w:vAlign w:val="bottom"/>
          </w:tcPr>
          <w:p>
            <w:pPr>
              <w:spacing w:after="0"/>
              <w:rPr>
                <w:sz w:val="23"/>
                <w:szCs w:val="23"/>
                <w:color w:val="auto"/>
              </w:rPr>
            </w:pPr>
          </w:p>
        </w:tc>
        <w:tc>
          <w:tcPr>
            <w:tcW w:w="328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420" w:type="dxa"/>
            <w:vAlign w:val="bottom"/>
            <w:tcBorders>
              <w:left w:val="single" w:sz="8" w:color="231F20"/>
            </w:tcBorders>
            <w:gridSpan w:val="2"/>
          </w:tcPr>
          <w:p>
            <w:pPr>
              <w:jc w:val="center"/>
              <w:ind w:left="568"/>
              <w:spacing w:after="0" w:line="210" w:lineRule="exact"/>
              <w:rPr>
                <w:sz w:val="20"/>
                <w:szCs w:val="20"/>
                <w:color w:val="auto"/>
              </w:rPr>
            </w:pPr>
            <w:r>
              <w:rPr>
                <w:rFonts w:ascii="Arial" w:cs="Arial" w:eastAsia="Arial" w:hAnsi="Arial"/>
                <w:sz w:val="19"/>
                <w:szCs w:val="19"/>
                <w:color w:val="auto"/>
              </w:rPr>
              <w:t>Human Resources and Compensation</w:t>
            </w:r>
          </w:p>
        </w:tc>
        <w:tc>
          <w:tcPr>
            <w:tcW w:w="520" w:type="dxa"/>
            <w:vAlign w:val="bottom"/>
            <w:tcBorders>
              <w:right w:val="single" w:sz="8" w:color="231F20"/>
            </w:tcBorders>
          </w:tcPr>
          <w:p>
            <w:pPr>
              <w:spacing w:after="0"/>
              <w:rPr>
                <w:sz w:val="18"/>
                <w:szCs w:val="18"/>
                <w:color w:val="auto"/>
              </w:rPr>
            </w:pPr>
          </w:p>
        </w:tc>
        <w:tc>
          <w:tcPr>
            <w:tcW w:w="2360" w:type="dxa"/>
            <w:vAlign w:val="bottom"/>
            <w:tcBorders>
              <w:right w:val="single" w:sz="8" w:color="231F20"/>
            </w:tcBorders>
            <w:gridSpan w:val="2"/>
            <w:vMerge w:val="restart"/>
          </w:tcPr>
          <w:p>
            <w:pPr>
              <w:jc w:val="center"/>
              <w:spacing w:after="0"/>
              <w:rPr>
                <w:sz w:val="20"/>
                <w:szCs w:val="20"/>
                <w:color w:val="auto"/>
              </w:rPr>
            </w:pPr>
            <w:r>
              <w:rPr>
                <w:rFonts w:ascii="Arial" w:cs="Arial" w:eastAsia="Arial" w:hAnsi="Arial"/>
                <w:sz w:val="19"/>
                <w:szCs w:val="19"/>
                <w:color w:val="auto"/>
              </w:rPr>
              <w:t>5/5</w:t>
            </w:r>
          </w:p>
        </w:tc>
        <w:tc>
          <w:tcPr>
            <w:tcW w:w="120" w:type="dxa"/>
            <w:vAlign w:val="bottom"/>
          </w:tcPr>
          <w:p>
            <w:pPr>
              <w:spacing w:after="0"/>
              <w:rPr>
                <w:sz w:val="18"/>
                <w:szCs w:val="18"/>
                <w:color w:val="auto"/>
              </w:rPr>
            </w:pPr>
          </w:p>
        </w:tc>
        <w:tc>
          <w:tcPr>
            <w:tcW w:w="328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4420" w:type="dxa"/>
            <w:vAlign w:val="bottom"/>
            <w:tcBorders>
              <w:left w:val="single" w:sz="8" w:color="231F20"/>
            </w:tcBorders>
            <w:gridSpan w:val="2"/>
            <w:vMerge w:val="restart"/>
          </w:tcPr>
          <w:p>
            <w:pPr>
              <w:jc w:val="center"/>
              <w:ind w:left="568"/>
              <w:spacing w:after="0"/>
              <w:rPr>
                <w:sz w:val="20"/>
                <w:szCs w:val="20"/>
                <w:color w:val="auto"/>
              </w:rPr>
            </w:pPr>
            <w:r>
              <w:rPr>
                <w:rFonts w:ascii="Arial" w:cs="Arial" w:eastAsia="Arial" w:hAnsi="Arial"/>
                <w:sz w:val="19"/>
                <w:szCs w:val="19"/>
                <w:color w:val="auto"/>
              </w:rPr>
              <w:t>Committee</w:t>
            </w:r>
          </w:p>
        </w:tc>
        <w:tc>
          <w:tcPr>
            <w:tcW w:w="520" w:type="dxa"/>
            <w:vAlign w:val="bottom"/>
            <w:tcBorders>
              <w:right w:val="single" w:sz="8" w:color="231F20"/>
            </w:tcBorders>
          </w:tcPr>
          <w:p>
            <w:pPr>
              <w:spacing w:after="0"/>
              <w:rPr>
                <w:sz w:val="11"/>
                <w:szCs w:val="11"/>
                <w:color w:val="auto"/>
              </w:rPr>
            </w:pPr>
          </w:p>
        </w:tc>
        <w:tc>
          <w:tcPr>
            <w:tcW w:w="2360" w:type="dxa"/>
            <w:vAlign w:val="bottom"/>
            <w:tcBorders>
              <w:right w:val="single" w:sz="8" w:color="231F20"/>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28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20" w:type="dxa"/>
            <w:vAlign w:val="bottom"/>
            <w:tcBorders>
              <w:left w:val="single" w:sz="8" w:color="231F20"/>
              <w:bottom w:val="single" w:sz="8" w:color="231F20"/>
            </w:tcBorders>
            <w:gridSpan w:val="2"/>
            <w:vMerge w:val="continue"/>
          </w:tcPr>
          <w:p>
            <w:pPr>
              <w:spacing w:after="0"/>
              <w:rPr>
                <w:sz w:val="9"/>
                <w:szCs w:val="9"/>
                <w:color w:val="auto"/>
              </w:rPr>
            </w:pPr>
          </w:p>
        </w:tc>
        <w:tc>
          <w:tcPr>
            <w:tcW w:w="520" w:type="dxa"/>
            <w:vAlign w:val="bottom"/>
            <w:tcBorders>
              <w:bottom w:val="single" w:sz="8" w:color="231F20"/>
              <w:right w:val="single" w:sz="8" w:color="231F20"/>
            </w:tcBorders>
          </w:tcPr>
          <w:p>
            <w:pPr>
              <w:spacing w:after="0"/>
              <w:rPr>
                <w:sz w:val="9"/>
                <w:szCs w:val="9"/>
                <w:color w:val="auto"/>
              </w:rPr>
            </w:pPr>
          </w:p>
        </w:tc>
        <w:tc>
          <w:tcPr>
            <w:tcW w:w="520" w:type="dxa"/>
            <w:vAlign w:val="bottom"/>
            <w:tcBorders>
              <w:bottom w:val="single" w:sz="8" w:color="231F20"/>
            </w:tcBorders>
          </w:tcPr>
          <w:p>
            <w:pPr>
              <w:spacing w:after="0"/>
              <w:rPr>
                <w:sz w:val="9"/>
                <w:szCs w:val="9"/>
                <w:color w:val="auto"/>
              </w:rPr>
            </w:pPr>
          </w:p>
        </w:tc>
        <w:tc>
          <w:tcPr>
            <w:tcW w:w="1840" w:type="dxa"/>
            <w:vAlign w:val="bottom"/>
            <w:tcBorders>
              <w:bottom w:val="single" w:sz="8" w:color="231F20"/>
              <w:right w:val="single" w:sz="8" w:color="231F20"/>
            </w:tcBorders>
          </w:tcPr>
          <w:p>
            <w:pPr>
              <w:spacing w:after="0"/>
              <w:rPr>
                <w:sz w:val="9"/>
                <w:szCs w:val="9"/>
                <w:color w:val="auto"/>
              </w:rPr>
            </w:pPr>
          </w:p>
        </w:tc>
        <w:tc>
          <w:tcPr>
            <w:tcW w:w="120" w:type="dxa"/>
            <w:vAlign w:val="bottom"/>
            <w:tcBorders>
              <w:bottom w:val="single" w:sz="8" w:color="231F20"/>
            </w:tcBorders>
          </w:tcPr>
          <w:p>
            <w:pPr>
              <w:spacing w:after="0"/>
              <w:rPr>
                <w:sz w:val="9"/>
                <w:szCs w:val="9"/>
                <w:color w:val="auto"/>
              </w:rPr>
            </w:pPr>
          </w:p>
        </w:tc>
        <w:tc>
          <w:tcPr>
            <w:tcW w:w="328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920" w:type="dxa"/>
            <w:vAlign w:val="bottom"/>
            <w:tcBorders>
              <w:left w:val="single" w:sz="8" w:color="231F20"/>
              <w:right w:val="single" w:sz="8" w:color="003445"/>
            </w:tcBorders>
            <w:shd w:val="clear" w:color="auto" w:fill="003445"/>
          </w:tcPr>
          <w:p>
            <w:pPr>
              <w:spacing w:after="0"/>
              <w:rPr>
                <w:sz w:val="20"/>
                <w:szCs w:val="20"/>
                <w:color w:val="auto"/>
              </w:rPr>
            </w:pPr>
          </w:p>
        </w:tc>
        <w:tc>
          <w:tcPr>
            <w:tcW w:w="4500" w:type="dxa"/>
            <w:vAlign w:val="bottom"/>
            <w:gridSpan w:val="5"/>
            <w:shd w:val="clear" w:color="auto" w:fill="003445"/>
          </w:tcPr>
          <w:p>
            <w:pPr>
              <w:jc w:val="center"/>
              <w:ind w:left="373"/>
              <w:spacing w:after="0"/>
              <w:rPr>
                <w:sz w:val="20"/>
                <w:szCs w:val="20"/>
                <w:color w:val="auto"/>
              </w:rPr>
            </w:pPr>
            <w:r>
              <w:rPr>
                <w:rFonts w:ascii="Arial" w:cs="Arial" w:eastAsia="Arial" w:hAnsi="Arial"/>
                <w:sz w:val="17"/>
                <w:szCs w:val="17"/>
                <w:b w:val="1"/>
                <w:bCs w:val="1"/>
                <w:color w:val="FFFFFF"/>
              </w:rPr>
              <w:t>Securities Beneficially Owned or Controlled</w:t>
            </w:r>
          </w:p>
        </w:tc>
        <w:tc>
          <w:tcPr>
            <w:tcW w:w="3280" w:type="dxa"/>
            <w:vAlign w:val="bottom"/>
            <w:tcBorders>
              <w:right w:val="single" w:sz="8" w:color="231F20"/>
            </w:tcBorders>
            <w:shd w:val="clear" w:color="auto" w:fill="003445"/>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920" w:type="dxa"/>
            <w:vAlign w:val="bottom"/>
            <w:tcBorders>
              <w:left w:val="single" w:sz="8" w:color="231F20"/>
              <w:bottom w:val="single" w:sz="8" w:color="003445"/>
              <w:right w:val="single" w:sz="8" w:color="003445"/>
            </w:tcBorders>
            <w:shd w:val="clear" w:color="auto" w:fill="003445"/>
          </w:tcPr>
          <w:p>
            <w:pPr>
              <w:spacing w:after="0"/>
              <w:rPr>
                <w:sz w:val="23"/>
                <w:szCs w:val="23"/>
                <w:color w:val="auto"/>
              </w:rPr>
            </w:pPr>
          </w:p>
        </w:tc>
        <w:tc>
          <w:tcPr>
            <w:tcW w:w="1500" w:type="dxa"/>
            <w:vAlign w:val="bottom"/>
            <w:tcBorders>
              <w:bottom w:val="single" w:sz="8" w:color="003445"/>
            </w:tcBorders>
            <w:shd w:val="clear" w:color="auto" w:fill="003445"/>
          </w:tcPr>
          <w:p>
            <w:pPr>
              <w:spacing w:after="0"/>
              <w:rPr>
                <w:sz w:val="23"/>
                <w:szCs w:val="23"/>
                <w:color w:val="auto"/>
              </w:rPr>
            </w:pPr>
          </w:p>
        </w:tc>
        <w:tc>
          <w:tcPr>
            <w:tcW w:w="3000" w:type="dxa"/>
            <w:vAlign w:val="bottom"/>
            <w:tcBorders>
              <w:bottom w:val="single" w:sz="8" w:color="003445"/>
            </w:tcBorders>
            <w:gridSpan w:val="4"/>
            <w:shd w:val="clear" w:color="auto" w:fill="003445"/>
          </w:tcPr>
          <w:p>
            <w:pPr>
              <w:jc w:val="center"/>
              <w:ind w:right="1040"/>
              <w:spacing w:after="0"/>
              <w:rPr>
                <w:sz w:val="20"/>
                <w:szCs w:val="20"/>
                <w:color w:val="auto"/>
              </w:rPr>
            </w:pPr>
            <w:r>
              <w:rPr>
                <w:rFonts w:ascii="Arial" w:cs="Arial" w:eastAsia="Arial" w:hAnsi="Arial"/>
                <w:sz w:val="17"/>
                <w:szCs w:val="17"/>
                <w:b w:val="1"/>
                <w:bCs w:val="1"/>
                <w:color w:val="FFFFFF"/>
              </w:rPr>
              <w:t>(as at April 30, 2026)</w:t>
            </w:r>
          </w:p>
        </w:tc>
        <w:tc>
          <w:tcPr>
            <w:tcW w:w="3280" w:type="dxa"/>
            <w:vAlign w:val="bottom"/>
            <w:tcBorders>
              <w:bottom w:val="single" w:sz="8" w:color="003445"/>
              <w:right w:val="single" w:sz="8" w:color="231F20"/>
            </w:tcBorders>
            <w:shd w:val="clear" w:color="auto" w:fill="003445"/>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420" w:type="dxa"/>
            <w:vAlign w:val="bottom"/>
            <w:tcBorders>
              <w:top w:val="single" w:sz="8" w:color="231F20"/>
              <w:left w:val="single" w:sz="8" w:color="231F20"/>
              <w:bottom w:val="single" w:sz="8" w:color="231F20"/>
            </w:tcBorders>
            <w:gridSpan w:val="2"/>
            <w:shd w:val="clear" w:color="auto" w:fill="F2F2F2"/>
          </w:tcPr>
          <w:p>
            <w:pPr>
              <w:ind w:left="2020"/>
              <w:spacing w:after="0" w:line="295" w:lineRule="exact"/>
              <w:rPr>
                <w:sz w:val="20"/>
                <w:szCs w:val="20"/>
                <w:color w:val="auto"/>
              </w:rPr>
            </w:pPr>
            <w:r>
              <w:rPr>
                <w:rFonts w:ascii="Arial" w:cs="Arial" w:eastAsia="Arial" w:hAnsi="Arial"/>
                <w:sz w:val="17"/>
                <w:szCs w:val="17"/>
                <w:b w:val="1"/>
                <w:bCs w:val="1"/>
                <w:color w:val="auto"/>
              </w:rPr>
              <w:t>Number of DSUs</w:t>
            </w:r>
            <w:r>
              <w:rPr>
                <w:rFonts w:ascii="Arial" w:cs="Arial" w:eastAsia="Arial" w:hAnsi="Arial"/>
                <w:sz w:val="26"/>
                <w:szCs w:val="26"/>
                <w:b w:val="1"/>
                <w:bCs w:val="1"/>
                <w:color w:val="auto"/>
                <w:vertAlign w:val="superscript"/>
              </w:rPr>
              <w:t>(3)</w:t>
            </w:r>
          </w:p>
        </w:tc>
        <w:tc>
          <w:tcPr>
            <w:tcW w:w="52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520" w:type="dxa"/>
            <w:vAlign w:val="bottom"/>
            <w:tcBorders>
              <w:top w:val="single" w:sz="8" w:color="231F20"/>
              <w:bottom w:val="single" w:sz="8" w:color="231F20"/>
              <w:right w:val="single" w:sz="8" w:color="231F20"/>
            </w:tcBorders>
            <w:shd w:val="clear" w:color="auto" w:fill="F2F2F2"/>
          </w:tcPr>
          <w:p>
            <w:pPr>
              <w:spacing w:after="0"/>
              <w:rPr>
                <w:sz w:val="24"/>
                <w:szCs w:val="24"/>
                <w:color w:val="auto"/>
              </w:rPr>
            </w:pPr>
          </w:p>
        </w:tc>
        <w:tc>
          <w:tcPr>
            <w:tcW w:w="184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120" w:type="dxa"/>
            <w:vAlign w:val="bottom"/>
            <w:tcBorders>
              <w:top w:val="single" w:sz="8" w:color="231F20"/>
              <w:bottom w:val="single" w:sz="8" w:color="231F20"/>
            </w:tcBorders>
            <w:shd w:val="clear" w:color="auto" w:fill="F2F2F2"/>
          </w:tcPr>
          <w:p>
            <w:pPr>
              <w:spacing w:after="0"/>
              <w:rPr>
                <w:sz w:val="24"/>
                <w:szCs w:val="24"/>
                <w:color w:val="auto"/>
              </w:rPr>
            </w:pPr>
          </w:p>
        </w:tc>
        <w:tc>
          <w:tcPr>
            <w:tcW w:w="3280" w:type="dxa"/>
            <w:vAlign w:val="bottom"/>
            <w:tcBorders>
              <w:top w:val="single" w:sz="8" w:color="231F20"/>
              <w:bottom w:val="single" w:sz="8" w:color="231F20"/>
              <w:right w:val="single" w:sz="8" w:color="231F20"/>
            </w:tcBorders>
            <w:shd w:val="clear" w:color="auto" w:fill="F2F2F2"/>
          </w:tcPr>
          <w:p>
            <w:pPr>
              <w:jc w:val="center"/>
              <w:ind w:right="1808"/>
              <w:spacing w:after="0" w:line="295" w:lineRule="exact"/>
              <w:rPr>
                <w:sz w:val="20"/>
                <w:szCs w:val="20"/>
                <w:color w:val="auto"/>
              </w:rPr>
            </w:pPr>
            <w:r>
              <w:rPr>
                <w:rFonts w:ascii="Arial" w:cs="Arial" w:eastAsia="Arial" w:hAnsi="Arial"/>
                <w:sz w:val="17"/>
                <w:szCs w:val="17"/>
                <w:b w:val="1"/>
                <w:bCs w:val="1"/>
                <w:color w:val="auto"/>
                <w:w w:val="96"/>
              </w:rPr>
              <w:t>Market Value</w:t>
            </w:r>
            <w:r>
              <w:rPr>
                <w:rFonts w:ascii="Arial" w:cs="Arial" w:eastAsia="Arial" w:hAnsi="Arial"/>
                <w:sz w:val="26"/>
                <w:szCs w:val="26"/>
                <w:b w:val="1"/>
                <w:bCs w:val="1"/>
                <w:color w:val="auto"/>
                <w:w w:val="96"/>
                <w:vertAlign w:val="superscript"/>
              </w:rPr>
              <w:t>(1)</w:t>
            </w:r>
          </w:p>
        </w:tc>
        <w:tc>
          <w:tcPr>
            <w:tcW w:w="0" w:type="dxa"/>
            <w:vAlign w:val="bottom"/>
          </w:tcPr>
          <w:p>
            <w:pPr>
              <w:spacing w:after="0"/>
              <w:rPr>
                <w:sz w:val="1"/>
                <w:szCs w:val="1"/>
                <w:color w:val="auto"/>
              </w:rPr>
            </w:pPr>
          </w:p>
        </w:tc>
      </w:tr>
      <w:tr>
        <w:trPr>
          <w:trHeight w:val="272"/>
        </w:trPr>
        <w:tc>
          <w:tcPr>
            <w:tcW w:w="4420" w:type="dxa"/>
            <w:vAlign w:val="bottom"/>
            <w:tcBorders>
              <w:left w:val="single" w:sz="8" w:color="231F20"/>
            </w:tcBorders>
            <w:gridSpan w:val="2"/>
          </w:tcPr>
          <w:p>
            <w:pPr>
              <w:ind w:left="2540"/>
              <w:spacing w:after="0"/>
              <w:rPr>
                <w:sz w:val="20"/>
                <w:szCs w:val="20"/>
                <w:color w:val="auto"/>
              </w:rPr>
            </w:pPr>
            <w:r>
              <w:rPr>
                <w:rFonts w:ascii="Arial" w:cs="Arial" w:eastAsia="Arial" w:hAnsi="Arial"/>
                <w:sz w:val="17"/>
                <w:szCs w:val="17"/>
                <w:color w:val="auto"/>
              </w:rPr>
              <w:t>73,974</w:t>
            </w:r>
          </w:p>
        </w:tc>
        <w:tc>
          <w:tcPr>
            <w:tcW w:w="520" w:type="dxa"/>
            <w:vAlign w:val="bottom"/>
          </w:tcPr>
          <w:p>
            <w:pPr>
              <w:spacing w:after="0"/>
              <w:rPr>
                <w:sz w:val="23"/>
                <w:szCs w:val="23"/>
                <w:color w:val="auto"/>
              </w:rPr>
            </w:pPr>
          </w:p>
        </w:tc>
        <w:tc>
          <w:tcPr>
            <w:tcW w:w="520" w:type="dxa"/>
            <w:vAlign w:val="bottom"/>
            <w:tcBorders>
              <w:right w:val="single" w:sz="8" w:color="231F20"/>
            </w:tcBorders>
          </w:tcPr>
          <w:p>
            <w:pPr>
              <w:spacing w:after="0"/>
              <w:rPr>
                <w:sz w:val="23"/>
                <w:szCs w:val="23"/>
                <w:color w:val="auto"/>
              </w:rPr>
            </w:pPr>
          </w:p>
        </w:tc>
        <w:tc>
          <w:tcPr>
            <w:tcW w:w="1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80" w:type="dxa"/>
            <w:vAlign w:val="bottom"/>
            <w:tcBorders>
              <w:right w:val="single" w:sz="8" w:color="231F20"/>
            </w:tcBorders>
          </w:tcPr>
          <w:p>
            <w:pPr>
              <w:jc w:val="right"/>
              <w:ind w:right="2128"/>
              <w:spacing w:after="0"/>
              <w:rPr>
                <w:sz w:val="20"/>
                <w:szCs w:val="20"/>
                <w:color w:val="auto"/>
              </w:rPr>
            </w:pPr>
            <w:r>
              <w:rPr>
                <w:rFonts w:ascii="Arial" w:cs="Arial" w:eastAsia="Arial" w:hAnsi="Arial"/>
                <w:sz w:val="17"/>
                <w:szCs w:val="17"/>
                <w:color w:val="auto"/>
              </w:rPr>
              <w:t>$471,214</w:t>
            </w:r>
          </w:p>
        </w:tc>
        <w:tc>
          <w:tcPr>
            <w:tcW w:w="0" w:type="dxa"/>
            <w:vAlign w:val="bottom"/>
          </w:tcPr>
          <w:p>
            <w:pPr>
              <w:spacing w:after="0"/>
              <w:rPr>
                <w:sz w:val="1"/>
                <w:szCs w:val="1"/>
                <w:color w:val="auto"/>
              </w:rPr>
            </w:pPr>
          </w:p>
        </w:tc>
      </w:tr>
      <w:tr>
        <w:trPr>
          <w:trHeight w:val="62"/>
        </w:trPr>
        <w:tc>
          <w:tcPr>
            <w:tcW w:w="2920" w:type="dxa"/>
            <w:vAlign w:val="bottom"/>
            <w:tcBorders>
              <w:left w:val="single" w:sz="8" w:color="231F20"/>
              <w:bottom w:val="single" w:sz="8" w:color="231F20"/>
            </w:tcBorders>
          </w:tcPr>
          <w:p>
            <w:pPr>
              <w:spacing w:after="0"/>
              <w:rPr>
                <w:sz w:val="5"/>
                <w:szCs w:val="5"/>
                <w:color w:val="auto"/>
              </w:rPr>
            </w:pPr>
          </w:p>
        </w:tc>
        <w:tc>
          <w:tcPr>
            <w:tcW w:w="1500" w:type="dxa"/>
            <w:vAlign w:val="bottom"/>
            <w:tcBorders>
              <w:bottom w:val="single" w:sz="8" w:color="231F20"/>
            </w:tcBorders>
          </w:tcPr>
          <w:p>
            <w:pPr>
              <w:spacing w:after="0"/>
              <w:rPr>
                <w:sz w:val="5"/>
                <w:szCs w:val="5"/>
                <w:color w:val="auto"/>
              </w:rPr>
            </w:pPr>
          </w:p>
        </w:tc>
        <w:tc>
          <w:tcPr>
            <w:tcW w:w="520" w:type="dxa"/>
            <w:vAlign w:val="bottom"/>
            <w:tcBorders>
              <w:bottom w:val="single" w:sz="8" w:color="231F20"/>
            </w:tcBorders>
          </w:tcPr>
          <w:p>
            <w:pPr>
              <w:spacing w:after="0"/>
              <w:rPr>
                <w:sz w:val="5"/>
                <w:szCs w:val="5"/>
                <w:color w:val="auto"/>
              </w:rPr>
            </w:pPr>
          </w:p>
        </w:tc>
        <w:tc>
          <w:tcPr>
            <w:tcW w:w="520" w:type="dxa"/>
            <w:vAlign w:val="bottom"/>
            <w:tcBorders>
              <w:bottom w:val="single" w:sz="8" w:color="231F20"/>
              <w:right w:val="single" w:sz="8" w:color="231F20"/>
            </w:tcBorders>
          </w:tcPr>
          <w:p>
            <w:pPr>
              <w:spacing w:after="0"/>
              <w:rPr>
                <w:sz w:val="5"/>
                <w:szCs w:val="5"/>
                <w:color w:val="auto"/>
              </w:rPr>
            </w:pPr>
          </w:p>
        </w:tc>
        <w:tc>
          <w:tcPr>
            <w:tcW w:w="1840" w:type="dxa"/>
            <w:vAlign w:val="bottom"/>
            <w:tcBorders>
              <w:bottom w:val="single" w:sz="8" w:color="231F20"/>
            </w:tcBorders>
          </w:tcPr>
          <w:p>
            <w:pPr>
              <w:spacing w:after="0"/>
              <w:rPr>
                <w:sz w:val="5"/>
                <w:szCs w:val="5"/>
                <w:color w:val="auto"/>
              </w:rPr>
            </w:pPr>
          </w:p>
        </w:tc>
        <w:tc>
          <w:tcPr>
            <w:tcW w:w="120" w:type="dxa"/>
            <w:vAlign w:val="bottom"/>
            <w:tcBorders>
              <w:bottom w:val="single" w:sz="8" w:color="231F20"/>
            </w:tcBorders>
          </w:tcPr>
          <w:p>
            <w:pPr>
              <w:spacing w:after="0"/>
              <w:rPr>
                <w:sz w:val="5"/>
                <w:szCs w:val="5"/>
                <w:color w:val="auto"/>
              </w:rPr>
            </w:pPr>
          </w:p>
        </w:tc>
        <w:tc>
          <w:tcPr>
            <w:tcW w:w="328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-4748530</wp:posOffset>
            </wp:positionV>
            <wp:extent cx="1605280" cy="17214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05280" cy="172148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700"/>
          </w:cols>
          <w:pgMar w:left="600" w:top="264" w:right="599" w:bottom="1440" w:gutter="0" w:footer="0" w:header="0"/>
        </w:sectPr>
      </w:pPr>
    </w:p>
    <w:bookmarkStart w:id="33" w:name="page34"/>
    <w:bookmarkEnd w:id="33"/>
    <w:tbl>
      <w:tblPr>
        <w:tblLayout w:type="fixed"/>
        <w:tblInd w:w="600" w:type="dxa"/>
        <w:tblCellMar>
          <w:top w:w="0" w:type="dxa"/>
          <w:left w:w="0" w:type="dxa"/>
          <w:bottom w:w="0" w:type="dxa"/>
          <w:right w:w="0" w:type="dxa"/>
        </w:tblCellMar>
      </w:tblPr>
      <w:tr>
        <w:trPr>
          <w:trHeight w:val="287"/>
        </w:trPr>
        <w:tc>
          <w:tcPr>
            <w:tcW w:w="2280" w:type="dxa"/>
            <w:vAlign w:val="bottom"/>
          </w:tcPr>
          <w:p>
            <w:pPr>
              <w:spacing w:after="0"/>
              <w:rPr>
                <w:sz w:val="20"/>
                <w:szCs w:val="20"/>
                <w:color w:val="auto"/>
              </w:rPr>
            </w:pPr>
            <w:r>
              <w:rPr>
                <w:rFonts w:ascii="Arial" w:cs="Arial" w:eastAsia="Arial" w:hAnsi="Arial"/>
                <w:sz w:val="17"/>
                <w:szCs w:val="17"/>
                <w:b w:val="1"/>
                <w:bCs w:val="1"/>
                <w:color w:val="auto"/>
              </w:rPr>
              <w:t>MELINDA J. NEWMAN</w:t>
            </w:r>
          </w:p>
        </w:tc>
        <w:tc>
          <w:tcPr>
            <w:tcW w:w="7800" w:type="dxa"/>
            <w:vAlign w:val="bottom"/>
            <w:shd w:val="clear" w:color="auto" w:fill="003445"/>
          </w:tcPr>
          <w:p>
            <w:pPr>
              <w:ind w:left="1840"/>
              <w:spacing w:after="0"/>
              <w:rPr>
                <w:sz w:val="20"/>
                <w:szCs w:val="20"/>
                <w:color w:val="auto"/>
              </w:rPr>
            </w:pPr>
            <w:r>
              <w:rPr>
                <w:rFonts w:ascii="Arial" w:cs="Arial" w:eastAsia="Arial" w:hAnsi="Arial"/>
                <w:sz w:val="17"/>
                <w:szCs w:val="17"/>
                <w:b w:val="1"/>
                <w:bCs w:val="1"/>
                <w:color w:val="FFFFFF"/>
              </w:rPr>
              <w:t>Biographical Information and Principal Occupation</w:t>
            </w:r>
          </w:p>
        </w:tc>
      </w:tr>
      <w:tr>
        <w:trPr>
          <w:trHeight w:val="28"/>
        </w:trPr>
        <w:tc>
          <w:tcPr>
            <w:tcW w:w="2280" w:type="dxa"/>
            <w:vAlign w:val="bottom"/>
          </w:tcPr>
          <w:p>
            <w:pPr>
              <w:spacing w:after="0"/>
              <w:rPr>
                <w:sz w:val="2"/>
                <w:szCs w:val="2"/>
                <w:color w:val="auto"/>
              </w:rPr>
            </w:pPr>
          </w:p>
        </w:tc>
        <w:tc>
          <w:tcPr>
            <w:tcW w:w="7800" w:type="dxa"/>
            <w:vAlign w:val="bottom"/>
            <w:shd w:val="clear" w:color="auto" w:fill="003445"/>
          </w:tcPr>
          <w:p>
            <w:pPr>
              <w:spacing w:after="0"/>
              <w:rPr>
                <w:sz w:val="2"/>
                <w:szCs w:val="2"/>
                <w:color w:val="auto"/>
              </w:rPr>
            </w:pPr>
          </w:p>
        </w:tc>
      </w:tr>
    </w:tbl>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57886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675" cy="5788660"/>
                    </a:xfrm>
                    <a:prstGeom prst="rect">
                      <a:avLst/>
                    </a:prstGeom>
                    <a:noFill/>
                  </pic:spPr>
                </pic:pic>
              </a:graphicData>
            </a:graphic>
          </wp:anchor>
        </w:drawing>
      </w:r>
    </w:p>
    <w:p>
      <w:pPr>
        <w:ind w:left="3000" w:right="180"/>
        <w:spacing w:after="0" w:line="244" w:lineRule="auto"/>
        <w:rPr>
          <w:sz w:val="20"/>
          <w:szCs w:val="20"/>
          <w:color w:val="auto"/>
        </w:rPr>
      </w:pPr>
      <w:r>
        <w:rPr>
          <w:rFonts w:ascii="Arial" w:cs="Arial" w:eastAsia="Arial" w:hAnsi="Arial"/>
          <w:sz w:val="17"/>
          <w:szCs w:val="17"/>
          <w:color w:val="auto"/>
        </w:rPr>
        <w:t>Melinda J. Newman is a senior asset management executive with over 20 years of institutional investing experience, focusing on cyclicals and resource-intensive sectors such as metals and mining, other materials sectors, energy, industrials, and power and utilities. She has invested extensively in steel producers, service centers, and in iron ore and metallurgical coal miners, successfully deploying billions of dollars in the largest North American and European steelmakers and their predecessors. Melinda is an “audit committee financial expert” as defined in Item 407(d)</w:t>
      </w:r>
    </w:p>
    <w:p>
      <w:pPr>
        <w:spacing w:after="0" w:line="2" w:lineRule="exact"/>
        <w:rPr>
          <w:sz w:val="20"/>
          <w:szCs w:val="20"/>
          <w:color w:val="auto"/>
        </w:rPr>
      </w:pPr>
    </w:p>
    <w:p>
      <w:pPr>
        <w:ind w:left="3000"/>
        <w:spacing w:after="0"/>
        <w:rPr>
          <w:sz w:val="20"/>
          <w:szCs w:val="20"/>
          <w:color w:val="auto"/>
        </w:rPr>
      </w:pPr>
      <w:r>
        <w:rPr>
          <w:rFonts w:ascii="Arial" w:cs="Arial" w:eastAsia="Arial" w:hAnsi="Arial"/>
          <w:sz w:val="17"/>
          <w:szCs w:val="17"/>
          <w:color w:val="auto"/>
        </w:rPr>
        <w:t>(5)(ii) of Regulation S-K.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Melinda was a senior portfolio manager at Post Advisory Group, a high yield institutional boutique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previously owned by Fortune 500 member Principal Financial Group, where oversaw assets under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management of $12 billion. She also held leadership roles at First Pacific Advisors and at TCW</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Group, overseeing $15 billion of credit investments. Her background includes corporate finance,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capital markets, leveraged credit, risk management, and financial restructuring, alongside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significant experience collaborating with technology teams and focusing on talent development.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She has served on public, local government, and not-for-profit boards, currently as an independent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220" w:type="dxa"/>
            <w:vAlign w:val="bottom"/>
            <w:vMerge w:val="restart"/>
          </w:tcPr>
          <w:p>
            <w:pPr>
              <w:ind w:left="160"/>
              <w:spacing w:after="0"/>
              <w:rPr>
                <w:sz w:val="20"/>
                <w:szCs w:val="20"/>
                <w:color w:val="auto"/>
              </w:rPr>
            </w:pPr>
            <w:r>
              <w:rPr>
                <w:rFonts w:ascii="Arial" w:cs="Arial" w:eastAsia="Arial" w:hAnsi="Arial"/>
                <w:sz w:val="17"/>
                <w:szCs w:val="17"/>
                <w:color w:val="auto"/>
              </w:rPr>
              <w:t>Age: 60</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780" w:type="dxa"/>
            <w:vAlign w:val="bottom"/>
            <w:gridSpan w:val="5"/>
          </w:tcPr>
          <w:p>
            <w:pPr>
              <w:ind w:left="100"/>
              <w:spacing w:after="0" w:line="173" w:lineRule="exact"/>
              <w:rPr>
                <w:sz w:val="20"/>
                <w:szCs w:val="20"/>
                <w:color w:val="auto"/>
              </w:rPr>
            </w:pPr>
            <w:r>
              <w:rPr>
                <w:rFonts w:ascii="Arial" w:cs="Arial" w:eastAsia="Arial" w:hAnsi="Arial"/>
                <w:sz w:val="17"/>
                <w:szCs w:val="17"/>
                <w:color w:val="auto"/>
              </w:rPr>
              <w:t>director at FRMO Corporation, where she sits on the Audit and Nominating and Governance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22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780" w:type="dxa"/>
            <w:vAlign w:val="bottom"/>
            <w:gridSpan w:val="5"/>
            <w:vMerge w:val="restart"/>
          </w:tcPr>
          <w:p>
            <w:pPr>
              <w:ind w:left="100"/>
              <w:spacing w:after="0"/>
              <w:rPr>
                <w:sz w:val="20"/>
                <w:szCs w:val="20"/>
                <w:color w:val="auto"/>
              </w:rPr>
            </w:pPr>
            <w:r>
              <w:rPr>
                <w:rFonts w:ascii="Arial" w:cs="Arial" w:eastAsia="Arial" w:hAnsi="Arial"/>
                <w:sz w:val="17"/>
                <w:szCs w:val="17"/>
                <w:color w:val="auto"/>
              </w:rPr>
              <w:t>Committees, and at the RENN Fund, where she serves on the Audit, Nominating and Governance,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500" w:type="dxa"/>
            <w:vAlign w:val="bottom"/>
            <w:gridSpan w:val="2"/>
            <w:vMerge w:val="restart"/>
          </w:tcPr>
          <w:p>
            <w:pPr>
              <w:ind w:left="160"/>
              <w:spacing w:after="0"/>
              <w:rPr>
                <w:sz w:val="20"/>
                <w:szCs w:val="20"/>
                <w:color w:val="auto"/>
              </w:rPr>
            </w:pPr>
            <w:r>
              <w:rPr>
                <w:rFonts w:ascii="Arial" w:cs="Arial" w:eastAsia="Arial" w:hAnsi="Arial"/>
                <w:sz w:val="17"/>
                <w:szCs w:val="17"/>
                <w:color w:val="auto"/>
              </w:rPr>
              <w:t>Location: Brooklyn, New York,</w:t>
            </w:r>
          </w:p>
        </w:tc>
        <w:tc>
          <w:tcPr>
            <w:tcW w:w="400" w:type="dxa"/>
            <w:vAlign w:val="bottom"/>
          </w:tcPr>
          <w:p>
            <w:pPr>
              <w:spacing w:after="0"/>
              <w:rPr>
                <w:sz w:val="8"/>
                <w:szCs w:val="8"/>
                <w:color w:val="auto"/>
              </w:rPr>
            </w:pPr>
          </w:p>
        </w:tc>
        <w:tc>
          <w:tcPr>
            <w:tcW w:w="778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50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7780" w:type="dxa"/>
            <w:vAlign w:val="bottom"/>
            <w:gridSpan w:val="5"/>
            <w:vMerge w:val="restart"/>
          </w:tcPr>
          <w:p>
            <w:pPr>
              <w:ind w:left="100"/>
              <w:spacing w:after="0"/>
              <w:rPr>
                <w:sz w:val="20"/>
                <w:szCs w:val="20"/>
                <w:color w:val="auto"/>
              </w:rPr>
            </w:pPr>
            <w:r>
              <w:rPr>
                <w:rFonts w:ascii="Arial" w:cs="Arial" w:eastAsia="Arial" w:hAnsi="Arial"/>
                <w:sz w:val="17"/>
                <w:szCs w:val="17"/>
                <w:color w:val="auto"/>
              </w:rPr>
              <w:t>and Pricing Committees. Melinda is designated as Directorship Certified by the National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220" w:type="dxa"/>
            <w:vAlign w:val="bottom"/>
            <w:vMerge w:val="restart"/>
          </w:tcPr>
          <w:p>
            <w:pPr>
              <w:ind w:left="160"/>
              <w:spacing w:after="0"/>
              <w:rPr>
                <w:sz w:val="20"/>
                <w:szCs w:val="20"/>
                <w:color w:val="auto"/>
              </w:rPr>
            </w:pPr>
            <w:r>
              <w:rPr>
                <w:rFonts w:ascii="Arial" w:cs="Arial" w:eastAsia="Arial" w:hAnsi="Arial"/>
                <w:sz w:val="19"/>
                <w:szCs w:val="19"/>
                <w:color w:val="auto"/>
              </w:rPr>
              <w:t>USA</w:t>
            </w: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77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2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Association of Corporate Directors, and is actively engaged in corporate governance education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220" w:type="dxa"/>
            <w:vAlign w:val="bottom"/>
          </w:tcPr>
          <w:p>
            <w:pPr>
              <w:ind w:left="160"/>
              <w:spacing w:after="0"/>
              <w:rPr>
                <w:sz w:val="20"/>
                <w:szCs w:val="20"/>
                <w:color w:val="auto"/>
              </w:rPr>
            </w:pPr>
            <w:r>
              <w:rPr>
                <w:rFonts w:ascii="Arial" w:cs="Arial" w:eastAsia="Arial" w:hAnsi="Arial"/>
                <w:sz w:val="17"/>
                <w:szCs w:val="17"/>
                <w:color w:val="auto"/>
              </w:rPr>
              <w:t>Director Since: June 2025</w:t>
            </w: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0" w:type="dxa"/>
            <w:vAlign w:val="bottom"/>
            <w:gridSpan w:val="2"/>
          </w:tcPr>
          <w:p>
            <w:pPr>
              <w:ind w:left="100"/>
              <w:spacing w:after="0"/>
              <w:rPr>
                <w:sz w:val="20"/>
                <w:szCs w:val="20"/>
                <w:color w:val="auto"/>
              </w:rPr>
            </w:pPr>
            <w:r>
              <w:rPr>
                <w:rFonts w:ascii="Arial" w:cs="Arial" w:eastAsia="Arial" w:hAnsi="Arial"/>
                <w:sz w:val="17"/>
                <w:szCs w:val="17"/>
                <w:color w:val="auto"/>
              </w:rPr>
              <w:t>initiatives.</w:t>
            </w: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She holds an MBA with Honors in Finance from The Wharton School of the University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Pennsylvania, where she was named a Palmer Scholar, a BA with Honors in General Scholarship</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780" w:type="dxa"/>
            <w:vAlign w:val="bottom"/>
            <w:gridSpan w:val="5"/>
          </w:tcPr>
          <w:p>
            <w:pPr>
              <w:ind w:left="100"/>
              <w:spacing w:after="0"/>
              <w:rPr>
                <w:sz w:val="20"/>
                <w:szCs w:val="20"/>
                <w:color w:val="auto"/>
              </w:rPr>
            </w:pPr>
            <w:r>
              <w:rPr>
                <w:rFonts w:ascii="Arial" w:cs="Arial" w:eastAsia="Arial" w:hAnsi="Arial"/>
                <w:sz w:val="17"/>
                <w:szCs w:val="17"/>
                <w:color w:val="auto"/>
              </w:rPr>
              <w:t>from Wesleyan University, and a Doctor of Musical Arts degree from the State University of New</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220" w:type="dxa"/>
            <w:vAlign w:val="bottom"/>
            <w:tcBorders>
              <w:bottom w:val="single" w:sz="8" w:color="231F20"/>
            </w:tcBorders>
          </w:tcPr>
          <w:p>
            <w:pPr>
              <w:spacing w:after="0"/>
              <w:rPr>
                <w:sz w:val="19"/>
                <w:szCs w:val="19"/>
                <w:color w:val="auto"/>
              </w:rPr>
            </w:pPr>
          </w:p>
        </w:tc>
        <w:tc>
          <w:tcPr>
            <w:tcW w:w="280" w:type="dxa"/>
            <w:vAlign w:val="bottom"/>
            <w:tcBorders>
              <w:bottom w:val="single" w:sz="8" w:color="231F20"/>
            </w:tcBorders>
          </w:tcPr>
          <w:p>
            <w:pPr>
              <w:spacing w:after="0"/>
              <w:rPr>
                <w:sz w:val="19"/>
                <w:szCs w:val="19"/>
                <w:color w:val="auto"/>
              </w:rPr>
            </w:pPr>
          </w:p>
        </w:tc>
        <w:tc>
          <w:tcPr>
            <w:tcW w:w="400" w:type="dxa"/>
            <w:vAlign w:val="bottom"/>
            <w:tcBorders>
              <w:bottom w:val="single" w:sz="8" w:color="231F20"/>
            </w:tcBorders>
          </w:tcPr>
          <w:p>
            <w:pPr>
              <w:spacing w:after="0"/>
              <w:rPr>
                <w:sz w:val="19"/>
                <w:szCs w:val="19"/>
                <w:color w:val="auto"/>
              </w:rPr>
            </w:pPr>
          </w:p>
        </w:tc>
        <w:tc>
          <w:tcPr>
            <w:tcW w:w="2400" w:type="dxa"/>
            <w:vAlign w:val="bottom"/>
            <w:tcBorders>
              <w:bottom w:val="single" w:sz="8" w:color="231F20"/>
            </w:tcBorders>
            <w:gridSpan w:val="2"/>
          </w:tcPr>
          <w:p>
            <w:pPr>
              <w:ind w:left="100"/>
              <w:spacing w:after="0"/>
              <w:rPr>
                <w:sz w:val="20"/>
                <w:szCs w:val="20"/>
                <w:color w:val="auto"/>
              </w:rPr>
            </w:pPr>
            <w:r>
              <w:rPr>
                <w:rFonts w:ascii="Arial" w:cs="Arial" w:eastAsia="Arial" w:hAnsi="Arial"/>
                <w:sz w:val="17"/>
                <w:szCs w:val="17"/>
                <w:color w:val="auto"/>
              </w:rPr>
              <w:t>York at Stony Brook.</w:t>
            </w:r>
          </w:p>
        </w:tc>
        <w:tc>
          <w:tcPr>
            <w:tcW w:w="160" w:type="dxa"/>
            <w:vAlign w:val="bottom"/>
            <w:tcBorders>
              <w:bottom w:val="single" w:sz="8" w:color="231F20"/>
            </w:tcBorders>
          </w:tcPr>
          <w:p>
            <w:pPr>
              <w:spacing w:after="0"/>
              <w:rPr>
                <w:sz w:val="19"/>
                <w:szCs w:val="19"/>
                <w:color w:val="auto"/>
              </w:rPr>
            </w:pPr>
          </w:p>
        </w:tc>
        <w:tc>
          <w:tcPr>
            <w:tcW w:w="1840" w:type="dxa"/>
            <w:vAlign w:val="bottom"/>
            <w:tcBorders>
              <w:bottom w:val="single" w:sz="8" w:color="231F20"/>
            </w:tcBorders>
          </w:tcPr>
          <w:p>
            <w:pPr>
              <w:spacing w:after="0"/>
              <w:rPr>
                <w:sz w:val="19"/>
                <w:szCs w:val="19"/>
                <w:color w:val="auto"/>
              </w:rPr>
            </w:pPr>
          </w:p>
        </w:tc>
        <w:tc>
          <w:tcPr>
            <w:tcW w:w="3380" w:type="dxa"/>
            <w:vAlign w:val="bottom"/>
            <w:tcBorders>
              <w:bottom w:val="single" w:sz="8" w:color="231F20"/>
            </w:tcBorders>
          </w:tcPr>
          <w:p>
            <w:pPr>
              <w:spacing w:after="0"/>
              <w:rPr>
                <w:sz w:val="19"/>
                <w:szCs w:val="19"/>
                <w:color w:val="auto"/>
              </w:rPr>
            </w:pPr>
          </w:p>
        </w:tc>
        <w:tc>
          <w:tcPr>
            <w:tcW w:w="20" w:type="dxa"/>
            <w:vAlign w:val="bottom"/>
            <w:tcBorders>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2220" w:type="dxa"/>
            <w:vAlign w:val="bottom"/>
          </w:tcPr>
          <w:p>
            <w:pPr>
              <w:ind w:left="160"/>
              <w:spacing w:after="0"/>
              <w:rPr>
                <w:sz w:val="20"/>
                <w:szCs w:val="20"/>
                <w:color w:val="auto"/>
              </w:rPr>
            </w:pPr>
            <w:r>
              <w:rPr>
                <w:rFonts w:ascii="Arial" w:cs="Arial" w:eastAsia="Arial" w:hAnsi="Arial"/>
                <w:sz w:val="17"/>
                <w:szCs w:val="17"/>
                <w:color w:val="auto"/>
              </w:rPr>
              <w:t xml:space="preserve">Status: </w:t>
            </w:r>
            <w:r>
              <w:rPr>
                <w:rFonts w:ascii="Arial" w:cs="Arial" w:eastAsia="Arial" w:hAnsi="Arial"/>
                <w:sz w:val="17"/>
                <w:szCs w:val="17"/>
                <w:b w:val="1"/>
                <w:bCs w:val="1"/>
                <w:color w:val="auto"/>
              </w:rPr>
              <w:t>INDEPENDENT</w:t>
            </w:r>
          </w:p>
        </w:tc>
        <w:tc>
          <w:tcPr>
            <w:tcW w:w="280" w:type="dxa"/>
            <w:vAlign w:val="bottom"/>
          </w:tcPr>
          <w:p>
            <w:pPr>
              <w:spacing w:after="0"/>
              <w:rPr>
                <w:sz w:val="24"/>
                <w:szCs w:val="24"/>
                <w:color w:val="auto"/>
              </w:rPr>
            </w:pPr>
          </w:p>
        </w:tc>
        <w:tc>
          <w:tcPr>
            <w:tcW w:w="400" w:type="dxa"/>
            <w:vAlign w:val="bottom"/>
            <w:tcBorders>
              <w:right w:val="single" w:sz="8" w:color="231F20"/>
            </w:tcBorders>
          </w:tcPr>
          <w:p>
            <w:pPr>
              <w:spacing w:after="0"/>
              <w:rPr>
                <w:sz w:val="24"/>
                <w:szCs w:val="24"/>
                <w:color w:val="auto"/>
              </w:rPr>
            </w:pPr>
          </w:p>
        </w:tc>
        <w:tc>
          <w:tcPr>
            <w:tcW w:w="2040" w:type="dxa"/>
            <w:vAlign w:val="bottom"/>
            <w:tcBorders>
              <w:bottom w:val="single" w:sz="8" w:color="003445"/>
              <w:right w:val="single" w:sz="8" w:color="003445"/>
            </w:tcBorders>
            <w:shd w:val="clear" w:color="auto" w:fill="003445"/>
          </w:tcPr>
          <w:p>
            <w:pPr>
              <w:spacing w:after="0"/>
              <w:rPr>
                <w:sz w:val="24"/>
                <w:szCs w:val="24"/>
                <w:color w:val="auto"/>
              </w:rPr>
            </w:pPr>
          </w:p>
        </w:tc>
        <w:tc>
          <w:tcPr>
            <w:tcW w:w="360" w:type="dxa"/>
            <w:vAlign w:val="bottom"/>
            <w:tcBorders>
              <w:bottom w:val="single" w:sz="8" w:color="003445"/>
            </w:tcBorders>
            <w:shd w:val="clear" w:color="auto" w:fill="003445"/>
          </w:tcPr>
          <w:p>
            <w:pPr>
              <w:spacing w:after="0"/>
              <w:rPr>
                <w:sz w:val="24"/>
                <w:szCs w:val="24"/>
                <w:color w:val="auto"/>
              </w:rPr>
            </w:pPr>
          </w:p>
        </w:tc>
        <w:tc>
          <w:tcPr>
            <w:tcW w:w="5380" w:type="dxa"/>
            <w:vAlign w:val="bottom"/>
            <w:tcBorders>
              <w:bottom w:val="single" w:sz="8" w:color="003445"/>
            </w:tcBorders>
            <w:gridSpan w:val="3"/>
            <w:shd w:val="clear" w:color="auto" w:fill="003445"/>
          </w:tcPr>
          <w:p>
            <w:pPr>
              <w:ind w:left="140"/>
              <w:spacing w:after="0"/>
              <w:rPr>
                <w:sz w:val="20"/>
                <w:szCs w:val="20"/>
                <w:color w:val="auto"/>
              </w:rPr>
            </w:pPr>
            <w:r>
              <w:rPr>
                <w:rFonts w:ascii="Arial" w:cs="Arial" w:eastAsia="Arial" w:hAnsi="Arial"/>
                <w:sz w:val="17"/>
                <w:szCs w:val="17"/>
                <w:b w:val="1"/>
                <w:bCs w:val="1"/>
                <w:color w:val="FFFFFF"/>
              </w:rPr>
              <w:t>Other Public Board Memberships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220" w:type="dxa"/>
            <w:vAlign w:val="bottom"/>
            <w:tcBorders>
              <w:top w:val="single" w:sz="8" w:color="231F20"/>
            </w:tcBorders>
          </w:tcPr>
          <w:p>
            <w:pPr>
              <w:spacing w:after="0"/>
              <w:rPr>
                <w:sz w:val="19"/>
                <w:szCs w:val="19"/>
                <w:color w:val="auto"/>
              </w:rPr>
            </w:pPr>
          </w:p>
        </w:tc>
        <w:tc>
          <w:tcPr>
            <w:tcW w:w="280" w:type="dxa"/>
            <w:vAlign w:val="bottom"/>
            <w:tcBorders>
              <w:top w:val="single" w:sz="8" w:color="231F20"/>
            </w:tcBorders>
          </w:tcPr>
          <w:p>
            <w:pPr>
              <w:spacing w:after="0"/>
              <w:rPr>
                <w:sz w:val="19"/>
                <w:szCs w:val="19"/>
                <w:color w:val="auto"/>
              </w:rPr>
            </w:pPr>
          </w:p>
        </w:tc>
        <w:tc>
          <w:tcPr>
            <w:tcW w:w="400" w:type="dxa"/>
            <w:vAlign w:val="bottom"/>
            <w:tcBorders>
              <w:top w:val="single" w:sz="8" w:color="231F20"/>
              <w:right w:val="single" w:sz="8" w:color="231F20"/>
            </w:tcBorders>
          </w:tcPr>
          <w:p>
            <w:pPr>
              <w:spacing w:after="0"/>
              <w:rPr>
                <w:sz w:val="19"/>
                <w:szCs w:val="19"/>
                <w:color w:val="auto"/>
              </w:rPr>
            </w:pPr>
          </w:p>
        </w:tc>
        <w:tc>
          <w:tcPr>
            <w:tcW w:w="2400" w:type="dxa"/>
            <w:vAlign w:val="bottom"/>
            <w:tcBorders>
              <w:top w:val="single" w:sz="8" w:color="231F20"/>
            </w:tcBorders>
            <w:gridSpan w:val="2"/>
          </w:tcPr>
          <w:p>
            <w:pPr>
              <w:ind w:left="100"/>
              <w:spacing w:after="0"/>
              <w:rPr>
                <w:sz w:val="20"/>
                <w:szCs w:val="20"/>
                <w:color w:val="auto"/>
              </w:rPr>
            </w:pPr>
            <w:r>
              <w:rPr>
                <w:rFonts w:ascii="Arial" w:cs="Arial" w:eastAsia="Arial" w:hAnsi="Arial"/>
                <w:sz w:val="17"/>
                <w:szCs w:val="17"/>
                <w:color w:val="auto"/>
              </w:rPr>
              <w:t>FRMO Corporation</w:t>
            </w:r>
          </w:p>
        </w:tc>
        <w:tc>
          <w:tcPr>
            <w:tcW w:w="160" w:type="dxa"/>
            <w:vAlign w:val="bottom"/>
            <w:tcBorders>
              <w:top w:val="single" w:sz="8" w:color="231F20"/>
            </w:tcBorders>
          </w:tcPr>
          <w:p>
            <w:pPr>
              <w:spacing w:after="0"/>
              <w:rPr>
                <w:sz w:val="19"/>
                <w:szCs w:val="19"/>
                <w:color w:val="auto"/>
              </w:rPr>
            </w:pPr>
          </w:p>
        </w:tc>
        <w:tc>
          <w:tcPr>
            <w:tcW w:w="1840" w:type="dxa"/>
            <w:vAlign w:val="bottom"/>
            <w:tcBorders>
              <w:top w:val="single" w:sz="8" w:color="231F20"/>
            </w:tcBorders>
          </w:tcPr>
          <w:p>
            <w:pPr>
              <w:spacing w:after="0"/>
              <w:rPr>
                <w:sz w:val="19"/>
                <w:szCs w:val="19"/>
                <w:color w:val="auto"/>
              </w:rPr>
            </w:pPr>
          </w:p>
        </w:tc>
        <w:tc>
          <w:tcPr>
            <w:tcW w:w="3380" w:type="dxa"/>
            <w:vAlign w:val="bottom"/>
            <w:tcBorders>
              <w:top w:val="single" w:sz="8" w:color="231F20"/>
            </w:tcBorders>
          </w:tcPr>
          <w:p>
            <w:pPr>
              <w:spacing w:after="0"/>
              <w:rPr>
                <w:sz w:val="19"/>
                <w:szCs w:val="19"/>
                <w:color w:val="auto"/>
              </w:rPr>
            </w:pPr>
          </w:p>
        </w:tc>
        <w:tc>
          <w:tcPr>
            <w:tcW w:w="2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220" w:type="dxa"/>
            <w:vAlign w:val="bottom"/>
            <w:tcBorders>
              <w:bottom w:val="single" w:sz="8" w:color="231F20"/>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400" w:type="dxa"/>
            <w:vAlign w:val="bottom"/>
            <w:tcBorders>
              <w:bottom w:val="single" w:sz="8" w:color="231F20"/>
              <w:right w:val="single" w:sz="8" w:color="231F20"/>
            </w:tcBorders>
          </w:tcPr>
          <w:p>
            <w:pPr>
              <w:spacing w:after="0"/>
              <w:rPr>
                <w:sz w:val="20"/>
                <w:szCs w:val="20"/>
                <w:color w:val="auto"/>
              </w:rPr>
            </w:pPr>
          </w:p>
        </w:tc>
        <w:tc>
          <w:tcPr>
            <w:tcW w:w="2400" w:type="dxa"/>
            <w:vAlign w:val="bottom"/>
            <w:tcBorders>
              <w:bottom w:val="single" w:sz="8" w:color="231F20"/>
            </w:tcBorders>
            <w:gridSpan w:val="2"/>
          </w:tcPr>
          <w:p>
            <w:pPr>
              <w:ind w:left="100"/>
              <w:spacing w:after="0"/>
              <w:rPr>
                <w:sz w:val="20"/>
                <w:szCs w:val="20"/>
                <w:color w:val="auto"/>
              </w:rPr>
            </w:pPr>
            <w:r>
              <w:rPr>
                <w:rFonts w:ascii="Arial" w:cs="Arial" w:eastAsia="Arial" w:hAnsi="Arial"/>
                <w:sz w:val="17"/>
                <w:szCs w:val="17"/>
                <w:color w:val="auto"/>
              </w:rPr>
              <w:t>RENN Fund, Inc.</w:t>
            </w:r>
          </w:p>
        </w:tc>
        <w:tc>
          <w:tcPr>
            <w:tcW w:w="160" w:type="dxa"/>
            <w:vAlign w:val="bottom"/>
            <w:tcBorders>
              <w:bottom w:val="single" w:sz="8" w:color="231F20"/>
            </w:tcBorders>
          </w:tcPr>
          <w:p>
            <w:pPr>
              <w:spacing w:after="0"/>
              <w:rPr>
                <w:sz w:val="20"/>
                <w:szCs w:val="20"/>
                <w:color w:val="auto"/>
              </w:rPr>
            </w:pPr>
          </w:p>
        </w:tc>
        <w:tc>
          <w:tcPr>
            <w:tcW w:w="1840" w:type="dxa"/>
            <w:vAlign w:val="bottom"/>
            <w:tcBorders>
              <w:bottom w:val="single" w:sz="8" w:color="231F20"/>
            </w:tcBorders>
          </w:tcPr>
          <w:p>
            <w:pPr>
              <w:spacing w:after="0"/>
              <w:rPr>
                <w:sz w:val="20"/>
                <w:szCs w:val="20"/>
                <w:color w:val="auto"/>
              </w:rPr>
            </w:pPr>
          </w:p>
        </w:tc>
        <w:tc>
          <w:tcPr>
            <w:tcW w:w="3380" w:type="dxa"/>
            <w:vAlign w:val="bottom"/>
            <w:tcBorders>
              <w:bottom w:val="single" w:sz="8" w:color="231F20"/>
            </w:tcBorders>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20" w:type="dxa"/>
            <w:vAlign w:val="bottom"/>
            <w:shd w:val="clear" w:color="auto" w:fill="003445"/>
          </w:tcPr>
          <w:p>
            <w:pPr>
              <w:spacing w:after="0"/>
              <w:rPr>
                <w:sz w:val="19"/>
                <w:szCs w:val="19"/>
                <w:color w:val="auto"/>
              </w:rPr>
            </w:pPr>
          </w:p>
        </w:tc>
        <w:tc>
          <w:tcPr>
            <w:tcW w:w="280" w:type="dxa"/>
            <w:vAlign w:val="bottom"/>
            <w:shd w:val="clear" w:color="auto" w:fill="003445"/>
          </w:tcPr>
          <w:p>
            <w:pPr>
              <w:spacing w:after="0"/>
              <w:rPr>
                <w:sz w:val="19"/>
                <w:szCs w:val="19"/>
                <w:color w:val="auto"/>
              </w:rPr>
            </w:pPr>
          </w:p>
        </w:tc>
        <w:tc>
          <w:tcPr>
            <w:tcW w:w="400" w:type="dxa"/>
            <w:vAlign w:val="bottom"/>
            <w:tcBorders>
              <w:right w:val="single" w:sz="8" w:color="003445"/>
            </w:tcBorders>
            <w:shd w:val="clear" w:color="auto" w:fill="003445"/>
          </w:tcPr>
          <w:p>
            <w:pPr>
              <w:spacing w:after="0"/>
              <w:rPr>
                <w:sz w:val="19"/>
                <w:szCs w:val="19"/>
                <w:color w:val="auto"/>
              </w:rPr>
            </w:pPr>
          </w:p>
        </w:tc>
        <w:tc>
          <w:tcPr>
            <w:tcW w:w="2040" w:type="dxa"/>
            <w:vAlign w:val="bottom"/>
            <w:tcBorders>
              <w:right w:val="single" w:sz="8" w:color="231F20"/>
            </w:tcBorders>
            <w:shd w:val="clear" w:color="auto" w:fill="003445"/>
          </w:tcPr>
          <w:p>
            <w:pPr>
              <w:spacing w:after="0"/>
              <w:rPr>
                <w:sz w:val="19"/>
                <w:szCs w:val="19"/>
                <w:color w:val="auto"/>
              </w:rPr>
            </w:pPr>
          </w:p>
        </w:tc>
        <w:tc>
          <w:tcPr>
            <w:tcW w:w="360" w:type="dxa"/>
            <w:vAlign w:val="bottom"/>
            <w:vMerge w:val="restart"/>
            <w:shd w:val="clear" w:color="auto" w:fill="003445"/>
          </w:tcPr>
          <w:p>
            <w:pPr>
              <w:ind w:left="240"/>
              <w:spacing w:after="0"/>
              <w:rPr>
                <w:sz w:val="20"/>
                <w:szCs w:val="20"/>
                <w:color w:val="auto"/>
              </w:rPr>
            </w:pPr>
            <w:r>
              <w:rPr>
                <w:rFonts w:ascii="Arial" w:cs="Arial" w:eastAsia="Arial" w:hAnsi="Arial"/>
                <w:sz w:val="14"/>
                <w:szCs w:val="14"/>
                <w:b w:val="1"/>
                <w:bCs w:val="1"/>
                <w:color w:val="FFFFFF"/>
                <w:w w:val="71"/>
              </w:rPr>
              <w:t> </w:t>
            </w:r>
          </w:p>
        </w:tc>
        <w:tc>
          <w:tcPr>
            <w:tcW w:w="160" w:type="dxa"/>
            <w:vAlign w:val="bottom"/>
            <w:tcBorders>
              <w:right w:val="single" w:sz="8" w:color="003445"/>
            </w:tcBorders>
            <w:shd w:val="clear" w:color="auto" w:fill="003445"/>
          </w:tcPr>
          <w:p>
            <w:pPr>
              <w:spacing w:after="0"/>
              <w:rPr>
                <w:sz w:val="19"/>
                <w:szCs w:val="19"/>
                <w:color w:val="auto"/>
              </w:rPr>
            </w:pPr>
          </w:p>
        </w:tc>
        <w:tc>
          <w:tcPr>
            <w:tcW w:w="1840" w:type="dxa"/>
            <w:vAlign w:val="bottom"/>
            <w:tcBorders>
              <w:right w:val="single" w:sz="8" w:color="231F20"/>
            </w:tcBorders>
            <w:shd w:val="clear" w:color="auto" w:fill="003445"/>
          </w:tcPr>
          <w:p>
            <w:pPr>
              <w:jc w:val="center"/>
              <w:ind w:right="344"/>
              <w:spacing w:after="0"/>
              <w:rPr>
                <w:sz w:val="20"/>
                <w:szCs w:val="20"/>
                <w:color w:val="auto"/>
              </w:rPr>
            </w:pPr>
            <w:r>
              <w:rPr>
                <w:rFonts w:ascii="Arial" w:cs="Arial" w:eastAsia="Arial" w:hAnsi="Arial"/>
                <w:sz w:val="19"/>
                <w:szCs w:val="19"/>
                <w:b w:val="1"/>
                <w:bCs w:val="1"/>
                <w:color w:val="FFFFFF"/>
              </w:rPr>
              <w:t>Attendance at</w:t>
            </w:r>
          </w:p>
        </w:tc>
        <w:tc>
          <w:tcPr>
            <w:tcW w:w="3380" w:type="dxa"/>
            <w:vAlign w:val="bottom"/>
            <w:vMerge w:val="restart"/>
            <w:shd w:val="clear" w:color="auto" w:fill="003445"/>
          </w:tcPr>
          <w:p>
            <w:pPr>
              <w:ind w:left="240"/>
              <w:spacing w:after="0"/>
              <w:rPr>
                <w:sz w:val="20"/>
                <w:szCs w:val="20"/>
                <w:color w:val="auto"/>
              </w:rPr>
            </w:pPr>
            <w:r>
              <w:rPr>
                <w:rFonts w:ascii="Arial" w:cs="Arial" w:eastAsia="Arial" w:hAnsi="Arial"/>
                <w:sz w:val="19"/>
                <w:szCs w:val="19"/>
                <w:b w:val="1"/>
                <w:bCs w:val="1"/>
                <w:color w:val="FFFFFF"/>
              </w:rPr>
              <w:t xml:space="preserve">         Overall Attendance 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shd w:val="clear" w:color="auto" w:fill="003445"/>
          </w:tcPr>
          <w:p>
            <w:pPr>
              <w:spacing w:after="0"/>
              <w:rPr>
                <w:sz w:val="18"/>
                <w:szCs w:val="18"/>
                <w:color w:val="auto"/>
              </w:rPr>
            </w:pPr>
          </w:p>
        </w:tc>
        <w:tc>
          <w:tcPr>
            <w:tcW w:w="280" w:type="dxa"/>
            <w:vAlign w:val="bottom"/>
            <w:shd w:val="clear" w:color="auto" w:fill="003445"/>
          </w:tcPr>
          <w:p>
            <w:pPr>
              <w:spacing w:after="0"/>
              <w:rPr>
                <w:sz w:val="18"/>
                <w:szCs w:val="18"/>
                <w:color w:val="auto"/>
              </w:rPr>
            </w:pPr>
          </w:p>
        </w:tc>
        <w:tc>
          <w:tcPr>
            <w:tcW w:w="400" w:type="dxa"/>
            <w:vAlign w:val="bottom"/>
            <w:tcBorders>
              <w:right w:val="single" w:sz="8" w:color="003445"/>
            </w:tcBorders>
            <w:shd w:val="clear" w:color="auto" w:fill="003445"/>
          </w:tcPr>
          <w:p>
            <w:pPr>
              <w:spacing w:after="0"/>
              <w:rPr>
                <w:sz w:val="18"/>
                <w:szCs w:val="18"/>
                <w:color w:val="auto"/>
              </w:rPr>
            </w:pPr>
          </w:p>
        </w:tc>
        <w:tc>
          <w:tcPr>
            <w:tcW w:w="2040" w:type="dxa"/>
            <w:vAlign w:val="bottom"/>
            <w:tcBorders>
              <w:right w:val="single" w:sz="8" w:color="231F20"/>
            </w:tcBorders>
            <w:shd w:val="clear" w:color="auto" w:fill="003445"/>
          </w:tcPr>
          <w:p>
            <w:pPr>
              <w:spacing w:after="0"/>
              <w:rPr>
                <w:sz w:val="18"/>
                <w:szCs w:val="18"/>
                <w:color w:val="auto"/>
              </w:rPr>
            </w:pPr>
          </w:p>
        </w:tc>
        <w:tc>
          <w:tcPr>
            <w:tcW w:w="360" w:type="dxa"/>
            <w:vAlign w:val="bottom"/>
            <w:vMerge w:val="continue"/>
            <w:shd w:val="clear" w:color="auto" w:fill="003445"/>
          </w:tcPr>
          <w:p>
            <w:pPr>
              <w:spacing w:after="0"/>
              <w:rPr>
                <w:sz w:val="18"/>
                <w:szCs w:val="18"/>
                <w:color w:val="auto"/>
              </w:rPr>
            </w:pPr>
          </w:p>
        </w:tc>
        <w:tc>
          <w:tcPr>
            <w:tcW w:w="2000" w:type="dxa"/>
            <w:vAlign w:val="bottom"/>
            <w:tcBorders>
              <w:right w:val="single" w:sz="8" w:color="231F20"/>
            </w:tcBorders>
            <w:gridSpan w:val="2"/>
            <w:shd w:val="clear" w:color="auto" w:fill="003445"/>
          </w:tcPr>
          <w:p>
            <w:pPr>
              <w:jc w:val="center"/>
              <w:ind w:right="184"/>
              <w:spacing w:after="0" w:line="210" w:lineRule="exact"/>
              <w:rPr>
                <w:sz w:val="20"/>
                <w:szCs w:val="20"/>
                <w:color w:val="auto"/>
              </w:rPr>
            </w:pPr>
            <w:r>
              <w:rPr>
                <w:rFonts w:ascii="Arial" w:cs="Arial" w:eastAsia="Arial" w:hAnsi="Arial"/>
                <w:sz w:val="19"/>
                <w:szCs w:val="19"/>
                <w:b w:val="1"/>
                <w:bCs w:val="1"/>
                <w:color w:val="FFFFFF"/>
              </w:rPr>
              <w:t>Regular Meetings</w:t>
            </w:r>
          </w:p>
        </w:tc>
        <w:tc>
          <w:tcPr>
            <w:tcW w:w="3380" w:type="dxa"/>
            <w:vAlign w:val="bottom"/>
            <w:vMerge w:val="continue"/>
            <w:shd w:val="clear" w:color="auto" w:fill="00344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4"/>
        </w:trPr>
        <w:tc>
          <w:tcPr>
            <w:tcW w:w="4940" w:type="dxa"/>
            <w:vAlign w:val="bottom"/>
            <w:tcBorders>
              <w:bottom w:val="single" w:sz="8" w:color="231F20"/>
              <w:right w:val="single" w:sz="8" w:color="231F20"/>
            </w:tcBorders>
            <w:gridSpan w:val="4"/>
            <w:shd w:val="clear" w:color="auto" w:fill="003445"/>
          </w:tcPr>
          <w:p>
            <w:pPr>
              <w:jc w:val="center"/>
              <w:ind w:left="49"/>
              <w:spacing w:after="0"/>
              <w:rPr>
                <w:sz w:val="20"/>
                <w:szCs w:val="20"/>
                <w:color w:val="auto"/>
              </w:rPr>
            </w:pPr>
            <w:r>
              <w:rPr>
                <w:rFonts w:ascii="Arial" w:cs="Arial" w:eastAsia="Arial" w:hAnsi="Arial"/>
                <w:sz w:val="19"/>
                <w:szCs w:val="19"/>
                <w:b w:val="1"/>
                <w:bCs w:val="1"/>
                <w:color w:val="FFFFFF"/>
              </w:rPr>
              <w:t>Board / Committee Memberships</w:t>
            </w:r>
          </w:p>
        </w:tc>
        <w:tc>
          <w:tcPr>
            <w:tcW w:w="360" w:type="dxa"/>
            <w:vAlign w:val="bottom"/>
            <w:tcBorders>
              <w:bottom w:val="single" w:sz="8" w:color="231F20"/>
            </w:tcBorders>
            <w:shd w:val="clear" w:color="auto" w:fill="003445"/>
          </w:tcPr>
          <w:p>
            <w:pPr>
              <w:spacing w:after="0"/>
              <w:rPr>
                <w:sz w:val="24"/>
                <w:szCs w:val="24"/>
                <w:color w:val="auto"/>
              </w:rPr>
            </w:pPr>
          </w:p>
        </w:tc>
        <w:tc>
          <w:tcPr>
            <w:tcW w:w="160" w:type="dxa"/>
            <w:vAlign w:val="bottom"/>
            <w:tcBorders>
              <w:bottom w:val="single" w:sz="8" w:color="231F20"/>
              <w:right w:val="single" w:sz="8" w:color="003445"/>
            </w:tcBorders>
            <w:shd w:val="clear" w:color="auto" w:fill="003445"/>
          </w:tcPr>
          <w:p>
            <w:pPr>
              <w:spacing w:after="0"/>
              <w:rPr>
                <w:sz w:val="24"/>
                <w:szCs w:val="24"/>
                <w:color w:val="auto"/>
              </w:rPr>
            </w:pPr>
          </w:p>
        </w:tc>
        <w:tc>
          <w:tcPr>
            <w:tcW w:w="1840" w:type="dxa"/>
            <w:vAlign w:val="bottom"/>
            <w:tcBorders>
              <w:bottom w:val="single" w:sz="8" w:color="231F20"/>
              <w:right w:val="single" w:sz="8" w:color="231F20"/>
            </w:tcBorders>
            <w:shd w:val="clear" w:color="auto" w:fill="003445"/>
          </w:tcPr>
          <w:p>
            <w:pPr>
              <w:jc w:val="center"/>
              <w:ind w:right="344"/>
              <w:spacing w:after="0"/>
              <w:rPr>
                <w:sz w:val="20"/>
                <w:szCs w:val="20"/>
                <w:color w:val="auto"/>
              </w:rPr>
            </w:pPr>
            <w:r>
              <w:rPr>
                <w:rFonts w:ascii="Arial" w:cs="Arial" w:eastAsia="Arial" w:hAnsi="Arial"/>
                <w:sz w:val="19"/>
                <w:szCs w:val="19"/>
                <w:b w:val="1"/>
                <w:bCs w:val="1"/>
                <w:color w:val="FFFFFF"/>
              </w:rPr>
              <w:t>in Fiscal 2025</w:t>
            </w:r>
          </w:p>
        </w:tc>
        <w:tc>
          <w:tcPr>
            <w:tcW w:w="3380" w:type="dxa"/>
            <w:vAlign w:val="bottom"/>
            <w:tcBorders>
              <w:bottom w:val="single" w:sz="8" w:color="231F20"/>
            </w:tcBorders>
            <w:shd w:val="clear" w:color="auto" w:fill="003445"/>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220" w:type="dxa"/>
            <w:vAlign w:val="bottom"/>
          </w:tcPr>
          <w:p>
            <w:pPr>
              <w:spacing w:after="0"/>
              <w:rPr>
                <w:sz w:val="24"/>
                <w:szCs w:val="24"/>
                <w:color w:val="auto"/>
              </w:rPr>
            </w:pPr>
          </w:p>
        </w:tc>
        <w:tc>
          <w:tcPr>
            <w:tcW w:w="2720" w:type="dxa"/>
            <w:vAlign w:val="bottom"/>
            <w:tcBorders>
              <w:right w:val="single" w:sz="8" w:color="231F20"/>
            </w:tcBorders>
            <w:gridSpan w:val="3"/>
          </w:tcPr>
          <w:p>
            <w:pPr>
              <w:jc w:val="center"/>
              <w:ind w:right="1993"/>
              <w:spacing w:after="0"/>
              <w:rPr>
                <w:sz w:val="20"/>
                <w:szCs w:val="20"/>
                <w:color w:val="auto"/>
              </w:rPr>
            </w:pPr>
            <w:r>
              <w:rPr>
                <w:rFonts w:ascii="Arial" w:cs="Arial" w:eastAsia="Arial" w:hAnsi="Arial"/>
                <w:sz w:val="19"/>
                <w:szCs w:val="19"/>
                <w:color w:val="auto"/>
              </w:rPr>
              <w:t>Board</w:t>
            </w:r>
          </w:p>
        </w:tc>
        <w:tc>
          <w:tcPr>
            <w:tcW w:w="360" w:type="dxa"/>
            <w:vAlign w:val="bottom"/>
          </w:tcPr>
          <w:p>
            <w:pPr>
              <w:spacing w:after="0"/>
              <w:rPr>
                <w:sz w:val="24"/>
                <w:szCs w:val="24"/>
                <w:color w:val="auto"/>
              </w:rPr>
            </w:pPr>
          </w:p>
        </w:tc>
        <w:tc>
          <w:tcPr>
            <w:tcW w:w="2000" w:type="dxa"/>
            <w:vAlign w:val="bottom"/>
            <w:tcBorders>
              <w:right w:val="single" w:sz="8" w:color="231F20"/>
            </w:tcBorders>
            <w:gridSpan w:val="2"/>
          </w:tcPr>
          <w:p>
            <w:pPr>
              <w:jc w:val="center"/>
              <w:ind w:right="184"/>
              <w:spacing w:after="0" w:line="290" w:lineRule="exact"/>
              <w:rPr>
                <w:sz w:val="20"/>
                <w:szCs w:val="20"/>
                <w:color w:val="auto"/>
              </w:rPr>
            </w:pPr>
            <w:r>
              <w:rPr>
                <w:rFonts w:ascii="Arial" w:cs="Arial" w:eastAsia="Arial" w:hAnsi="Arial"/>
                <w:sz w:val="33"/>
                <w:szCs w:val="33"/>
                <w:color w:val="auto"/>
                <w:w w:val="94"/>
                <w:vertAlign w:val="subscript"/>
              </w:rPr>
              <w:t>4/7</w:t>
            </w:r>
            <w:r>
              <w:rPr>
                <w:rFonts w:ascii="Arial" w:cs="Arial" w:eastAsia="Arial" w:hAnsi="Arial"/>
                <w:sz w:val="13"/>
                <w:szCs w:val="13"/>
                <w:color w:val="auto"/>
                <w:w w:val="94"/>
              </w:rPr>
              <w:t>(4)</w:t>
            </w:r>
          </w:p>
        </w:tc>
        <w:tc>
          <w:tcPr>
            <w:tcW w:w="3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940" w:type="dxa"/>
            <w:vAlign w:val="bottom"/>
            <w:tcBorders>
              <w:right w:val="single" w:sz="8" w:color="231F20"/>
            </w:tcBorders>
            <w:gridSpan w:val="4"/>
          </w:tcPr>
          <w:p>
            <w:pPr>
              <w:jc w:val="center"/>
              <w:ind w:left="49"/>
              <w:spacing w:after="0"/>
              <w:rPr>
                <w:sz w:val="20"/>
                <w:szCs w:val="20"/>
                <w:color w:val="auto"/>
              </w:rPr>
            </w:pPr>
            <w:r>
              <w:rPr>
                <w:rFonts w:ascii="Arial" w:cs="Arial" w:eastAsia="Arial" w:hAnsi="Arial"/>
                <w:sz w:val="19"/>
                <w:szCs w:val="19"/>
                <w:color w:val="auto"/>
              </w:rPr>
              <w:t>Audit &amp; Risk Management Committee</w:t>
            </w:r>
          </w:p>
        </w:tc>
        <w:tc>
          <w:tcPr>
            <w:tcW w:w="360" w:type="dxa"/>
            <w:vAlign w:val="bottom"/>
          </w:tcPr>
          <w:p>
            <w:pPr>
              <w:spacing w:after="0"/>
              <w:rPr>
                <w:sz w:val="23"/>
                <w:szCs w:val="23"/>
                <w:color w:val="auto"/>
              </w:rPr>
            </w:pPr>
          </w:p>
        </w:tc>
        <w:tc>
          <w:tcPr>
            <w:tcW w:w="2000" w:type="dxa"/>
            <w:vAlign w:val="bottom"/>
            <w:tcBorders>
              <w:right w:val="single" w:sz="8" w:color="231F20"/>
            </w:tcBorders>
            <w:gridSpan w:val="2"/>
          </w:tcPr>
          <w:p>
            <w:pPr>
              <w:jc w:val="center"/>
              <w:ind w:right="184"/>
              <w:spacing w:after="0" w:line="276" w:lineRule="exact"/>
              <w:rPr>
                <w:sz w:val="20"/>
                <w:szCs w:val="20"/>
                <w:color w:val="auto"/>
              </w:rPr>
            </w:pPr>
            <w:r>
              <w:rPr>
                <w:rFonts w:ascii="Arial" w:cs="Arial" w:eastAsia="Arial" w:hAnsi="Arial"/>
                <w:sz w:val="19"/>
                <w:szCs w:val="19"/>
                <w:color w:val="auto"/>
                <w:w w:val="89"/>
              </w:rPr>
              <w:t>4/9</w:t>
            </w:r>
            <w:r>
              <w:rPr>
                <w:rFonts w:ascii="Arial" w:cs="Arial" w:eastAsia="Arial" w:hAnsi="Arial"/>
                <w:sz w:val="28"/>
                <w:szCs w:val="28"/>
                <w:color w:val="auto"/>
                <w:w w:val="89"/>
                <w:vertAlign w:val="superscript"/>
              </w:rPr>
              <w:t>(5)</w:t>
            </w:r>
          </w:p>
        </w:tc>
        <w:tc>
          <w:tcPr>
            <w:tcW w:w="3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231F20"/>
              <w:right w:val="single" w:sz="8" w:color="231F20"/>
            </w:tcBorders>
            <w:gridSpan w:val="4"/>
          </w:tcPr>
          <w:p>
            <w:pPr>
              <w:jc w:val="center"/>
              <w:ind w:left="49"/>
              <w:spacing w:after="0"/>
              <w:rPr>
                <w:sz w:val="20"/>
                <w:szCs w:val="20"/>
                <w:color w:val="auto"/>
              </w:rPr>
            </w:pPr>
            <w:r>
              <w:rPr>
                <w:rFonts w:ascii="Arial" w:cs="Arial" w:eastAsia="Arial" w:hAnsi="Arial"/>
                <w:sz w:val="19"/>
                <w:szCs w:val="19"/>
                <w:color w:val="auto"/>
              </w:rPr>
              <w:t>Operations and Capital Projects Committee</w:t>
            </w:r>
          </w:p>
        </w:tc>
        <w:tc>
          <w:tcPr>
            <w:tcW w:w="360" w:type="dxa"/>
            <w:vAlign w:val="bottom"/>
            <w:tcBorders>
              <w:bottom w:val="single" w:sz="8" w:color="231F20"/>
            </w:tcBorders>
          </w:tcPr>
          <w:p>
            <w:pPr>
              <w:spacing w:after="0"/>
              <w:rPr>
                <w:sz w:val="21"/>
                <w:szCs w:val="21"/>
                <w:color w:val="auto"/>
              </w:rPr>
            </w:pPr>
          </w:p>
        </w:tc>
        <w:tc>
          <w:tcPr>
            <w:tcW w:w="2000" w:type="dxa"/>
            <w:vAlign w:val="bottom"/>
            <w:tcBorders>
              <w:bottom w:val="single" w:sz="8" w:color="231F20"/>
              <w:right w:val="single" w:sz="8" w:color="231F20"/>
            </w:tcBorders>
            <w:gridSpan w:val="2"/>
          </w:tcPr>
          <w:p>
            <w:pPr>
              <w:jc w:val="center"/>
              <w:ind w:right="184"/>
              <w:spacing w:after="0" w:line="243" w:lineRule="exact"/>
              <w:rPr>
                <w:sz w:val="20"/>
                <w:szCs w:val="20"/>
                <w:color w:val="auto"/>
              </w:rPr>
            </w:pPr>
            <w:r>
              <w:rPr>
                <w:rFonts w:ascii="Arial" w:cs="Arial" w:eastAsia="Arial" w:hAnsi="Arial"/>
                <w:sz w:val="19"/>
                <w:szCs w:val="19"/>
                <w:color w:val="auto"/>
                <w:w w:val="90"/>
              </w:rPr>
              <w:t>11/19</w:t>
            </w:r>
            <w:r>
              <w:rPr>
                <w:rFonts w:ascii="Arial" w:cs="Arial" w:eastAsia="Arial" w:hAnsi="Arial"/>
                <w:sz w:val="28"/>
                <w:szCs w:val="28"/>
                <w:color w:val="auto"/>
                <w:w w:val="90"/>
                <w:vertAlign w:val="superscript"/>
              </w:rPr>
              <w:t>(6)</w:t>
            </w:r>
          </w:p>
        </w:tc>
        <w:tc>
          <w:tcPr>
            <w:tcW w:w="338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220" w:type="dxa"/>
            <w:vAlign w:val="bottom"/>
            <w:shd w:val="clear" w:color="auto" w:fill="003445"/>
          </w:tcPr>
          <w:p>
            <w:pPr>
              <w:spacing w:after="0"/>
              <w:rPr>
                <w:sz w:val="20"/>
                <w:szCs w:val="20"/>
                <w:color w:val="auto"/>
              </w:rPr>
            </w:pPr>
          </w:p>
        </w:tc>
        <w:tc>
          <w:tcPr>
            <w:tcW w:w="280" w:type="dxa"/>
            <w:vAlign w:val="bottom"/>
            <w:shd w:val="clear" w:color="auto" w:fill="003445"/>
          </w:tcPr>
          <w:p>
            <w:pPr>
              <w:spacing w:after="0"/>
              <w:rPr>
                <w:sz w:val="20"/>
                <w:szCs w:val="20"/>
                <w:color w:val="auto"/>
              </w:rPr>
            </w:pPr>
          </w:p>
        </w:tc>
        <w:tc>
          <w:tcPr>
            <w:tcW w:w="400" w:type="dxa"/>
            <w:vAlign w:val="bottom"/>
            <w:tcBorders>
              <w:right w:val="single" w:sz="8" w:color="003445"/>
            </w:tcBorders>
            <w:shd w:val="clear" w:color="auto" w:fill="003445"/>
          </w:tcPr>
          <w:p>
            <w:pPr>
              <w:spacing w:after="0"/>
              <w:rPr>
                <w:sz w:val="20"/>
                <w:szCs w:val="20"/>
                <w:color w:val="auto"/>
              </w:rPr>
            </w:pPr>
          </w:p>
        </w:tc>
        <w:tc>
          <w:tcPr>
            <w:tcW w:w="4400" w:type="dxa"/>
            <w:vAlign w:val="bottom"/>
            <w:tcBorders>
              <w:right w:val="single" w:sz="8" w:color="003445"/>
            </w:tcBorders>
            <w:gridSpan w:val="4"/>
            <w:shd w:val="clear" w:color="auto" w:fill="003445"/>
          </w:tcPr>
          <w:p>
            <w:pPr>
              <w:ind w:left="680"/>
              <w:spacing w:after="0"/>
              <w:rPr>
                <w:sz w:val="20"/>
                <w:szCs w:val="20"/>
                <w:color w:val="auto"/>
              </w:rPr>
            </w:pPr>
            <w:r>
              <w:rPr>
                <w:rFonts w:ascii="Arial" w:cs="Arial" w:eastAsia="Arial" w:hAnsi="Arial"/>
                <w:sz w:val="17"/>
                <w:szCs w:val="17"/>
                <w:b w:val="1"/>
                <w:bCs w:val="1"/>
                <w:color w:val="FFFFFF"/>
              </w:rPr>
              <w:t>Securities Beneficially Owned or Controlled</w:t>
            </w:r>
          </w:p>
        </w:tc>
        <w:tc>
          <w:tcPr>
            <w:tcW w:w="3380" w:type="dxa"/>
            <w:vAlign w:val="bottom"/>
            <w:shd w:val="clear" w:color="auto" w:fill="003445"/>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2220" w:type="dxa"/>
            <w:vAlign w:val="bottom"/>
            <w:tcBorders>
              <w:bottom w:val="single" w:sz="8" w:color="003445"/>
            </w:tcBorders>
            <w:shd w:val="clear" w:color="auto" w:fill="003445"/>
          </w:tcPr>
          <w:p>
            <w:pPr>
              <w:spacing w:after="0"/>
              <w:rPr>
                <w:sz w:val="23"/>
                <w:szCs w:val="23"/>
                <w:color w:val="auto"/>
              </w:rPr>
            </w:pPr>
          </w:p>
        </w:tc>
        <w:tc>
          <w:tcPr>
            <w:tcW w:w="280" w:type="dxa"/>
            <w:vAlign w:val="bottom"/>
            <w:tcBorders>
              <w:bottom w:val="single" w:sz="8" w:color="003445"/>
            </w:tcBorders>
            <w:shd w:val="clear" w:color="auto" w:fill="003445"/>
          </w:tcPr>
          <w:p>
            <w:pPr>
              <w:spacing w:after="0"/>
              <w:rPr>
                <w:sz w:val="23"/>
                <w:szCs w:val="23"/>
                <w:color w:val="auto"/>
              </w:rPr>
            </w:pPr>
          </w:p>
        </w:tc>
        <w:tc>
          <w:tcPr>
            <w:tcW w:w="400" w:type="dxa"/>
            <w:vAlign w:val="bottom"/>
            <w:tcBorders>
              <w:bottom w:val="single" w:sz="8" w:color="003445"/>
              <w:right w:val="single" w:sz="8" w:color="003445"/>
            </w:tcBorders>
            <w:shd w:val="clear" w:color="auto" w:fill="003445"/>
          </w:tcPr>
          <w:p>
            <w:pPr>
              <w:spacing w:after="0"/>
              <w:rPr>
                <w:sz w:val="23"/>
                <w:szCs w:val="23"/>
                <w:color w:val="auto"/>
              </w:rPr>
            </w:pPr>
          </w:p>
        </w:tc>
        <w:tc>
          <w:tcPr>
            <w:tcW w:w="4400" w:type="dxa"/>
            <w:vAlign w:val="bottom"/>
            <w:tcBorders>
              <w:bottom w:val="single" w:sz="8" w:color="003445"/>
              <w:right w:val="single" w:sz="8" w:color="003445"/>
            </w:tcBorders>
            <w:gridSpan w:val="4"/>
            <w:shd w:val="clear" w:color="auto" w:fill="003445"/>
          </w:tcPr>
          <w:p>
            <w:pPr>
              <w:ind w:left="1660"/>
              <w:spacing w:after="0"/>
              <w:rPr>
                <w:sz w:val="20"/>
                <w:szCs w:val="20"/>
                <w:color w:val="auto"/>
              </w:rPr>
            </w:pPr>
            <w:r>
              <w:rPr>
                <w:rFonts w:ascii="Arial" w:cs="Arial" w:eastAsia="Arial" w:hAnsi="Arial"/>
                <w:sz w:val="17"/>
                <w:szCs w:val="17"/>
                <w:b w:val="1"/>
                <w:bCs w:val="1"/>
                <w:color w:val="FFFFFF"/>
              </w:rPr>
              <w:t>(as at April 30, 2026)</w:t>
            </w:r>
          </w:p>
        </w:tc>
        <w:tc>
          <w:tcPr>
            <w:tcW w:w="3380" w:type="dxa"/>
            <w:vAlign w:val="bottom"/>
            <w:tcBorders>
              <w:bottom w:val="single" w:sz="8" w:color="003445"/>
            </w:tcBorders>
            <w:shd w:val="clear" w:color="auto" w:fill="003445"/>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5300" w:type="dxa"/>
            <w:vAlign w:val="bottom"/>
            <w:tcBorders>
              <w:top w:val="single" w:sz="8" w:color="231F20"/>
              <w:bottom w:val="single" w:sz="8" w:color="231F20"/>
            </w:tcBorders>
            <w:gridSpan w:val="5"/>
            <w:shd w:val="clear" w:color="auto" w:fill="F2F2F2"/>
          </w:tcPr>
          <w:p>
            <w:pPr>
              <w:jc w:val="center"/>
              <w:ind w:left="209"/>
              <w:spacing w:after="0" w:line="295" w:lineRule="exact"/>
              <w:rPr>
                <w:sz w:val="20"/>
                <w:szCs w:val="20"/>
                <w:color w:val="auto"/>
              </w:rPr>
            </w:pPr>
            <w:r>
              <w:rPr>
                <w:rFonts w:ascii="Arial" w:cs="Arial" w:eastAsia="Arial" w:hAnsi="Arial"/>
                <w:sz w:val="17"/>
                <w:szCs w:val="17"/>
                <w:b w:val="1"/>
                <w:bCs w:val="1"/>
                <w:color w:val="auto"/>
                <w:w w:val="99"/>
              </w:rPr>
              <w:t>Number of DSUs</w:t>
            </w:r>
            <w:r>
              <w:rPr>
                <w:rFonts w:ascii="Arial" w:cs="Arial" w:eastAsia="Arial" w:hAnsi="Arial"/>
                <w:sz w:val="26"/>
                <w:szCs w:val="26"/>
                <w:b w:val="1"/>
                <w:bCs w:val="1"/>
                <w:color w:val="auto"/>
                <w:w w:val="99"/>
                <w:vertAlign w:val="superscript"/>
              </w:rPr>
              <w:t>(3)</w:t>
            </w:r>
          </w:p>
        </w:tc>
        <w:tc>
          <w:tcPr>
            <w:tcW w:w="160" w:type="dxa"/>
            <w:vAlign w:val="bottom"/>
            <w:tcBorders>
              <w:top w:val="single" w:sz="8" w:color="231F20"/>
              <w:bottom w:val="single" w:sz="8" w:color="231F20"/>
              <w:right w:val="single" w:sz="8" w:color="231F20"/>
            </w:tcBorders>
            <w:shd w:val="clear" w:color="auto" w:fill="F2F2F2"/>
          </w:tcPr>
          <w:p>
            <w:pPr>
              <w:spacing w:after="0"/>
              <w:rPr>
                <w:sz w:val="24"/>
                <w:szCs w:val="24"/>
                <w:color w:val="auto"/>
              </w:rPr>
            </w:pPr>
          </w:p>
        </w:tc>
        <w:tc>
          <w:tcPr>
            <w:tcW w:w="184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3380" w:type="dxa"/>
            <w:vAlign w:val="bottom"/>
            <w:tcBorders>
              <w:top w:val="single" w:sz="8" w:color="231F20"/>
              <w:bottom w:val="single" w:sz="8" w:color="231F20"/>
            </w:tcBorders>
            <w:shd w:val="clear" w:color="auto" w:fill="F2F2F2"/>
          </w:tcPr>
          <w:p>
            <w:pPr>
              <w:jc w:val="center"/>
              <w:ind w:right="1670"/>
              <w:spacing w:after="0" w:line="295" w:lineRule="exact"/>
              <w:rPr>
                <w:sz w:val="20"/>
                <w:szCs w:val="20"/>
                <w:color w:val="auto"/>
              </w:rPr>
            </w:pPr>
            <w:r>
              <w:rPr>
                <w:rFonts w:ascii="Arial" w:cs="Arial" w:eastAsia="Arial" w:hAnsi="Arial"/>
                <w:sz w:val="17"/>
                <w:szCs w:val="17"/>
                <w:b w:val="1"/>
                <w:bCs w:val="1"/>
                <w:color w:val="auto"/>
                <w:w w:val="96"/>
              </w:rPr>
              <w:t>Market Value</w:t>
            </w:r>
            <w:r>
              <w:rPr>
                <w:rFonts w:ascii="Arial" w:cs="Arial" w:eastAsia="Arial" w:hAnsi="Arial"/>
                <w:sz w:val="26"/>
                <w:szCs w:val="26"/>
                <w:b w:val="1"/>
                <w:bCs w:val="1"/>
                <w:color w:val="auto"/>
                <w:w w:val="96"/>
                <w:vertAlign w:val="superscript"/>
              </w:rPr>
              <w:t>(1)</w:t>
            </w:r>
          </w:p>
        </w:tc>
        <w:tc>
          <w:tcPr>
            <w:tcW w:w="20" w:type="dxa"/>
            <w:vAlign w:val="bottom"/>
            <w:tcBorders>
              <w:top w:val="single" w:sz="8" w:color="231F20"/>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40" w:type="dxa"/>
            <w:vAlign w:val="bottom"/>
            <w:gridSpan w:val="2"/>
          </w:tcPr>
          <w:p>
            <w:pPr>
              <w:jc w:val="right"/>
              <w:ind w:right="1793"/>
              <w:spacing w:after="0"/>
              <w:rPr>
                <w:sz w:val="20"/>
                <w:szCs w:val="20"/>
                <w:color w:val="auto"/>
              </w:rPr>
            </w:pPr>
            <w:r>
              <w:rPr>
                <w:rFonts w:ascii="Arial" w:cs="Arial" w:eastAsia="Arial" w:hAnsi="Arial"/>
                <w:sz w:val="17"/>
                <w:szCs w:val="17"/>
                <w:color w:val="auto"/>
              </w:rPr>
              <w:t>32,220</w:t>
            </w:r>
          </w:p>
        </w:tc>
        <w:tc>
          <w:tcPr>
            <w:tcW w:w="360" w:type="dxa"/>
            <w:vAlign w:val="bottom"/>
          </w:tcPr>
          <w:p>
            <w:pPr>
              <w:spacing w:after="0"/>
              <w:rPr>
                <w:sz w:val="23"/>
                <w:szCs w:val="23"/>
                <w:color w:val="auto"/>
              </w:rPr>
            </w:pPr>
          </w:p>
        </w:tc>
        <w:tc>
          <w:tcPr>
            <w:tcW w:w="160" w:type="dxa"/>
            <w:vAlign w:val="bottom"/>
            <w:tcBorders>
              <w:right w:val="single" w:sz="8" w:color="231F20"/>
            </w:tcBorders>
          </w:tcPr>
          <w:p>
            <w:pPr>
              <w:spacing w:after="0"/>
              <w:rPr>
                <w:sz w:val="23"/>
                <w:szCs w:val="23"/>
                <w:color w:val="auto"/>
              </w:rPr>
            </w:pPr>
          </w:p>
        </w:tc>
        <w:tc>
          <w:tcPr>
            <w:tcW w:w="1840" w:type="dxa"/>
            <w:vAlign w:val="bottom"/>
          </w:tcPr>
          <w:p>
            <w:pPr>
              <w:spacing w:after="0"/>
              <w:rPr>
                <w:sz w:val="23"/>
                <w:szCs w:val="23"/>
                <w:color w:val="auto"/>
              </w:rPr>
            </w:pPr>
          </w:p>
        </w:tc>
        <w:tc>
          <w:tcPr>
            <w:tcW w:w="3380" w:type="dxa"/>
            <w:vAlign w:val="bottom"/>
          </w:tcPr>
          <w:p>
            <w:pPr>
              <w:jc w:val="right"/>
              <w:ind w:right="2110"/>
              <w:spacing w:after="0"/>
              <w:rPr>
                <w:sz w:val="20"/>
                <w:szCs w:val="20"/>
                <w:color w:val="auto"/>
              </w:rPr>
            </w:pPr>
            <w:r>
              <w:rPr>
                <w:rFonts w:ascii="Arial" w:cs="Arial" w:eastAsia="Arial" w:hAnsi="Arial"/>
                <w:sz w:val="17"/>
                <w:szCs w:val="17"/>
                <w:color w:val="auto"/>
              </w:rPr>
              <w:t>$205,241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220" w:type="dxa"/>
            <w:vAlign w:val="bottom"/>
            <w:tcBorders>
              <w:bottom w:val="single" w:sz="8" w:color="231F20"/>
            </w:tcBorders>
          </w:tcPr>
          <w:p>
            <w:pPr>
              <w:spacing w:after="0"/>
              <w:rPr>
                <w:sz w:val="5"/>
                <w:szCs w:val="5"/>
                <w:color w:val="auto"/>
              </w:rPr>
            </w:pPr>
          </w:p>
        </w:tc>
        <w:tc>
          <w:tcPr>
            <w:tcW w:w="280" w:type="dxa"/>
            <w:vAlign w:val="bottom"/>
            <w:tcBorders>
              <w:bottom w:val="single" w:sz="8" w:color="231F20"/>
            </w:tcBorders>
          </w:tcPr>
          <w:p>
            <w:pPr>
              <w:spacing w:after="0"/>
              <w:rPr>
                <w:sz w:val="5"/>
                <w:szCs w:val="5"/>
                <w:color w:val="auto"/>
              </w:rPr>
            </w:pPr>
          </w:p>
        </w:tc>
        <w:tc>
          <w:tcPr>
            <w:tcW w:w="400" w:type="dxa"/>
            <w:vAlign w:val="bottom"/>
            <w:tcBorders>
              <w:bottom w:val="single" w:sz="8" w:color="231F20"/>
            </w:tcBorders>
          </w:tcPr>
          <w:p>
            <w:pPr>
              <w:spacing w:after="0"/>
              <w:rPr>
                <w:sz w:val="5"/>
                <w:szCs w:val="5"/>
                <w:color w:val="auto"/>
              </w:rPr>
            </w:pPr>
          </w:p>
        </w:tc>
        <w:tc>
          <w:tcPr>
            <w:tcW w:w="2040" w:type="dxa"/>
            <w:vAlign w:val="bottom"/>
            <w:tcBorders>
              <w:bottom w:val="single" w:sz="8" w:color="231F20"/>
            </w:tcBorders>
          </w:tcPr>
          <w:p>
            <w:pPr>
              <w:spacing w:after="0"/>
              <w:rPr>
                <w:sz w:val="5"/>
                <w:szCs w:val="5"/>
                <w:color w:val="auto"/>
              </w:rPr>
            </w:pPr>
          </w:p>
        </w:tc>
        <w:tc>
          <w:tcPr>
            <w:tcW w:w="360" w:type="dxa"/>
            <w:vAlign w:val="bottom"/>
            <w:tcBorders>
              <w:bottom w:val="single" w:sz="8" w:color="231F20"/>
            </w:tcBorders>
          </w:tcPr>
          <w:p>
            <w:pPr>
              <w:spacing w:after="0"/>
              <w:rPr>
                <w:sz w:val="5"/>
                <w:szCs w:val="5"/>
                <w:color w:val="auto"/>
              </w:rPr>
            </w:pPr>
          </w:p>
        </w:tc>
        <w:tc>
          <w:tcPr>
            <w:tcW w:w="160" w:type="dxa"/>
            <w:vAlign w:val="bottom"/>
            <w:tcBorders>
              <w:bottom w:val="single" w:sz="8" w:color="231F20"/>
              <w:right w:val="single" w:sz="8" w:color="231F20"/>
            </w:tcBorders>
          </w:tcPr>
          <w:p>
            <w:pPr>
              <w:spacing w:after="0"/>
              <w:rPr>
                <w:sz w:val="5"/>
                <w:szCs w:val="5"/>
                <w:color w:val="auto"/>
              </w:rPr>
            </w:pPr>
          </w:p>
        </w:tc>
        <w:tc>
          <w:tcPr>
            <w:tcW w:w="1840" w:type="dxa"/>
            <w:vAlign w:val="bottom"/>
            <w:tcBorders>
              <w:bottom w:val="single" w:sz="8" w:color="231F20"/>
            </w:tcBorders>
          </w:tcPr>
          <w:p>
            <w:pPr>
              <w:spacing w:after="0"/>
              <w:rPr>
                <w:sz w:val="5"/>
                <w:szCs w:val="5"/>
                <w:color w:val="auto"/>
              </w:rPr>
            </w:pPr>
          </w:p>
        </w:tc>
        <w:tc>
          <w:tcPr>
            <w:tcW w:w="3380" w:type="dxa"/>
            <w:vAlign w:val="bottom"/>
            <w:tcBorders>
              <w:bottom w:val="single" w:sz="8" w:color="231F20"/>
            </w:tcBorders>
          </w:tcPr>
          <w:p>
            <w:pPr>
              <w:spacing w:after="0"/>
              <w:rPr>
                <w:sz w:val="5"/>
                <w:szCs w:val="5"/>
                <w:color w:val="auto"/>
              </w:rPr>
            </w:pPr>
          </w:p>
        </w:tc>
        <w:tc>
          <w:tcPr>
            <w:tcW w:w="20" w:type="dxa"/>
            <w:vAlign w:val="bottom"/>
            <w:tcBorders>
              <w:bottom w:val="single" w:sz="8" w:color="231F2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700"/>
          </w:cols>
          <w:pgMar w:left="600" w:top="284" w:right="599" w:bottom="1440" w:gutter="0" w:footer="0" w:header="0"/>
        </w:sectPr>
      </w:pPr>
    </w:p>
    <w:bookmarkStart w:id="34" w:name="page35"/>
    <w:bookmarkEnd w:id="34"/>
    <w:tbl>
      <w:tblPr>
        <w:tblLayout w:type="fixed"/>
        <w:tblInd w:w="10" w:type="dxa"/>
        <w:tblCellMar>
          <w:top w:w="0" w:type="dxa"/>
          <w:left w:w="0" w:type="dxa"/>
          <w:bottom w:w="0" w:type="dxa"/>
          <w:right w:w="0" w:type="dxa"/>
        </w:tblCellMar>
      </w:tblPr>
      <w:tr>
        <w:trPr>
          <w:trHeight w:val="314"/>
        </w:trPr>
        <w:tc>
          <w:tcPr>
            <w:tcW w:w="2880" w:type="dxa"/>
            <w:vAlign w:val="bottom"/>
            <w:tcBorders>
              <w:top w:val="single" w:sz="8" w:color="231F20"/>
              <w:left w:val="single" w:sz="8" w:color="231F20"/>
              <w:right w:val="single" w:sz="8" w:color="auto"/>
            </w:tcBorders>
            <w:gridSpan w:val="3"/>
          </w:tcPr>
          <w:p>
            <w:pPr>
              <w:ind w:left="640"/>
              <w:spacing w:after="0"/>
              <w:rPr>
                <w:sz w:val="20"/>
                <w:szCs w:val="20"/>
                <w:color w:val="auto"/>
              </w:rPr>
            </w:pPr>
            <w:r>
              <w:rPr>
                <w:rFonts w:ascii="Arial" w:cs="Arial" w:eastAsia="Arial" w:hAnsi="Arial"/>
                <w:sz w:val="17"/>
                <w:szCs w:val="17"/>
                <w:b w:val="1"/>
                <w:bCs w:val="1"/>
                <w:color w:val="auto"/>
              </w:rPr>
              <w:t>ERIC S. ROSENFELD</w:t>
            </w:r>
          </w:p>
        </w:tc>
        <w:tc>
          <w:tcPr>
            <w:tcW w:w="660" w:type="dxa"/>
            <w:vAlign w:val="bottom"/>
            <w:tcBorders>
              <w:top w:val="single" w:sz="8" w:color="231F20"/>
              <w:bottom w:val="single" w:sz="8" w:color="003445"/>
              <w:right w:val="single" w:sz="8" w:color="003445"/>
            </w:tcBorders>
            <w:shd w:val="clear" w:color="auto" w:fill="003445"/>
          </w:tcPr>
          <w:p>
            <w:pPr>
              <w:spacing w:after="0"/>
              <w:rPr>
                <w:sz w:val="24"/>
                <w:szCs w:val="24"/>
                <w:color w:val="auto"/>
              </w:rPr>
            </w:pPr>
          </w:p>
        </w:tc>
        <w:tc>
          <w:tcPr>
            <w:tcW w:w="5780" w:type="dxa"/>
            <w:vAlign w:val="bottom"/>
            <w:tcBorders>
              <w:top w:val="single" w:sz="8" w:color="231F20"/>
              <w:bottom w:val="single" w:sz="8" w:color="003445"/>
            </w:tcBorders>
            <w:gridSpan w:val="6"/>
            <w:shd w:val="clear" w:color="auto" w:fill="003445"/>
          </w:tcPr>
          <w:p>
            <w:pPr>
              <w:ind w:left="1180"/>
              <w:spacing w:after="0"/>
              <w:rPr>
                <w:sz w:val="20"/>
                <w:szCs w:val="20"/>
                <w:color w:val="auto"/>
              </w:rPr>
            </w:pPr>
            <w:r>
              <w:rPr>
                <w:rFonts w:ascii="Arial" w:cs="Arial" w:eastAsia="Arial" w:hAnsi="Arial"/>
                <w:sz w:val="17"/>
                <w:szCs w:val="17"/>
                <w:b w:val="1"/>
                <w:bCs w:val="1"/>
                <w:color w:val="FFFFFF"/>
              </w:rPr>
              <w:t>Biographical Information and Principal Occupation</w:t>
            </w:r>
          </w:p>
        </w:tc>
        <w:tc>
          <w:tcPr>
            <w:tcW w:w="1380" w:type="dxa"/>
            <w:vAlign w:val="bottom"/>
            <w:tcBorders>
              <w:top w:val="single" w:sz="8" w:color="231F20"/>
              <w:bottom w:val="single" w:sz="8" w:color="003445"/>
              <w:right w:val="single" w:sz="8" w:color="231F20"/>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40" w:type="dxa"/>
            <w:vAlign w:val="bottom"/>
            <w:tcBorders>
              <w:top w:val="single" w:sz="8" w:color="231F20"/>
              <w:left w:val="single" w:sz="8" w:color="231F20"/>
            </w:tcBorders>
          </w:tcPr>
          <w:p>
            <w:pPr>
              <w:spacing w:after="0"/>
              <w:rPr>
                <w:sz w:val="20"/>
                <w:szCs w:val="20"/>
                <w:color w:val="auto"/>
              </w:rPr>
            </w:pPr>
          </w:p>
        </w:tc>
        <w:tc>
          <w:tcPr>
            <w:tcW w:w="260" w:type="dxa"/>
            <w:vAlign w:val="bottom"/>
            <w:tcBorders>
              <w:top w:val="single" w:sz="8" w:color="231F20"/>
            </w:tcBorders>
          </w:tcPr>
          <w:p>
            <w:pPr>
              <w:spacing w:after="0"/>
              <w:rPr>
                <w:sz w:val="20"/>
                <w:szCs w:val="20"/>
                <w:color w:val="auto"/>
              </w:rPr>
            </w:pPr>
          </w:p>
        </w:tc>
        <w:tc>
          <w:tcPr>
            <w:tcW w:w="1180" w:type="dxa"/>
            <w:vAlign w:val="bottom"/>
            <w:tcBorders>
              <w:top w:val="single" w:sz="8" w:color="231F20"/>
              <w:right w:val="single" w:sz="8" w:color="auto"/>
            </w:tcBorders>
          </w:tcPr>
          <w:p>
            <w:pPr>
              <w:spacing w:after="0"/>
              <w:rPr>
                <w:sz w:val="20"/>
                <w:szCs w:val="20"/>
                <w:color w:val="auto"/>
              </w:rPr>
            </w:pPr>
          </w:p>
        </w:tc>
        <w:tc>
          <w:tcPr>
            <w:tcW w:w="7820" w:type="dxa"/>
            <w:vAlign w:val="bottom"/>
            <w:tcBorders>
              <w:top w:val="single" w:sz="8" w:color="231F20"/>
              <w:right w:val="single" w:sz="8" w:color="231F20"/>
            </w:tcBorders>
            <w:gridSpan w:val="8"/>
          </w:tcPr>
          <w:p>
            <w:pPr>
              <w:ind w:left="120"/>
              <w:spacing w:after="0"/>
              <w:rPr>
                <w:sz w:val="20"/>
                <w:szCs w:val="20"/>
                <w:color w:val="auto"/>
              </w:rPr>
            </w:pPr>
            <w:r>
              <w:rPr>
                <w:rFonts w:ascii="Arial" w:cs="Arial" w:eastAsia="Arial" w:hAnsi="Arial"/>
                <w:sz w:val="17"/>
                <w:szCs w:val="17"/>
                <w:color w:val="auto"/>
              </w:rPr>
              <w:t>Mr. Rosenfeld has been the president and CEO of Crescendo Partners, L.P., an investment firm,</w:t>
            </w:r>
          </w:p>
        </w:tc>
        <w:tc>
          <w:tcPr>
            <w:tcW w:w="0" w:type="dxa"/>
            <w:vAlign w:val="bottom"/>
          </w:tcPr>
          <w:p>
            <w:pPr>
              <w:spacing w:after="0"/>
              <w:rPr>
                <w:sz w:val="1"/>
                <w:szCs w:val="1"/>
                <w:color w:val="auto"/>
              </w:rPr>
            </w:pPr>
          </w:p>
        </w:tc>
      </w:tr>
      <w:tr>
        <w:trPr>
          <w:trHeight w:val="196"/>
        </w:trPr>
        <w:tc>
          <w:tcPr>
            <w:tcW w:w="1440" w:type="dxa"/>
            <w:vAlign w:val="bottom"/>
            <w:tcBorders>
              <w:left w:val="single" w:sz="8" w:color="231F20"/>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8"/>
          </w:tcPr>
          <w:p>
            <w:pPr>
              <w:ind w:left="120"/>
              <w:spacing w:after="0"/>
              <w:rPr>
                <w:sz w:val="20"/>
                <w:szCs w:val="20"/>
                <w:color w:val="auto"/>
              </w:rPr>
            </w:pPr>
            <w:r>
              <w:rPr>
                <w:rFonts w:ascii="Arial" w:cs="Arial" w:eastAsia="Arial" w:hAnsi="Arial"/>
                <w:sz w:val="17"/>
                <w:szCs w:val="17"/>
                <w:color w:val="auto"/>
              </w:rPr>
              <w:t>since 1998. Mr. Rosenfeld serves as a director of Aecon Group Inc. (TSX:ARE), and Pangaea</w:t>
            </w:r>
          </w:p>
        </w:tc>
        <w:tc>
          <w:tcPr>
            <w:tcW w:w="0" w:type="dxa"/>
            <w:vAlign w:val="bottom"/>
          </w:tcPr>
          <w:p>
            <w:pPr>
              <w:spacing w:after="0"/>
              <w:rPr>
                <w:sz w:val="1"/>
                <w:szCs w:val="1"/>
                <w:color w:val="auto"/>
              </w:rPr>
            </w:pPr>
          </w:p>
        </w:tc>
      </w:tr>
      <w:tr>
        <w:trPr>
          <w:trHeight w:val="196"/>
        </w:trPr>
        <w:tc>
          <w:tcPr>
            <w:tcW w:w="1440" w:type="dxa"/>
            <w:vAlign w:val="bottom"/>
            <w:tcBorders>
              <w:left w:val="single" w:sz="8" w:color="231F20"/>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8"/>
          </w:tcPr>
          <w:p>
            <w:pPr>
              <w:ind w:left="120"/>
              <w:spacing w:after="0"/>
              <w:rPr>
                <w:sz w:val="20"/>
                <w:szCs w:val="20"/>
                <w:color w:val="auto"/>
              </w:rPr>
            </w:pPr>
            <w:r>
              <w:rPr>
                <w:rFonts w:ascii="Arial" w:cs="Arial" w:eastAsia="Arial" w:hAnsi="Arial"/>
                <w:sz w:val="17"/>
                <w:szCs w:val="17"/>
                <w:color w:val="auto"/>
              </w:rPr>
              <w:t>Logistics Solutions (NASDAQ:PANL). Mr. Rosenfeld has also served as the Chief SPAC Officer of</w:t>
            </w:r>
          </w:p>
        </w:tc>
        <w:tc>
          <w:tcPr>
            <w:tcW w:w="0" w:type="dxa"/>
            <w:vAlign w:val="bottom"/>
          </w:tcPr>
          <w:p>
            <w:pPr>
              <w:spacing w:after="0"/>
              <w:rPr>
                <w:sz w:val="1"/>
                <w:szCs w:val="1"/>
                <w:color w:val="auto"/>
              </w:rPr>
            </w:pPr>
          </w:p>
        </w:tc>
      </w:tr>
      <w:tr>
        <w:trPr>
          <w:trHeight w:val="196"/>
        </w:trPr>
        <w:tc>
          <w:tcPr>
            <w:tcW w:w="1440" w:type="dxa"/>
            <w:vAlign w:val="bottom"/>
            <w:tcBorders>
              <w:left w:val="single" w:sz="8" w:color="231F20"/>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8"/>
          </w:tcPr>
          <w:p>
            <w:pPr>
              <w:ind w:left="120"/>
              <w:spacing w:after="0"/>
              <w:rPr>
                <w:sz w:val="20"/>
                <w:szCs w:val="20"/>
                <w:color w:val="auto"/>
              </w:rPr>
            </w:pPr>
            <w:r>
              <w:rPr>
                <w:rFonts w:ascii="Arial" w:cs="Arial" w:eastAsia="Arial" w:hAnsi="Arial"/>
                <w:sz w:val="17"/>
                <w:szCs w:val="17"/>
                <w:color w:val="auto"/>
              </w:rPr>
              <w:t>Legato Merger Corp. and Legato Merger Corp II., blank check corporations that later merged with</w:t>
            </w:r>
          </w:p>
        </w:tc>
        <w:tc>
          <w:tcPr>
            <w:tcW w:w="0" w:type="dxa"/>
            <w:vAlign w:val="bottom"/>
          </w:tcPr>
          <w:p>
            <w:pPr>
              <w:spacing w:after="0"/>
              <w:rPr>
                <w:sz w:val="1"/>
                <w:szCs w:val="1"/>
                <w:color w:val="auto"/>
              </w:rPr>
            </w:pPr>
          </w:p>
        </w:tc>
      </w:tr>
      <w:tr>
        <w:trPr>
          <w:trHeight w:val="196"/>
        </w:trPr>
        <w:tc>
          <w:tcPr>
            <w:tcW w:w="1440" w:type="dxa"/>
            <w:vAlign w:val="bottom"/>
            <w:tcBorders>
              <w:left w:val="single" w:sz="8" w:color="231F20"/>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8"/>
          </w:tcPr>
          <w:p>
            <w:pPr>
              <w:ind w:left="120"/>
              <w:spacing w:after="0"/>
              <w:rPr>
                <w:sz w:val="20"/>
                <w:szCs w:val="20"/>
                <w:color w:val="auto"/>
              </w:rPr>
            </w:pPr>
            <w:r>
              <w:rPr>
                <w:rFonts w:ascii="Arial" w:cs="Arial" w:eastAsia="Arial" w:hAnsi="Arial"/>
                <w:sz w:val="17"/>
                <w:szCs w:val="17"/>
                <w:color w:val="auto"/>
              </w:rPr>
              <w:t>a subsidiary of the Company and Southland Holdings, respectively. Mr. Rosenfeld is currently the</w:t>
            </w:r>
          </w:p>
        </w:tc>
        <w:tc>
          <w:tcPr>
            <w:tcW w:w="0" w:type="dxa"/>
            <w:vAlign w:val="bottom"/>
          </w:tcPr>
          <w:p>
            <w:pPr>
              <w:spacing w:after="0"/>
              <w:rPr>
                <w:sz w:val="1"/>
                <w:szCs w:val="1"/>
                <w:color w:val="auto"/>
              </w:rPr>
            </w:pPr>
          </w:p>
        </w:tc>
      </w:tr>
      <w:tr>
        <w:trPr>
          <w:trHeight w:val="196"/>
        </w:trPr>
        <w:tc>
          <w:tcPr>
            <w:tcW w:w="1440" w:type="dxa"/>
            <w:vAlign w:val="bottom"/>
            <w:tcBorders>
              <w:left w:val="single" w:sz="8" w:color="231F20"/>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8"/>
          </w:tcPr>
          <w:p>
            <w:pPr>
              <w:ind w:left="120"/>
              <w:spacing w:after="0"/>
              <w:rPr>
                <w:sz w:val="20"/>
                <w:szCs w:val="20"/>
                <w:color w:val="auto"/>
              </w:rPr>
            </w:pPr>
            <w:r>
              <w:rPr>
                <w:rFonts w:ascii="Arial" w:cs="Arial" w:eastAsia="Arial" w:hAnsi="Arial"/>
                <w:sz w:val="17"/>
                <w:szCs w:val="17"/>
                <w:color w:val="auto"/>
              </w:rPr>
              <w:t>Chief SPAC Officer of Legato Merger Corp. III and Chief SPAC Officer of Legato Merger Corp. IV,</w:t>
            </w:r>
          </w:p>
        </w:tc>
        <w:tc>
          <w:tcPr>
            <w:tcW w:w="0" w:type="dxa"/>
            <w:vAlign w:val="bottom"/>
          </w:tcPr>
          <w:p>
            <w:pPr>
              <w:spacing w:after="0"/>
              <w:rPr>
                <w:sz w:val="1"/>
                <w:szCs w:val="1"/>
                <w:color w:val="auto"/>
              </w:rPr>
            </w:pPr>
          </w:p>
        </w:tc>
      </w:tr>
      <w:tr>
        <w:trPr>
          <w:trHeight w:val="196"/>
        </w:trPr>
        <w:tc>
          <w:tcPr>
            <w:tcW w:w="1440" w:type="dxa"/>
            <w:vAlign w:val="bottom"/>
            <w:tcBorders>
              <w:left w:val="single" w:sz="8" w:color="231F20"/>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8"/>
          </w:tcPr>
          <w:p>
            <w:pPr>
              <w:ind w:left="120"/>
              <w:spacing w:after="0"/>
              <w:rPr>
                <w:sz w:val="20"/>
                <w:szCs w:val="20"/>
                <w:color w:val="auto"/>
              </w:rPr>
            </w:pPr>
            <w:r>
              <w:rPr>
                <w:rFonts w:ascii="Arial" w:cs="Arial" w:eastAsia="Arial" w:hAnsi="Arial"/>
                <w:sz w:val="17"/>
                <w:szCs w:val="17"/>
                <w:color w:val="auto"/>
              </w:rPr>
              <w:t>both blank check corporations. Mr. Rosenfeld has served on a total of 27 public company boards</w:t>
            </w:r>
          </w:p>
        </w:tc>
        <w:tc>
          <w:tcPr>
            <w:tcW w:w="0" w:type="dxa"/>
            <w:vAlign w:val="bottom"/>
          </w:tcPr>
          <w:p>
            <w:pPr>
              <w:spacing w:after="0"/>
              <w:rPr>
                <w:sz w:val="1"/>
                <w:szCs w:val="1"/>
                <w:color w:val="auto"/>
              </w:rPr>
            </w:pPr>
          </w:p>
        </w:tc>
      </w:tr>
      <w:tr>
        <w:trPr>
          <w:trHeight w:val="196"/>
        </w:trPr>
        <w:tc>
          <w:tcPr>
            <w:tcW w:w="1440" w:type="dxa"/>
            <w:vAlign w:val="bottom"/>
            <w:tcBorders>
              <w:left w:val="single" w:sz="8" w:color="231F20"/>
            </w:tcBorders>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7820" w:type="dxa"/>
            <w:vAlign w:val="bottom"/>
            <w:tcBorders>
              <w:right w:val="single" w:sz="8" w:color="231F20"/>
            </w:tcBorders>
            <w:gridSpan w:val="8"/>
          </w:tcPr>
          <w:p>
            <w:pPr>
              <w:ind w:left="120"/>
              <w:spacing w:after="0"/>
              <w:rPr>
                <w:sz w:val="20"/>
                <w:szCs w:val="20"/>
                <w:color w:val="auto"/>
              </w:rPr>
            </w:pPr>
            <w:r>
              <w:rPr>
                <w:rFonts w:ascii="Arial" w:cs="Arial" w:eastAsia="Arial" w:hAnsi="Arial"/>
                <w:sz w:val="17"/>
                <w:szCs w:val="17"/>
                <w:color w:val="auto"/>
              </w:rPr>
              <w:t>and was a managing director at CIBC Oppenheimer and its predecessor company for 15 years.</w:t>
            </w:r>
          </w:p>
        </w:tc>
        <w:tc>
          <w:tcPr>
            <w:tcW w:w="0" w:type="dxa"/>
            <w:vAlign w:val="bottom"/>
          </w:tcPr>
          <w:p>
            <w:pPr>
              <w:spacing w:after="0"/>
              <w:rPr>
                <w:sz w:val="1"/>
                <w:szCs w:val="1"/>
                <w:color w:val="auto"/>
              </w:rPr>
            </w:pPr>
          </w:p>
        </w:tc>
      </w:tr>
      <w:tr>
        <w:trPr>
          <w:trHeight w:val="230"/>
        </w:trPr>
        <w:tc>
          <w:tcPr>
            <w:tcW w:w="1440" w:type="dxa"/>
            <w:vAlign w:val="bottom"/>
            <w:tcBorders>
              <w:left w:val="single" w:sz="8" w:color="231F20"/>
            </w:tcBorders>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7820" w:type="dxa"/>
            <w:vAlign w:val="bottom"/>
            <w:tcBorders>
              <w:right w:val="single" w:sz="8" w:color="231F20"/>
            </w:tcBorders>
            <w:gridSpan w:val="8"/>
          </w:tcPr>
          <w:p>
            <w:pPr>
              <w:ind w:left="120"/>
              <w:spacing w:after="0"/>
              <w:rPr>
                <w:sz w:val="20"/>
                <w:szCs w:val="20"/>
                <w:color w:val="auto"/>
              </w:rPr>
            </w:pPr>
            <w:r>
              <w:rPr>
                <w:rFonts w:ascii="Arial" w:cs="Arial" w:eastAsia="Arial" w:hAnsi="Arial"/>
                <w:sz w:val="17"/>
                <w:szCs w:val="17"/>
                <w:color w:val="auto"/>
              </w:rPr>
              <w:t>Mr. Rosenfeld holds an MBA from Harvard Business School and a BS from Brown University.</w:t>
            </w:r>
          </w:p>
        </w:tc>
        <w:tc>
          <w:tcPr>
            <w:tcW w:w="0" w:type="dxa"/>
            <w:vAlign w:val="bottom"/>
          </w:tcPr>
          <w:p>
            <w:pPr>
              <w:spacing w:after="0"/>
              <w:rPr>
                <w:sz w:val="1"/>
                <w:szCs w:val="1"/>
                <w:color w:val="auto"/>
              </w:rPr>
            </w:pPr>
          </w:p>
        </w:tc>
      </w:tr>
      <w:tr>
        <w:trPr>
          <w:trHeight w:val="1385"/>
        </w:trPr>
        <w:tc>
          <w:tcPr>
            <w:tcW w:w="1440" w:type="dxa"/>
            <w:vAlign w:val="bottom"/>
            <w:tcBorders>
              <w:left w:val="single" w:sz="8" w:color="231F20"/>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440" w:type="dxa"/>
            <w:vAlign w:val="bottom"/>
            <w:tcBorders>
              <w:left w:val="single" w:sz="8" w:color="231F20"/>
            </w:tcBorders>
          </w:tcPr>
          <w:p>
            <w:pPr>
              <w:ind w:left="160"/>
              <w:spacing w:after="0"/>
              <w:rPr>
                <w:sz w:val="20"/>
                <w:szCs w:val="20"/>
                <w:color w:val="auto"/>
              </w:rPr>
            </w:pPr>
            <w:r>
              <w:rPr>
                <w:rFonts w:ascii="Arial" w:cs="Arial" w:eastAsia="Arial" w:hAnsi="Arial"/>
                <w:sz w:val="17"/>
                <w:szCs w:val="17"/>
                <w:color w:val="auto"/>
              </w:rPr>
              <w:t>Age: 68</w:t>
            </w:r>
          </w:p>
        </w:tc>
        <w:tc>
          <w:tcPr>
            <w:tcW w:w="260" w:type="dxa"/>
            <w:vAlign w:val="bottom"/>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6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880" w:type="dxa"/>
            <w:vAlign w:val="bottom"/>
            <w:tcBorders>
              <w:left w:val="single" w:sz="8" w:color="231F20"/>
              <w:right w:val="single" w:sz="8" w:color="auto"/>
            </w:tcBorders>
            <w:gridSpan w:val="3"/>
          </w:tcPr>
          <w:p>
            <w:pPr>
              <w:ind w:left="160"/>
              <w:spacing w:after="0"/>
              <w:rPr>
                <w:sz w:val="20"/>
                <w:szCs w:val="20"/>
                <w:color w:val="auto"/>
              </w:rPr>
            </w:pPr>
            <w:r>
              <w:rPr>
                <w:rFonts w:ascii="Arial" w:cs="Arial" w:eastAsia="Arial" w:hAnsi="Arial"/>
                <w:sz w:val="17"/>
                <w:szCs w:val="17"/>
                <w:color w:val="auto"/>
              </w:rPr>
              <w:t>Location: New York, New York,</w:t>
            </w:r>
          </w:p>
        </w:tc>
        <w:tc>
          <w:tcPr>
            <w:tcW w:w="6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Borders>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231F20"/>
            </w:tcBorders>
          </w:tcPr>
          <w:p>
            <w:pPr>
              <w:ind w:left="160"/>
              <w:spacing w:after="0"/>
              <w:rPr>
                <w:sz w:val="20"/>
                <w:szCs w:val="20"/>
                <w:color w:val="auto"/>
              </w:rPr>
            </w:pPr>
            <w:r>
              <w:rPr>
                <w:rFonts w:ascii="Arial" w:cs="Arial" w:eastAsia="Arial" w:hAnsi="Arial"/>
                <w:sz w:val="17"/>
                <w:szCs w:val="17"/>
                <w:color w:val="auto"/>
              </w:rPr>
              <w:t>United States</w:t>
            </w:r>
          </w:p>
        </w:tc>
        <w:tc>
          <w:tcPr>
            <w:tcW w:w="2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880" w:type="dxa"/>
            <w:vAlign w:val="bottom"/>
            <w:tcBorders>
              <w:left w:val="single" w:sz="8" w:color="231F20"/>
              <w:right w:val="single" w:sz="8" w:color="auto"/>
            </w:tcBorders>
            <w:gridSpan w:val="3"/>
          </w:tcPr>
          <w:p>
            <w:pPr>
              <w:ind w:left="160"/>
              <w:spacing w:after="0"/>
              <w:rPr>
                <w:sz w:val="20"/>
                <w:szCs w:val="20"/>
                <w:color w:val="auto"/>
              </w:rPr>
            </w:pPr>
            <w:r>
              <w:rPr>
                <w:rFonts w:ascii="Arial" w:cs="Arial" w:eastAsia="Arial" w:hAnsi="Arial"/>
                <w:sz w:val="17"/>
                <w:szCs w:val="17"/>
                <w:color w:val="auto"/>
              </w:rPr>
              <w:t>Director Since: October 2021</w:t>
            </w:r>
          </w:p>
        </w:tc>
        <w:tc>
          <w:tcPr>
            <w:tcW w:w="6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1700" w:type="dxa"/>
            <w:vAlign w:val="bottom"/>
            <w:tcBorders>
              <w:left w:val="single" w:sz="8" w:color="231F20"/>
              <w:bottom w:val="single" w:sz="8" w:color="231F20"/>
            </w:tcBorders>
            <w:gridSpan w:val="2"/>
          </w:tcPr>
          <w:p>
            <w:pPr>
              <w:spacing w:after="0"/>
              <w:rPr>
                <w:sz w:val="5"/>
                <w:szCs w:val="5"/>
                <w:color w:val="auto"/>
              </w:rPr>
            </w:pPr>
          </w:p>
        </w:tc>
        <w:tc>
          <w:tcPr>
            <w:tcW w:w="1180" w:type="dxa"/>
            <w:vAlign w:val="bottom"/>
            <w:tcBorders>
              <w:bottom w:val="single" w:sz="8" w:color="231F20"/>
              <w:right w:val="single" w:sz="8" w:color="auto"/>
            </w:tcBorders>
          </w:tcPr>
          <w:p>
            <w:pPr>
              <w:spacing w:after="0"/>
              <w:rPr>
                <w:sz w:val="5"/>
                <w:szCs w:val="5"/>
                <w:color w:val="auto"/>
              </w:rPr>
            </w:pPr>
          </w:p>
        </w:tc>
        <w:tc>
          <w:tcPr>
            <w:tcW w:w="660" w:type="dxa"/>
            <w:vAlign w:val="bottom"/>
            <w:tcBorders>
              <w:bottom w:val="single" w:sz="8" w:color="231F20"/>
            </w:tcBorders>
          </w:tcPr>
          <w:p>
            <w:pPr>
              <w:spacing w:after="0"/>
              <w:rPr>
                <w:sz w:val="5"/>
                <w:szCs w:val="5"/>
                <w:color w:val="auto"/>
              </w:rPr>
            </w:pPr>
          </w:p>
        </w:tc>
        <w:tc>
          <w:tcPr>
            <w:tcW w:w="1400" w:type="dxa"/>
            <w:vAlign w:val="bottom"/>
            <w:tcBorders>
              <w:bottom w:val="single" w:sz="8" w:color="231F20"/>
            </w:tcBorders>
          </w:tcPr>
          <w:p>
            <w:pPr>
              <w:spacing w:after="0"/>
              <w:rPr>
                <w:sz w:val="5"/>
                <w:szCs w:val="5"/>
                <w:color w:val="auto"/>
              </w:rPr>
            </w:pPr>
          </w:p>
        </w:tc>
        <w:tc>
          <w:tcPr>
            <w:tcW w:w="420" w:type="dxa"/>
            <w:vAlign w:val="bottom"/>
            <w:tcBorders>
              <w:bottom w:val="single" w:sz="8" w:color="231F20"/>
            </w:tcBorders>
          </w:tcPr>
          <w:p>
            <w:pPr>
              <w:spacing w:after="0"/>
              <w:rPr>
                <w:sz w:val="5"/>
                <w:szCs w:val="5"/>
                <w:color w:val="auto"/>
              </w:rPr>
            </w:pPr>
          </w:p>
        </w:tc>
        <w:tc>
          <w:tcPr>
            <w:tcW w:w="1820" w:type="dxa"/>
            <w:vAlign w:val="bottom"/>
            <w:tcBorders>
              <w:bottom w:val="single" w:sz="8" w:color="231F20"/>
            </w:tcBorders>
          </w:tcPr>
          <w:p>
            <w:pPr>
              <w:spacing w:after="0"/>
              <w:rPr>
                <w:sz w:val="5"/>
                <w:szCs w:val="5"/>
                <w:color w:val="auto"/>
              </w:rPr>
            </w:pPr>
          </w:p>
        </w:tc>
        <w:tc>
          <w:tcPr>
            <w:tcW w:w="120" w:type="dxa"/>
            <w:vAlign w:val="bottom"/>
            <w:tcBorders>
              <w:bottom w:val="single" w:sz="8" w:color="231F20"/>
            </w:tcBorders>
          </w:tcPr>
          <w:p>
            <w:pPr>
              <w:spacing w:after="0"/>
              <w:rPr>
                <w:sz w:val="5"/>
                <w:szCs w:val="5"/>
                <w:color w:val="auto"/>
              </w:rPr>
            </w:pPr>
          </w:p>
        </w:tc>
        <w:tc>
          <w:tcPr>
            <w:tcW w:w="1700" w:type="dxa"/>
            <w:vAlign w:val="bottom"/>
            <w:tcBorders>
              <w:bottom w:val="single" w:sz="8" w:color="231F20"/>
            </w:tcBorders>
          </w:tcPr>
          <w:p>
            <w:pPr>
              <w:spacing w:after="0"/>
              <w:rPr>
                <w:sz w:val="5"/>
                <w:szCs w:val="5"/>
                <w:color w:val="auto"/>
              </w:rPr>
            </w:pPr>
          </w:p>
        </w:tc>
        <w:tc>
          <w:tcPr>
            <w:tcW w:w="320" w:type="dxa"/>
            <w:vAlign w:val="bottom"/>
            <w:tcBorders>
              <w:bottom w:val="single" w:sz="8" w:color="231F20"/>
            </w:tcBorders>
          </w:tcPr>
          <w:p>
            <w:pPr>
              <w:spacing w:after="0"/>
              <w:rPr>
                <w:sz w:val="5"/>
                <w:szCs w:val="5"/>
                <w:color w:val="auto"/>
              </w:rPr>
            </w:pPr>
          </w:p>
        </w:tc>
        <w:tc>
          <w:tcPr>
            <w:tcW w:w="138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2880" w:type="dxa"/>
            <w:vAlign w:val="bottom"/>
            <w:tcBorders>
              <w:left w:val="single" w:sz="8" w:color="231F20"/>
              <w:right w:val="single" w:sz="8" w:color="231F20"/>
            </w:tcBorders>
            <w:gridSpan w:val="3"/>
          </w:tcPr>
          <w:p>
            <w:pPr>
              <w:ind w:left="160"/>
              <w:spacing w:after="0"/>
              <w:rPr>
                <w:sz w:val="20"/>
                <w:szCs w:val="20"/>
                <w:color w:val="auto"/>
              </w:rPr>
            </w:pPr>
            <w:r>
              <w:rPr>
                <w:rFonts w:ascii="Arial" w:cs="Arial" w:eastAsia="Arial" w:hAnsi="Arial"/>
                <w:sz w:val="17"/>
                <w:szCs w:val="17"/>
                <w:color w:val="auto"/>
              </w:rPr>
              <w:t xml:space="preserve">Status: </w:t>
            </w:r>
            <w:r>
              <w:rPr>
                <w:rFonts w:ascii="Arial" w:cs="Arial" w:eastAsia="Arial" w:hAnsi="Arial"/>
                <w:sz w:val="17"/>
                <w:szCs w:val="17"/>
                <w:b w:val="1"/>
                <w:bCs w:val="1"/>
                <w:color w:val="auto"/>
              </w:rPr>
              <w:t>INDEPENDENT</w:t>
            </w:r>
          </w:p>
        </w:tc>
        <w:tc>
          <w:tcPr>
            <w:tcW w:w="660" w:type="dxa"/>
            <w:vAlign w:val="bottom"/>
            <w:tcBorders>
              <w:bottom w:val="single" w:sz="8" w:color="003445"/>
              <w:right w:val="single" w:sz="8" w:color="003445"/>
            </w:tcBorders>
            <w:shd w:val="clear" w:color="auto" w:fill="003445"/>
          </w:tcPr>
          <w:p>
            <w:pPr>
              <w:spacing w:after="0"/>
              <w:rPr>
                <w:sz w:val="24"/>
                <w:szCs w:val="24"/>
                <w:color w:val="auto"/>
              </w:rPr>
            </w:pPr>
          </w:p>
        </w:tc>
        <w:tc>
          <w:tcPr>
            <w:tcW w:w="1400" w:type="dxa"/>
            <w:vAlign w:val="bottom"/>
            <w:tcBorders>
              <w:bottom w:val="single" w:sz="8" w:color="003445"/>
              <w:right w:val="single" w:sz="8" w:color="003445"/>
            </w:tcBorders>
            <w:shd w:val="clear" w:color="auto" w:fill="003445"/>
          </w:tcPr>
          <w:p>
            <w:pPr>
              <w:spacing w:after="0"/>
              <w:rPr>
                <w:sz w:val="24"/>
                <w:szCs w:val="24"/>
                <w:color w:val="auto"/>
              </w:rPr>
            </w:pPr>
          </w:p>
        </w:tc>
        <w:tc>
          <w:tcPr>
            <w:tcW w:w="420" w:type="dxa"/>
            <w:vAlign w:val="bottom"/>
            <w:tcBorders>
              <w:bottom w:val="single" w:sz="8" w:color="003445"/>
              <w:right w:val="single" w:sz="8" w:color="003445"/>
            </w:tcBorders>
            <w:shd w:val="clear" w:color="auto" w:fill="003445"/>
          </w:tcPr>
          <w:p>
            <w:pPr>
              <w:spacing w:after="0"/>
              <w:rPr>
                <w:sz w:val="24"/>
                <w:szCs w:val="24"/>
                <w:color w:val="auto"/>
              </w:rPr>
            </w:pPr>
          </w:p>
        </w:tc>
        <w:tc>
          <w:tcPr>
            <w:tcW w:w="3960" w:type="dxa"/>
            <w:vAlign w:val="bottom"/>
            <w:tcBorders>
              <w:bottom w:val="single" w:sz="8" w:color="003445"/>
            </w:tcBorders>
            <w:gridSpan w:val="4"/>
            <w:shd w:val="clear" w:color="auto" w:fill="003445"/>
          </w:tcPr>
          <w:p>
            <w:pPr>
              <w:ind w:left="80"/>
              <w:spacing w:after="0"/>
              <w:rPr>
                <w:sz w:val="20"/>
                <w:szCs w:val="20"/>
                <w:color w:val="auto"/>
              </w:rPr>
            </w:pPr>
            <w:r>
              <w:rPr>
                <w:rFonts w:ascii="Arial" w:cs="Arial" w:eastAsia="Arial" w:hAnsi="Arial"/>
                <w:sz w:val="17"/>
                <w:szCs w:val="17"/>
                <w:b w:val="1"/>
                <w:bCs w:val="1"/>
                <w:color w:val="FFFFFF"/>
              </w:rPr>
              <w:t>Other Public Board Memberships</w:t>
            </w:r>
          </w:p>
        </w:tc>
        <w:tc>
          <w:tcPr>
            <w:tcW w:w="1380" w:type="dxa"/>
            <w:vAlign w:val="bottom"/>
            <w:tcBorders>
              <w:bottom w:val="single" w:sz="8" w:color="003445"/>
              <w:right w:val="single" w:sz="8" w:color="231F20"/>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40" w:type="dxa"/>
            <w:vAlign w:val="bottom"/>
            <w:tcBorders>
              <w:top w:val="single" w:sz="8" w:color="231F20"/>
              <w:left w:val="single" w:sz="8" w:color="231F20"/>
            </w:tcBorders>
          </w:tcPr>
          <w:p>
            <w:pPr>
              <w:spacing w:after="0"/>
              <w:rPr>
                <w:sz w:val="20"/>
                <w:szCs w:val="20"/>
                <w:color w:val="auto"/>
              </w:rPr>
            </w:pPr>
          </w:p>
        </w:tc>
        <w:tc>
          <w:tcPr>
            <w:tcW w:w="260" w:type="dxa"/>
            <w:vAlign w:val="bottom"/>
            <w:tcBorders>
              <w:top w:val="single" w:sz="8" w:color="231F20"/>
            </w:tcBorders>
          </w:tcPr>
          <w:p>
            <w:pPr>
              <w:spacing w:after="0"/>
              <w:rPr>
                <w:sz w:val="20"/>
                <w:szCs w:val="20"/>
                <w:color w:val="auto"/>
              </w:rPr>
            </w:pPr>
          </w:p>
        </w:tc>
        <w:tc>
          <w:tcPr>
            <w:tcW w:w="1180" w:type="dxa"/>
            <w:vAlign w:val="bottom"/>
            <w:tcBorders>
              <w:top w:val="single" w:sz="8" w:color="231F20"/>
              <w:right w:val="single" w:sz="8" w:color="231F20"/>
            </w:tcBorders>
          </w:tcPr>
          <w:p>
            <w:pPr>
              <w:spacing w:after="0"/>
              <w:rPr>
                <w:sz w:val="20"/>
                <w:szCs w:val="20"/>
                <w:color w:val="auto"/>
              </w:rPr>
            </w:pPr>
          </w:p>
        </w:tc>
        <w:tc>
          <w:tcPr>
            <w:tcW w:w="4420" w:type="dxa"/>
            <w:vAlign w:val="bottom"/>
            <w:tcBorders>
              <w:top w:val="single" w:sz="8" w:color="231F20"/>
            </w:tcBorders>
            <w:gridSpan w:val="5"/>
          </w:tcPr>
          <w:p>
            <w:pPr>
              <w:ind w:left="120"/>
              <w:spacing w:after="0"/>
              <w:rPr>
                <w:sz w:val="20"/>
                <w:szCs w:val="20"/>
                <w:color w:val="auto"/>
              </w:rPr>
            </w:pPr>
            <w:r>
              <w:rPr>
                <w:rFonts w:ascii="Arial" w:cs="Arial" w:eastAsia="Arial" w:hAnsi="Arial"/>
                <w:sz w:val="19"/>
                <w:szCs w:val="19"/>
                <w:color w:val="auto"/>
              </w:rPr>
              <w:t>Pangaea Logistics Solutions Ltd.</w:t>
            </w:r>
          </w:p>
        </w:tc>
        <w:tc>
          <w:tcPr>
            <w:tcW w:w="1700" w:type="dxa"/>
            <w:vAlign w:val="bottom"/>
            <w:tcBorders>
              <w:top w:val="single" w:sz="8" w:color="231F20"/>
            </w:tcBorders>
          </w:tcPr>
          <w:p>
            <w:pPr>
              <w:spacing w:after="0"/>
              <w:rPr>
                <w:sz w:val="20"/>
                <w:szCs w:val="20"/>
                <w:color w:val="auto"/>
              </w:rPr>
            </w:pPr>
          </w:p>
        </w:tc>
        <w:tc>
          <w:tcPr>
            <w:tcW w:w="320" w:type="dxa"/>
            <w:vAlign w:val="bottom"/>
            <w:tcBorders>
              <w:top w:val="single" w:sz="8" w:color="231F20"/>
            </w:tcBorders>
          </w:tcPr>
          <w:p>
            <w:pPr>
              <w:spacing w:after="0"/>
              <w:rPr>
                <w:sz w:val="20"/>
                <w:szCs w:val="20"/>
                <w:color w:val="auto"/>
              </w:rPr>
            </w:pPr>
          </w:p>
        </w:tc>
        <w:tc>
          <w:tcPr>
            <w:tcW w:w="1380" w:type="dxa"/>
            <w:vAlign w:val="bottom"/>
            <w:tcBorders>
              <w:top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1440" w:type="dxa"/>
            <w:vAlign w:val="bottom"/>
            <w:tcBorders>
              <w:left w:val="single" w:sz="8" w:color="231F20"/>
              <w:bottom w:val="single" w:sz="8" w:color="231F20"/>
            </w:tcBorders>
          </w:tcPr>
          <w:p>
            <w:pPr>
              <w:spacing w:after="0"/>
              <w:rPr>
                <w:sz w:val="19"/>
                <w:szCs w:val="19"/>
                <w:color w:val="auto"/>
              </w:rPr>
            </w:pPr>
          </w:p>
        </w:tc>
        <w:tc>
          <w:tcPr>
            <w:tcW w:w="260" w:type="dxa"/>
            <w:vAlign w:val="bottom"/>
            <w:tcBorders>
              <w:bottom w:val="single" w:sz="8" w:color="231F20"/>
            </w:tcBorders>
          </w:tcPr>
          <w:p>
            <w:pPr>
              <w:spacing w:after="0"/>
              <w:rPr>
                <w:sz w:val="19"/>
                <w:szCs w:val="19"/>
                <w:color w:val="auto"/>
              </w:rPr>
            </w:pPr>
          </w:p>
        </w:tc>
        <w:tc>
          <w:tcPr>
            <w:tcW w:w="1180" w:type="dxa"/>
            <w:vAlign w:val="bottom"/>
            <w:tcBorders>
              <w:bottom w:val="single" w:sz="8" w:color="231F20"/>
              <w:right w:val="single" w:sz="8" w:color="231F20"/>
            </w:tcBorders>
          </w:tcPr>
          <w:p>
            <w:pPr>
              <w:spacing w:after="0"/>
              <w:rPr>
                <w:sz w:val="19"/>
                <w:szCs w:val="19"/>
                <w:color w:val="auto"/>
              </w:rPr>
            </w:pPr>
          </w:p>
        </w:tc>
        <w:tc>
          <w:tcPr>
            <w:tcW w:w="2060" w:type="dxa"/>
            <w:vAlign w:val="bottom"/>
            <w:tcBorders>
              <w:bottom w:val="single" w:sz="8" w:color="231F20"/>
            </w:tcBorders>
            <w:gridSpan w:val="2"/>
          </w:tcPr>
          <w:p>
            <w:pPr>
              <w:ind w:left="120"/>
              <w:spacing w:after="0"/>
              <w:rPr>
                <w:sz w:val="20"/>
                <w:szCs w:val="20"/>
                <w:color w:val="auto"/>
              </w:rPr>
            </w:pPr>
            <w:r>
              <w:rPr>
                <w:rFonts w:ascii="Arial" w:cs="Arial" w:eastAsia="Arial" w:hAnsi="Arial"/>
                <w:sz w:val="17"/>
                <w:szCs w:val="17"/>
                <w:color w:val="auto"/>
              </w:rPr>
              <w:t>Aecon Group Inc.</w:t>
            </w:r>
          </w:p>
        </w:tc>
        <w:tc>
          <w:tcPr>
            <w:tcW w:w="420" w:type="dxa"/>
            <w:vAlign w:val="bottom"/>
            <w:tcBorders>
              <w:bottom w:val="single" w:sz="8" w:color="231F20"/>
            </w:tcBorders>
          </w:tcPr>
          <w:p>
            <w:pPr>
              <w:spacing w:after="0"/>
              <w:rPr>
                <w:sz w:val="19"/>
                <w:szCs w:val="19"/>
                <w:color w:val="auto"/>
              </w:rPr>
            </w:pPr>
          </w:p>
        </w:tc>
        <w:tc>
          <w:tcPr>
            <w:tcW w:w="1820" w:type="dxa"/>
            <w:vAlign w:val="bottom"/>
            <w:tcBorders>
              <w:bottom w:val="single" w:sz="8" w:color="231F20"/>
            </w:tcBorders>
          </w:tcPr>
          <w:p>
            <w:pPr>
              <w:spacing w:after="0"/>
              <w:rPr>
                <w:sz w:val="19"/>
                <w:szCs w:val="19"/>
                <w:color w:val="auto"/>
              </w:rPr>
            </w:pPr>
          </w:p>
        </w:tc>
        <w:tc>
          <w:tcPr>
            <w:tcW w:w="120" w:type="dxa"/>
            <w:vAlign w:val="bottom"/>
            <w:tcBorders>
              <w:bottom w:val="single" w:sz="8" w:color="231F20"/>
            </w:tcBorders>
          </w:tcPr>
          <w:p>
            <w:pPr>
              <w:spacing w:after="0"/>
              <w:rPr>
                <w:sz w:val="19"/>
                <w:szCs w:val="19"/>
                <w:color w:val="auto"/>
              </w:rPr>
            </w:pPr>
          </w:p>
        </w:tc>
        <w:tc>
          <w:tcPr>
            <w:tcW w:w="1700" w:type="dxa"/>
            <w:vAlign w:val="bottom"/>
            <w:tcBorders>
              <w:bottom w:val="single" w:sz="8" w:color="231F20"/>
            </w:tcBorders>
          </w:tcPr>
          <w:p>
            <w:pPr>
              <w:spacing w:after="0"/>
              <w:rPr>
                <w:sz w:val="19"/>
                <w:szCs w:val="19"/>
                <w:color w:val="auto"/>
              </w:rPr>
            </w:pPr>
          </w:p>
        </w:tc>
        <w:tc>
          <w:tcPr>
            <w:tcW w:w="320" w:type="dxa"/>
            <w:vAlign w:val="bottom"/>
            <w:tcBorders>
              <w:bottom w:val="single" w:sz="8" w:color="231F20"/>
            </w:tcBorders>
          </w:tcPr>
          <w:p>
            <w:pPr>
              <w:spacing w:after="0"/>
              <w:rPr>
                <w:sz w:val="19"/>
                <w:szCs w:val="19"/>
                <w:color w:val="auto"/>
              </w:rPr>
            </w:pPr>
          </w:p>
        </w:tc>
        <w:tc>
          <w:tcPr>
            <w:tcW w:w="1380" w:type="dxa"/>
            <w:vAlign w:val="bottom"/>
            <w:tcBorders>
              <w:bottom w:val="single" w:sz="8" w:color="231F20"/>
              <w:right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440" w:type="dxa"/>
            <w:vAlign w:val="bottom"/>
            <w:tcBorders>
              <w:left w:val="single" w:sz="8" w:color="231F20"/>
            </w:tcBorders>
            <w:shd w:val="clear" w:color="auto" w:fill="003445"/>
          </w:tcPr>
          <w:p>
            <w:pPr>
              <w:spacing w:after="0"/>
              <w:rPr>
                <w:sz w:val="18"/>
                <w:szCs w:val="18"/>
                <w:color w:val="auto"/>
              </w:rPr>
            </w:pPr>
          </w:p>
        </w:tc>
        <w:tc>
          <w:tcPr>
            <w:tcW w:w="260" w:type="dxa"/>
            <w:vAlign w:val="bottom"/>
            <w:tcBorders>
              <w:right w:val="single" w:sz="8" w:color="003445"/>
            </w:tcBorders>
            <w:shd w:val="clear" w:color="auto" w:fill="003445"/>
          </w:tcPr>
          <w:p>
            <w:pPr>
              <w:spacing w:after="0"/>
              <w:rPr>
                <w:sz w:val="18"/>
                <w:szCs w:val="18"/>
                <w:color w:val="auto"/>
              </w:rPr>
            </w:pPr>
          </w:p>
        </w:tc>
        <w:tc>
          <w:tcPr>
            <w:tcW w:w="1180" w:type="dxa"/>
            <w:vAlign w:val="bottom"/>
            <w:tcBorders>
              <w:right w:val="single" w:sz="8" w:color="003445"/>
            </w:tcBorders>
            <w:shd w:val="clear" w:color="auto" w:fill="003445"/>
          </w:tcPr>
          <w:p>
            <w:pPr>
              <w:spacing w:after="0"/>
              <w:rPr>
                <w:sz w:val="18"/>
                <w:szCs w:val="18"/>
                <w:color w:val="auto"/>
              </w:rPr>
            </w:pPr>
          </w:p>
        </w:tc>
        <w:tc>
          <w:tcPr>
            <w:tcW w:w="660" w:type="dxa"/>
            <w:vAlign w:val="bottom"/>
            <w:tcBorders>
              <w:right w:val="single" w:sz="8" w:color="003445"/>
            </w:tcBorders>
            <w:shd w:val="clear" w:color="auto" w:fill="003445"/>
          </w:tcPr>
          <w:p>
            <w:pPr>
              <w:spacing w:after="0"/>
              <w:rPr>
                <w:sz w:val="18"/>
                <w:szCs w:val="18"/>
                <w:color w:val="auto"/>
              </w:rPr>
            </w:pPr>
          </w:p>
        </w:tc>
        <w:tc>
          <w:tcPr>
            <w:tcW w:w="1400" w:type="dxa"/>
            <w:vAlign w:val="bottom"/>
            <w:tcBorders>
              <w:right w:val="single" w:sz="8" w:color="231F20"/>
            </w:tcBorders>
            <w:shd w:val="clear" w:color="auto" w:fill="003445"/>
          </w:tcPr>
          <w:p>
            <w:pPr>
              <w:spacing w:after="0"/>
              <w:rPr>
                <w:sz w:val="18"/>
                <w:szCs w:val="18"/>
                <w:color w:val="auto"/>
              </w:rPr>
            </w:pPr>
          </w:p>
        </w:tc>
        <w:tc>
          <w:tcPr>
            <w:tcW w:w="420" w:type="dxa"/>
            <w:vAlign w:val="bottom"/>
            <w:tcBorders>
              <w:right w:val="single" w:sz="8" w:color="003445"/>
            </w:tcBorders>
            <w:shd w:val="clear" w:color="auto" w:fill="003445"/>
          </w:tcPr>
          <w:p>
            <w:pPr>
              <w:spacing w:after="0"/>
              <w:rPr>
                <w:sz w:val="18"/>
                <w:szCs w:val="18"/>
                <w:color w:val="auto"/>
              </w:rPr>
            </w:pPr>
          </w:p>
        </w:tc>
        <w:tc>
          <w:tcPr>
            <w:tcW w:w="1940" w:type="dxa"/>
            <w:vAlign w:val="bottom"/>
            <w:tcBorders>
              <w:right w:val="single" w:sz="8" w:color="231F20"/>
            </w:tcBorders>
            <w:gridSpan w:val="2"/>
            <w:shd w:val="clear" w:color="auto" w:fill="003445"/>
          </w:tcPr>
          <w:p>
            <w:pPr>
              <w:ind w:left="160"/>
              <w:spacing w:after="0"/>
              <w:rPr>
                <w:sz w:val="20"/>
                <w:szCs w:val="20"/>
                <w:color w:val="auto"/>
              </w:rPr>
            </w:pPr>
            <w:r>
              <w:rPr>
                <w:rFonts w:ascii="Arial" w:cs="Arial" w:eastAsia="Arial" w:hAnsi="Arial"/>
                <w:sz w:val="19"/>
                <w:szCs w:val="19"/>
                <w:b w:val="1"/>
                <w:bCs w:val="1"/>
                <w:color w:val="FFFFFF"/>
              </w:rPr>
              <w:t>Attendance at</w:t>
            </w:r>
          </w:p>
        </w:tc>
        <w:tc>
          <w:tcPr>
            <w:tcW w:w="3400" w:type="dxa"/>
            <w:vAlign w:val="bottom"/>
            <w:tcBorders>
              <w:right w:val="single" w:sz="8" w:color="231F20"/>
            </w:tcBorders>
            <w:gridSpan w:val="3"/>
            <w:vMerge w:val="restart"/>
            <w:shd w:val="clear" w:color="auto" w:fill="003445"/>
          </w:tcPr>
          <w:p>
            <w:pPr>
              <w:ind w:left="240"/>
              <w:spacing w:after="0"/>
              <w:rPr>
                <w:sz w:val="20"/>
                <w:szCs w:val="20"/>
                <w:color w:val="auto"/>
              </w:rPr>
            </w:pPr>
            <w:r>
              <w:rPr>
                <w:rFonts w:ascii="Arial" w:cs="Arial" w:eastAsia="Arial" w:hAnsi="Arial"/>
                <w:sz w:val="19"/>
                <w:szCs w:val="19"/>
                <w:b w:val="1"/>
                <w:bCs w:val="1"/>
                <w:color w:val="FFFFFF"/>
              </w:rPr>
              <w:t xml:space="preserve">         Overall Attendance       </w:t>
            </w:r>
          </w:p>
        </w:tc>
        <w:tc>
          <w:tcPr>
            <w:tcW w:w="0" w:type="dxa"/>
            <w:vAlign w:val="bottom"/>
          </w:tcPr>
          <w:p>
            <w:pPr>
              <w:spacing w:after="0"/>
              <w:rPr>
                <w:sz w:val="1"/>
                <w:szCs w:val="1"/>
                <w:color w:val="auto"/>
              </w:rPr>
            </w:pPr>
          </w:p>
        </w:tc>
      </w:tr>
      <w:tr>
        <w:trPr>
          <w:trHeight w:val="210"/>
        </w:trPr>
        <w:tc>
          <w:tcPr>
            <w:tcW w:w="1440" w:type="dxa"/>
            <w:vAlign w:val="bottom"/>
            <w:tcBorders>
              <w:left w:val="single" w:sz="8" w:color="231F20"/>
            </w:tcBorders>
            <w:shd w:val="clear" w:color="auto" w:fill="003445"/>
          </w:tcPr>
          <w:p>
            <w:pPr>
              <w:spacing w:after="0"/>
              <w:rPr>
                <w:sz w:val="18"/>
                <w:szCs w:val="18"/>
                <w:color w:val="auto"/>
              </w:rPr>
            </w:pPr>
          </w:p>
        </w:tc>
        <w:tc>
          <w:tcPr>
            <w:tcW w:w="260" w:type="dxa"/>
            <w:vAlign w:val="bottom"/>
            <w:tcBorders>
              <w:right w:val="single" w:sz="8" w:color="003445"/>
            </w:tcBorders>
            <w:shd w:val="clear" w:color="auto" w:fill="003445"/>
          </w:tcPr>
          <w:p>
            <w:pPr>
              <w:spacing w:after="0"/>
              <w:rPr>
                <w:sz w:val="18"/>
                <w:szCs w:val="18"/>
                <w:color w:val="auto"/>
              </w:rPr>
            </w:pPr>
          </w:p>
        </w:tc>
        <w:tc>
          <w:tcPr>
            <w:tcW w:w="1180" w:type="dxa"/>
            <w:vAlign w:val="bottom"/>
            <w:tcBorders>
              <w:right w:val="single" w:sz="8" w:color="003445"/>
            </w:tcBorders>
            <w:shd w:val="clear" w:color="auto" w:fill="003445"/>
          </w:tcPr>
          <w:p>
            <w:pPr>
              <w:spacing w:after="0"/>
              <w:rPr>
                <w:sz w:val="18"/>
                <w:szCs w:val="18"/>
                <w:color w:val="auto"/>
              </w:rPr>
            </w:pPr>
          </w:p>
        </w:tc>
        <w:tc>
          <w:tcPr>
            <w:tcW w:w="660" w:type="dxa"/>
            <w:vAlign w:val="bottom"/>
            <w:tcBorders>
              <w:right w:val="single" w:sz="8" w:color="003445"/>
            </w:tcBorders>
            <w:shd w:val="clear" w:color="auto" w:fill="003445"/>
          </w:tcPr>
          <w:p>
            <w:pPr>
              <w:spacing w:after="0"/>
              <w:rPr>
                <w:sz w:val="18"/>
                <w:szCs w:val="18"/>
                <w:color w:val="auto"/>
              </w:rPr>
            </w:pPr>
          </w:p>
        </w:tc>
        <w:tc>
          <w:tcPr>
            <w:tcW w:w="1400" w:type="dxa"/>
            <w:vAlign w:val="bottom"/>
            <w:tcBorders>
              <w:right w:val="single" w:sz="8" w:color="231F20"/>
            </w:tcBorders>
            <w:shd w:val="clear" w:color="auto" w:fill="003445"/>
          </w:tcPr>
          <w:p>
            <w:pPr>
              <w:spacing w:after="0"/>
              <w:rPr>
                <w:sz w:val="18"/>
                <w:szCs w:val="18"/>
                <w:color w:val="auto"/>
              </w:rPr>
            </w:pPr>
          </w:p>
        </w:tc>
        <w:tc>
          <w:tcPr>
            <w:tcW w:w="2360" w:type="dxa"/>
            <w:vAlign w:val="bottom"/>
            <w:tcBorders>
              <w:right w:val="single" w:sz="8" w:color="231F20"/>
            </w:tcBorders>
            <w:gridSpan w:val="3"/>
            <w:shd w:val="clear" w:color="auto" w:fill="003445"/>
          </w:tcPr>
          <w:p>
            <w:pPr>
              <w:ind w:left="240"/>
              <w:spacing w:after="0" w:line="210" w:lineRule="exact"/>
              <w:rPr>
                <w:sz w:val="20"/>
                <w:szCs w:val="20"/>
                <w:color w:val="auto"/>
              </w:rPr>
            </w:pPr>
            <w:r>
              <w:rPr>
                <w:rFonts w:ascii="Arial" w:cs="Arial" w:eastAsia="Arial" w:hAnsi="Arial"/>
                <w:sz w:val="19"/>
                <w:szCs w:val="19"/>
                <w:b w:val="1"/>
                <w:bCs w:val="1"/>
                <w:color w:val="FFFFFF"/>
              </w:rPr>
              <w:t>   Regular Meetings</w:t>
            </w:r>
          </w:p>
        </w:tc>
        <w:tc>
          <w:tcPr>
            <w:tcW w:w="3400" w:type="dxa"/>
            <w:vAlign w:val="bottom"/>
            <w:tcBorders>
              <w:right w:val="single" w:sz="8" w:color="231F20"/>
            </w:tcBorders>
            <w:gridSpan w:val="3"/>
            <w:vMerge w:val="continue"/>
            <w:shd w:val="clear" w:color="auto" w:fill="003445"/>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940" w:type="dxa"/>
            <w:vAlign w:val="bottom"/>
            <w:tcBorders>
              <w:left w:val="single" w:sz="8" w:color="231F20"/>
              <w:bottom w:val="single" w:sz="8" w:color="231F20"/>
              <w:right w:val="single" w:sz="8" w:color="231F20"/>
            </w:tcBorders>
            <w:gridSpan w:val="5"/>
            <w:shd w:val="clear" w:color="auto" w:fill="003445"/>
          </w:tcPr>
          <w:p>
            <w:pPr>
              <w:jc w:val="center"/>
              <w:ind w:left="50"/>
              <w:spacing w:after="0"/>
              <w:rPr>
                <w:sz w:val="20"/>
                <w:szCs w:val="20"/>
                <w:color w:val="auto"/>
              </w:rPr>
            </w:pPr>
            <w:r>
              <w:rPr>
                <w:rFonts w:ascii="Arial" w:cs="Arial" w:eastAsia="Arial" w:hAnsi="Arial"/>
                <w:sz w:val="19"/>
                <w:szCs w:val="19"/>
                <w:b w:val="1"/>
                <w:bCs w:val="1"/>
                <w:color w:val="FFFFFF"/>
              </w:rPr>
              <w:t>Board / Committee Memberships</w:t>
            </w:r>
          </w:p>
        </w:tc>
        <w:tc>
          <w:tcPr>
            <w:tcW w:w="420" w:type="dxa"/>
            <w:vAlign w:val="bottom"/>
            <w:tcBorders>
              <w:bottom w:val="single" w:sz="8" w:color="231F20"/>
              <w:right w:val="single" w:sz="8" w:color="003445"/>
            </w:tcBorders>
            <w:shd w:val="clear" w:color="auto" w:fill="003445"/>
          </w:tcPr>
          <w:p>
            <w:pPr>
              <w:spacing w:after="0"/>
              <w:rPr>
                <w:sz w:val="24"/>
                <w:szCs w:val="24"/>
                <w:color w:val="auto"/>
              </w:rPr>
            </w:pPr>
          </w:p>
        </w:tc>
        <w:tc>
          <w:tcPr>
            <w:tcW w:w="1940" w:type="dxa"/>
            <w:vAlign w:val="bottom"/>
            <w:tcBorders>
              <w:bottom w:val="single" w:sz="8" w:color="231F20"/>
              <w:right w:val="single" w:sz="8" w:color="231F20"/>
            </w:tcBorders>
            <w:gridSpan w:val="2"/>
            <w:shd w:val="clear" w:color="auto" w:fill="003445"/>
          </w:tcPr>
          <w:p>
            <w:pPr>
              <w:ind w:left="180"/>
              <w:spacing w:after="0"/>
              <w:rPr>
                <w:sz w:val="20"/>
                <w:szCs w:val="20"/>
                <w:color w:val="auto"/>
              </w:rPr>
            </w:pPr>
            <w:r>
              <w:rPr>
                <w:rFonts w:ascii="Arial" w:cs="Arial" w:eastAsia="Arial" w:hAnsi="Arial"/>
                <w:sz w:val="19"/>
                <w:szCs w:val="19"/>
                <w:b w:val="1"/>
                <w:bCs w:val="1"/>
                <w:color w:val="FFFFFF"/>
              </w:rPr>
              <w:t>in Fiscal 2025</w:t>
            </w:r>
          </w:p>
        </w:tc>
        <w:tc>
          <w:tcPr>
            <w:tcW w:w="1700" w:type="dxa"/>
            <w:vAlign w:val="bottom"/>
            <w:tcBorders>
              <w:bottom w:val="single" w:sz="8" w:color="231F20"/>
              <w:right w:val="single" w:sz="8" w:color="003445"/>
            </w:tcBorders>
            <w:shd w:val="clear" w:color="auto" w:fill="003445"/>
          </w:tcPr>
          <w:p>
            <w:pPr>
              <w:spacing w:after="0"/>
              <w:rPr>
                <w:sz w:val="24"/>
                <w:szCs w:val="24"/>
                <w:color w:val="auto"/>
              </w:rPr>
            </w:pPr>
          </w:p>
        </w:tc>
        <w:tc>
          <w:tcPr>
            <w:tcW w:w="320" w:type="dxa"/>
            <w:vAlign w:val="bottom"/>
            <w:tcBorders>
              <w:bottom w:val="single" w:sz="8" w:color="231F20"/>
            </w:tcBorders>
            <w:shd w:val="clear" w:color="auto" w:fill="003445"/>
          </w:tcPr>
          <w:p>
            <w:pPr>
              <w:spacing w:after="0"/>
              <w:rPr>
                <w:sz w:val="24"/>
                <w:szCs w:val="24"/>
                <w:color w:val="auto"/>
              </w:rPr>
            </w:pPr>
          </w:p>
        </w:tc>
        <w:tc>
          <w:tcPr>
            <w:tcW w:w="1380" w:type="dxa"/>
            <w:vAlign w:val="bottom"/>
            <w:tcBorders>
              <w:bottom w:val="single" w:sz="8" w:color="231F20"/>
              <w:right w:val="single" w:sz="8" w:color="231F20"/>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1440" w:type="dxa"/>
            <w:vAlign w:val="bottom"/>
            <w:tcBorders>
              <w:left w:val="single" w:sz="8" w:color="231F20"/>
            </w:tcBorders>
          </w:tcPr>
          <w:p>
            <w:pPr>
              <w:spacing w:after="0"/>
              <w:rPr>
                <w:sz w:val="23"/>
                <w:szCs w:val="23"/>
                <w:color w:val="auto"/>
              </w:rPr>
            </w:pPr>
          </w:p>
        </w:tc>
        <w:tc>
          <w:tcPr>
            <w:tcW w:w="260" w:type="dxa"/>
            <w:vAlign w:val="bottom"/>
          </w:tcPr>
          <w:p>
            <w:pPr>
              <w:spacing w:after="0"/>
              <w:rPr>
                <w:sz w:val="23"/>
                <w:szCs w:val="23"/>
                <w:color w:val="auto"/>
              </w:rPr>
            </w:pPr>
          </w:p>
        </w:tc>
        <w:tc>
          <w:tcPr>
            <w:tcW w:w="1840" w:type="dxa"/>
            <w:vAlign w:val="bottom"/>
            <w:gridSpan w:val="2"/>
          </w:tcPr>
          <w:p>
            <w:pPr>
              <w:jc w:val="center"/>
              <w:ind w:right="72"/>
              <w:spacing w:after="0"/>
              <w:rPr>
                <w:sz w:val="20"/>
                <w:szCs w:val="20"/>
                <w:color w:val="auto"/>
              </w:rPr>
            </w:pPr>
            <w:r>
              <w:rPr>
                <w:rFonts w:ascii="Arial" w:cs="Arial" w:eastAsia="Arial" w:hAnsi="Arial"/>
                <w:sz w:val="19"/>
                <w:szCs w:val="19"/>
                <w:color w:val="auto"/>
              </w:rPr>
              <w:t>Board</w:t>
            </w:r>
          </w:p>
        </w:tc>
        <w:tc>
          <w:tcPr>
            <w:tcW w:w="1400" w:type="dxa"/>
            <w:vAlign w:val="bottom"/>
            <w:tcBorders>
              <w:right w:val="single" w:sz="8" w:color="231F20"/>
            </w:tcBorders>
          </w:tcPr>
          <w:p>
            <w:pPr>
              <w:spacing w:after="0"/>
              <w:rPr>
                <w:sz w:val="23"/>
                <w:szCs w:val="23"/>
                <w:color w:val="auto"/>
              </w:rPr>
            </w:pPr>
          </w:p>
        </w:tc>
        <w:tc>
          <w:tcPr>
            <w:tcW w:w="2240" w:type="dxa"/>
            <w:vAlign w:val="bottom"/>
            <w:gridSpan w:val="2"/>
          </w:tcPr>
          <w:p>
            <w:pPr>
              <w:ind w:left="1080"/>
              <w:spacing w:after="0"/>
              <w:rPr>
                <w:sz w:val="20"/>
                <w:szCs w:val="20"/>
                <w:color w:val="auto"/>
              </w:rPr>
            </w:pPr>
            <w:r>
              <w:rPr>
                <w:rFonts w:ascii="Arial" w:cs="Arial" w:eastAsia="Arial" w:hAnsi="Arial"/>
                <w:sz w:val="19"/>
                <w:szCs w:val="19"/>
                <w:color w:val="auto"/>
              </w:rPr>
              <w:t>7/7</w:t>
            </w:r>
          </w:p>
        </w:tc>
        <w:tc>
          <w:tcPr>
            <w:tcW w:w="120" w:type="dxa"/>
            <w:vAlign w:val="bottom"/>
            <w:tcBorders>
              <w:right w:val="single" w:sz="8" w:color="231F20"/>
            </w:tcBorders>
          </w:tcPr>
          <w:p>
            <w:pPr>
              <w:spacing w:after="0"/>
              <w:rPr>
                <w:sz w:val="23"/>
                <w:szCs w:val="23"/>
                <w:color w:val="auto"/>
              </w:rPr>
            </w:pPr>
          </w:p>
        </w:tc>
        <w:tc>
          <w:tcPr>
            <w:tcW w:w="2020" w:type="dxa"/>
            <w:vAlign w:val="bottom"/>
            <w:gridSpan w:val="2"/>
          </w:tcPr>
          <w:p>
            <w:pPr>
              <w:ind w:left="1480"/>
              <w:spacing w:after="0"/>
              <w:rPr>
                <w:sz w:val="20"/>
                <w:szCs w:val="20"/>
                <w:color w:val="auto"/>
              </w:rPr>
            </w:pPr>
            <w:r>
              <w:rPr>
                <w:rFonts w:ascii="Arial" w:cs="Arial" w:eastAsia="Arial" w:hAnsi="Arial"/>
                <w:sz w:val="19"/>
                <w:szCs w:val="19"/>
                <w:color w:val="auto"/>
              </w:rPr>
              <w:t>100%</w:t>
            </w:r>
          </w:p>
        </w:tc>
        <w:tc>
          <w:tcPr>
            <w:tcW w:w="138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940" w:type="dxa"/>
            <w:vAlign w:val="bottom"/>
            <w:tcBorders>
              <w:left w:val="single" w:sz="8" w:color="231F20"/>
              <w:right w:val="single" w:sz="8" w:color="231F20"/>
            </w:tcBorders>
            <w:gridSpan w:val="5"/>
          </w:tcPr>
          <w:p>
            <w:pPr>
              <w:jc w:val="center"/>
              <w:ind w:left="50"/>
              <w:spacing w:after="0"/>
              <w:rPr>
                <w:sz w:val="20"/>
                <w:szCs w:val="20"/>
                <w:color w:val="auto"/>
              </w:rPr>
            </w:pPr>
            <w:r>
              <w:rPr>
                <w:rFonts w:ascii="Arial" w:cs="Arial" w:eastAsia="Arial" w:hAnsi="Arial"/>
                <w:sz w:val="19"/>
                <w:szCs w:val="19"/>
                <w:color w:val="auto"/>
              </w:rPr>
              <w:t>Nominating and Governance Committee</w:t>
            </w:r>
          </w:p>
        </w:tc>
        <w:tc>
          <w:tcPr>
            <w:tcW w:w="2240" w:type="dxa"/>
            <w:vAlign w:val="bottom"/>
            <w:gridSpan w:val="2"/>
          </w:tcPr>
          <w:p>
            <w:pPr>
              <w:ind w:left="1080"/>
              <w:spacing w:after="0"/>
              <w:rPr>
                <w:sz w:val="20"/>
                <w:szCs w:val="20"/>
                <w:color w:val="auto"/>
              </w:rPr>
            </w:pPr>
            <w:r>
              <w:rPr>
                <w:rFonts w:ascii="Arial" w:cs="Arial" w:eastAsia="Arial" w:hAnsi="Arial"/>
                <w:sz w:val="19"/>
                <w:szCs w:val="19"/>
                <w:color w:val="auto"/>
              </w:rPr>
              <w:t>5/5</w:t>
            </w:r>
          </w:p>
        </w:tc>
        <w:tc>
          <w:tcPr>
            <w:tcW w:w="120" w:type="dxa"/>
            <w:vAlign w:val="bottom"/>
            <w:tcBorders>
              <w:right w:val="single" w:sz="8" w:color="231F20"/>
            </w:tcBorders>
          </w:tcPr>
          <w:p>
            <w:pPr>
              <w:spacing w:after="0"/>
              <w:rPr>
                <w:sz w:val="23"/>
                <w:szCs w:val="23"/>
                <w:color w:val="auto"/>
              </w:rPr>
            </w:pPr>
          </w:p>
        </w:tc>
        <w:tc>
          <w:tcPr>
            <w:tcW w:w="1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8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940" w:type="dxa"/>
            <w:vAlign w:val="bottom"/>
            <w:tcBorders>
              <w:left w:val="single" w:sz="8" w:color="231F20"/>
              <w:right w:val="single" w:sz="8" w:color="231F20"/>
            </w:tcBorders>
            <w:gridSpan w:val="5"/>
          </w:tcPr>
          <w:p>
            <w:pPr>
              <w:jc w:val="center"/>
              <w:ind w:left="50"/>
              <w:spacing w:after="0"/>
              <w:rPr>
                <w:sz w:val="20"/>
                <w:szCs w:val="20"/>
                <w:color w:val="auto"/>
              </w:rPr>
            </w:pPr>
            <w:r>
              <w:rPr>
                <w:rFonts w:ascii="Arial" w:cs="Arial" w:eastAsia="Arial" w:hAnsi="Arial"/>
                <w:sz w:val="19"/>
                <w:szCs w:val="19"/>
                <w:color w:val="auto"/>
              </w:rPr>
              <w:t>Human Resources and Compensation</w:t>
            </w:r>
          </w:p>
        </w:tc>
        <w:tc>
          <w:tcPr>
            <w:tcW w:w="2240" w:type="dxa"/>
            <w:vAlign w:val="bottom"/>
            <w:gridSpan w:val="2"/>
            <w:vMerge w:val="restart"/>
          </w:tcPr>
          <w:p>
            <w:pPr>
              <w:ind w:left="1080"/>
              <w:spacing w:after="0"/>
              <w:rPr>
                <w:sz w:val="20"/>
                <w:szCs w:val="20"/>
                <w:color w:val="auto"/>
              </w:rPr>
            </w:pPr>
            <w:r>
              <w:rPr>
                <w:rFonts w:ascii="Arial" w:cs="Arial" w:eastAsia="Arial" w:hAnsi="Arial"/>
                <w:sz w:val="19"/>
                <w:szCs w:val="19"/>
                <w:color w:val="auto"/>
              </w:rPr>
              <w:t>5/5</w:t>
            </w:r>
          </w:p>
        </w:tc>
        <w:tc>
          <w:tcPr>
            <w:tcW w:w="120" w:type="dxa"/>
            <w:vAlign w:val="bottom"/>
            <w:tcBorders>
              <w:right w:val="single" w:sz="8" w:color="231F20"/>
            </w:tcBorders>
          </w:tcPr>
          <w:p>
            <w:pPr>
              <w:spacing w:after="0"/>
              <w:rPr>
                <w:sz w:val="20"/>
                <w:szCs w:val="20"/>
                <w:color w:val="auto"/>
              </w:rPr>
            </w:pPr>
          </w:p>
        </w:tc>
        <w:tc>
          <w:tcPr>
            <w:tcW w:w="1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440" w:type="dxa"/>
            <w:vAlign w:val="bottom"/>
            <w:tcBorders>
              <w:left w:val="single" w:sz="8" w:color="231F20"/>
            </w:tcBorders>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2"/>
          </w:tcPr>
          <w:p>
            <w:pPr>
              <w:jc w:val="center"/>
              <w:ind w:right="72"/>
              <w:spacing w:after="0"/>
              <w:rPr>
                <w:sz w:val="20"/>
                <w:szCs w:val="20"/>
                <w:color w:val="auto"/>
              </w:rPr>
            </w:pPr>
            <w:r>
              <w:rPr>
                <w:rFonts w:ascii="Arial" w:cs="Arial" w:eastAsia="Arial" w:hAnsi="Arial"/>
                <w:sz w:val="19"/>
                <w:szCs w:val="19"/>
                <w:color w:val="auto"/>
              </w:rPr>
              <w:t>Committee (Chair)</w:t>
            </w:r>
          </w:p>
        </w:tc>
        <w:tc>
          <w:tcPr>
            <w:tcW w:w="1400" w:type="dxa"/>
            <w:vAlign w:val="bottom"/>
            <w:tcBorders>
              <w:right w:val="single" w:sz="8" w:color="231F20"/>
            </w:tcBorders>
          </w:tcPr>
          <w:p>
            <w:pPr>
              <w:spacing w:after="0"/>
              <w:rPr>
                <w:sz w:val="22"/>
                <w:szCs w:val="22"/>
                <w:color w:val="auto"/>
              </w:rPr>
            </w:pPr>
          </w:p>
        </w:tc>
        <w:tc>
          <w:tcPr>
            <w:tcW w:w="2240" w:type="dxa"/>
            <w:vAlign w:val="bottom"/>
            <w:gridSpan w:val="2"/>
            <w:vMerge w:val="continue"/>
          </w:tcPr>
          <w:p>
            <w:pPr>
              <w:spacing w:after="0"/>
              <w:rPr>
                <w:sz w:val="22"/>
                <w:szCs w:val="22"/>
                <w:color w:val="auto"/>
              </w:rPr>
            </w:pPr>
          </w:p>
        </w:tc>
        <w:tc>
          <w:tcPr>
            <w:tcW w:w="120" w:type="dxa"/>
            <w:vAlign w:val="bottom"/>
            <w:tcBorders>
              <w:right w:val="single" w:sz="8" w:color="231F20"/>
            </w:tcBorders>
          </w:tcPr>
          <w:p>
            <w:pPr>
              <w:spacing w:after="0"/>
              <w:rPr>
                <w:sz w:val="22"/>
                <w:szCs w:val="22"/>
                <w:color w:val="auto"/>
              </w:rPr>
            </w:pPr>
          </w:p>
        </w:tc>
        <w:tc>
          <w:tcPr>
            <w:tcW w:w="1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231F20"/>
              <w:bottom w:val="single" w:sz="8" w:color="231F20"/>
            </w:tcBorders>
          </w:tcPr>
          <w:p>
            <w:pPr>
              <w:spacing w:after="0"/>
              <w:rPr>
                <w:sz w:val="9"/>
                <w:szCs w:val="9"/>
                <w:color w:val="auto"/>
              </w:rPr>
            </w:pPr>
          </w:p>
        </w:tc>
        <w:tc>
          <w:tcPr>
            <w:tcW w:w="260" w:type="dxa"/>
            <w:vAlign w:val="bottom"/>
            <w:tcBorders>
              <w:bottom w:val="single" w:sz="8" w:color="231F20"/>
            </w:tcBorders>
          </w:tcPr>
          <w:p>
            <w:pPr>
              <w:spacing w:after="0"/>
              <w:rPr>
                <w:sz w:val="9"/>
                <w:szCs w:val="9"/>
                <w:color w:val="auto"/>
              </w:rPr>
            </w:pPr>
          </w:p>
        </w:tc>
        <w:tc>
          <w:tcPr>
            <w:tcW w:w="1180" w:type="dxa"/>
            <w:vAlign w:val="bottom"/>
            <w:tcBorders>
              <w:bottom w:val="single" w:sz="8" w:color="231F20"/>
            </w:tcBorders>
          </w:tcPr>
          <w:p>
            <w:pPr>
              <w:spacing w:after="0"/>
              <w:rPr>
                <w:sz w:val="9"/>
                <w:szCs w:val="9"/>
                <w:color w:val="auto"/>
              </w:rPr>
            </w:pPr>
          </w:p>
        </w:tc>
        <w:tc>
          <w:tcPr>
            <w:tcW w:w="660" w:type="dxa"/>
            <w:vAlign w:val="bottom"/>
            <w:tcBorders>
              <w:bottom w:val="single" w:sz="8" w:color="231F20"/>
            </w:tcBorders>
          </w:tcPr>
          <w:p>
            <w:pPr>
              <w:spacing w:after="0"/>
              <w:rPr>
                <w:sz w:val="9"/>
                <w:szCs w:val="9"/>
                <w:color w:val="auto"/>
              </w:rPr>
            </w:pPr>
          </w:p>
        </w:tc>
        <w:tc>
          <w:tcPr>
            <w:tcW w:w="1400" w:type="dxa"/>
            <w:vAlign w:val="bottom"/>
            <w:tcBorders>
              <w:bottom w:val="single" w:sz="8" w:color="231F20"/>
              <w:right w:val="single" w:sz="8" w:color="231F20"/>
            </w:tcBorders>
          </w:tcPr>
          <w:p>
            <w:pPr>
              <w:spacing w:after="0"/>
              <w:rPr>
                <w:sz w:val="9"/>
                <w:szCs w:val="9"/>
                <w:color w:val="auto"/>
              </w:rPr>
            </w:pPr>
          </w:p>
        </w:tc>
        <w:tc>
          <w:tcPr>
            <w:tcW w:w="420" w:type="dxa"/>
            <w:vAlign w:val="bottom"/>
            <w:tcBorders>
              <w:bottom w:val="single" w:sz="8" w:color="231F20"/>
            </w:tcBorders>
          </w:tcPr>
          <w:p>
            <w:pPr>
              <w:spacing w:after="0"/>
              <w:rPr>
                <w:sz w:val="9"/>
                <w:szCs w:val="9"/>
                <w:color w:val="auto"/>
              </w:rPr>
            </w:pPr>
          </w:p>
        </w:tc>
        <w:tc>
          <w:tcPr>
            <w:tcW w:w="1820" w:type="dxa"/>
            <w:vAlign w:val="bottom"/>
            <w:tcBorders>
              <w:bottom w:val="single" w:sz="8" w:color="231F20"/>
            </w:tcBorders>
          </w:tcPr>
          <w:p>
            <w:pPr>
              <w:spacing w:after="0"/>
              <w:rPr>
                <w:sz w:val="9"/>
                <w:szCs w:val="9"/>
                <w:color w:val="auto"/>
              </w:rPr>
            </w:pPr>
          </w:p>
        </w:tc>
        <w:tc>
          <w:tcPr>
            <w:tcW w:w="120" w:type="dxa"/>
            <w:vAlign w:val="bottom"/>
            <w:tcBorders>
              <w:bottom w:val="single" w:sz="8" w:color="231F20"/>
              <w:right w:val="single" w:sz="8" w:color="231F20"/>
            </w:tcBorders>
          </w:tcPr>
          <w:p>
            <w:pPr>
              <w:spacing w:after="0"/>
              <w:rPr>
                <w:sz w:val="9"/>
                <w:szCs w:val="9"/>
                <w:color w:val="auto"/>
              </w:rPr>
            </w:pPr>
          </w:p>
        </w:tc>
        <w:tc>
          <w:tcPr>
            <w:tcW w:w="1700" w:type="dxa"/>
            <w:vAlign w:val="bottom"/>
            <w:tcBorders>
              <w:bottom w:val="single" w:sz="8" w:color="231F20"/>
            </w:tcBorders>
          </w:tcPr>
          <w:p>
            <w:pPr>
              <w:spacing w:after="0"/>
              <w:rPr>
                <w:sz w:val="9"/>
                <w:szCs w:val="9"/>
                <w:color w:val="auto"/>
              </w:rPr>
            </w:pPr>
          </w:p>
        </w:tc>
        <w:tc>
          <w:tcPr>
            <w:tcW w:w="320" w:type="dxa"/>
            <w:vAlign w:val="bottom"/>
            <w:tcBorders>
              <w:bottom w:val="single" w:sz="8" w:color="231F20"/>
            </w:tcBorders>
          </w:tcPr>
          <w:p>
            <w:pPr>
              <w:spacing w:after="0"/>
              <w:rPr>
                <w:sz w:val="9"/>
                <w:szCs w:val="9"/>
                <w:color w:val="auto"/>
              </w:rPr>
            </w:pPr>
          </w:p>
        </w:tc>
        <w:tc>
          <w:tcPr>
            <w:tcW w:w="138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1440" w:type="dxa"/>
            <w:vAlign w:val="bottom"/>
            <w:tcBorders>
              <w:left w:val="single" w:sz="8" w:color="231F20"/>
            </w:tcBorders>
            <w:shd w:val="clear" w:color="auto" w:fill="003445"/>
          </w:tcPr>
          <w:p>
            <w:pPr>
              <w:spacing w:after="0"/>
              <w:rPr>
                <w:sz w:val="20"/>
                <w:szCs w:val="20"/>
                <w:color w:val="auto"/>
              </w:rPr>
            </w:pPr>
          </w:p>
        </w:tc>
        <w:tc>
          <w:tcPr>
            <w:tcW w:w="260" w:type="dxa"/>
            <w:vAlign w:val="bottom"/>
            <w:tcBorders>
              <w:right w:val="single" w:sz="8" w:color="003445"/>
            </w:tcBorders>
            <w:shd w:val="clear" w:color="auto" w:fill="003445"/>
          </w:tcPr>
          <w:p>
            <w:pPr>
              <w:spacing w:after="0"/>
              <w:rPr>
                <w:sz w:val="20"/>
                <w:szCs w:val="20"/>
                <w:color w:val="auto"/>
              </w:rPr>
            </w:pPr>
          </w:p>
        </w:tc>
        <w:tc>
          <w:tcPr>
            <w:tcW w:w="1180" w:type="dxa"/>
            <w:vAlign w:val="bottom"/>
            <w:tcBorders>
              <w:right w:val="single" w:sz="8" w:color="003445"/>
            </w:tcBorders>
            <w:shd w:val="clear" w:color="auto" w:fill="003445"/>
          </w:tcPr>
          <w:p>
            <w:pPr>
              <w:spacing w:after="0"/>
              <w:rPr>
                <w:sz w:val="20"/>
                <w:szCs w:val="20"/>
                <w:color w:val="auto"/>
              </w:rPr>
            </w:pPr>
          </w:p>
        </w:tc>
        <w:tc>
          <w:tcPr>
            <w:tcW w:w="660" w:type="dxa"/>
            <w:vAlign w:val="bottom"/>
            <w:tcBorders>
              <w:right w:val="single" w:sz="8" w:color="003445"/>
            </w:tcBorders>
            <w:shd w:val="clear" w:color="auto" w:fill="003445"/>
          </w:tcPr>
          <w:p>
            <w:pPr>
              <w:spacing w:after="0"/>
              <w:rPr>
                <w:sz w:val="20"/>
                <w:szCs w:val="20"/>
                <w:color w:val="auto"/>
              </w:rPr>
            </w:pPr>
          </w:p>
        </w:tc>
        <w:tc>
          <w:tcPr>
            <w:tcW w:w="3760" w:type="dxa"/>
            <w:vAlign w:val="bottom"/>
            <w:tcBorders>
              <w:right w:val="single" w:sz="8" w:color="003445"/>
            </w:tcBorders>
            <w:gridSpan w:val="4"/>
            <w:shd w:val="clear" w:color="auto" w:fill="003445"/>
          </w:tcPr>
          <w:p>
            <w:pPr>
              <w:jc w:val="center"/>
              <w:ind w:right="40"/>
              <w:spacing w:after="0"/>
              <w:rPr>
                <w:sz w:val="20"/>
                <w:szCs w:val="20"/>
                <w:color w:val="auto"/>
              </w:rPr>
            </w:pPr>
            <w:r>
              <w:rPr>
                <w:rFonts w:ascii="Arial" w:cs="Arial" w:eastAsia="Arial" w:hAnsi="Arial"/>
                <w:sz w:val="17"/>
                <w:szCs w:val="17"/>
                <w:b w:val="1"/>
                <w:bCs w:val="1"/>
                <w:color w:val="FFFFFF"/>
              </w:rPr>
              <w:t>Securities Beneficially Owned or Controlled</w:t>
            </w:r>
          </w:p>
        </w:tc>
        <w:tc>
          <w:tcPr>
            <w:tcW w:w="1700" w:type="dxa"/>
            <w:vAlign w:val="bottom"/>
            <w:tcBorders>
              <w:right w:val="single" w:sz="8" w:color="003445"/>
            </w:tcBorders>
            <w:shd w:val="clear" w:color="auto" w:fill="003445"/>
          </w:tcPr>
          <w:p>
            <w:pPr>
              <w:spacing w:after="0"/>
              <w:rPr>
                <w:sz w:val="20"/>
                <w:szCs w:val="20"/>
                <w:color w:val="auto"/>
              </w:rPr>
            </w:pPr>
          </w:p>
        </w:tc>
        <w:tc>
          <w:tcPr>
            <w:tcW w:w="320" w:type="dxa"/>
            <w:vAlign w:val="bottom"/>
            <w:shd w:val="clear" w:color="auto" w:fill="003445"/>
          </w:tcPr>
          <w:p>
            <w:pPr>
              <w:spacing w:after="0"/>
              <w:rPr>
                <w:sz w:val="20"/>
                <w:szCs w:val="20"/>
                <w:color w:val="auto"/>
              </w:rPr>
            </w:pPr>
          </w:p>
        </w:tc>
        <w:tc>
          <w:tcPr>
            <w:tcW w:w="1380" w:type="dxa"/>
            <w:vAlign w:val="bottom"/>
            <w:tcBorders>
              <w:right w:val="single" w:sz="8" w:color="231F20"/>
            </w:tcBorders>
            <w:shd w:val="clear" w:color="auto" w:fill="003445"/>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1440" w:type="dxa"/>
            <w:vAlign w:val="bottom"/>
            <w:tcBorders>
              <w:left w:val="single" w:sz="8" w:color="231F20"/>
              <w:bottom w:val="single" w:sz="8" w:color="003445"/>
            </w:tcBorders>
            <w:shd w:val="clear" w:color="auto" w:fill="003445"/>
          </w:tcPr>
          <w:p>
            <w:pPr>
              <w:spacing w:after="0"/>
              <w:rPr>
                <w:sz w:val="23"/>
                <w:szCs w:val="23"/>
                <w:color w:val="auto"/>
              </w:rPr>
            </w:pPr>
          </w:p>
        </w:tc>
        <w:tc>
          <w:tcPr>
            <w:tcW w:w="260" w:type="dxa"/>
            <w:vAlign w:val="bottom"/>
            <w:tcBorders>
              <w:bottom w:val="single" w:sz="8" w:color="003445"/>
              <w:right w:val="single" w:sz="8" w:color="003445"/>
            </w:tcBorders>
            <w:shd w:val="clear" w:color="auto" w:fill="003445"/>
          </w:tcPr>
          <w:p>
            <w:pPr>
              <w:spacing w:after="0"/>
              <w:rPr>
                <w:sz w:val="23"/>
                <w:szCs w:val="23"/>
                <w:color w:val="auto"/>
              </w:rPr>
            </w:pPr>
          </w:p>
        </w:tc>
        <w:tc>
          <w:tcPr>
            <w:tcW w:w="1180" w:type="dxa"/>
            <w:vAlign w:val="bottom"/>
            <w:tcBorders>
              <w:bottom w:val="single" w:sz="8" w:color="003445"/>
              <w:right w:val="single" w:sz="8" w:color="003445"/>
            </w:tcBorders>
            <w:shd w:val="clear" w:color="auto" w:fill="003445"/>
          </w:tcPr>
          <w:p>
            <w:pPr>
              <w:spacing w:after="0"/>
              <w:rPr>
                <w:sz w:val="23"/>
                <w:szCs w:val="23"/>
                <w:color w:val="auto"/>
              </w:rPr>
            </w:pPr>
          </w:p>
        </w:tc>
        <w:tc>
          <w:tcPr>
            <w:tcW w:w="660" w:type="dxa"/>
            <w:vAlign w:val="bottom"/>
            <w:tcBorders>
              <w:bottom w:val="single" w:sz="8" w:color="003445"/>
              <w:right w:val="single" w:sz="8" w:color="003445"/>
            </w:tcBorders>
            <w:shd w:val="clear" w:color="auto" w:fill="003445"/>
          </w:tcPr>
          <w:p>
            <w:pPr>
              <w:spacing w:after="0"/>
              <w:rPr>
                <w:sz w:val="23"/>
                <w:szCs w:val="23"/>
                <w:color w:val="auto"/>
              </w:rPr>
            </w:pPr>
          </w:p>
        </w:tc>
        <w:tc>
          <w:tcPr>
            <w:tcW w:w="3760" w:type="dxa"/>
            <w:vAlign w:val="bottom"/>
            <w:tcBorders>
              <w:bottom w:val="single" w:sz="8" w:color="003445"/>
              <w:right w:val="single" w:sz="8" w:color="003445"/>
            </w:tcBorders>
            <w:gridSpan w:val="4"/>
            <w:shd w:val="clear" w:color="auto" w:fill="003445"/>
          </w:tcPr>
          <w:p>
            <w:pPr>
              <w:jc w:val="center"/>
              <w:ind w:right="40"/>
              <w:spacing w:after="0"/>
              <w:rPr>
                <w:sz w:val="20"/>
                <w:szCs w:val="20"/>
                <w:color w:val="auto"/>
              </w:rPr>
            </w:pPr>
            <w:r>
              <w:rPr>
                <w:rFonts w:ascii="Arial" w:cs="Arial" w:eastAsia="Arial" w:hAnsi="Arial"/>
                <w:sz w:val="17"/>
                <w:szCs w:val="17"/>
                <w:b w:val="1"/>
                <w:bCs w:val="1"/>
                <w:color w:val="FFFFFF"/>
              </w:rPr>
              <w:t>(as at April 30, 2026)</w:t>
            </w:r>
          </w:p>
        </w:tc>
        <w:tc>
          <w:tcPr>
            <w:tcW w:w="1700" w:type="dxa"/>
            <w:vAlign w:val="bottom"/>
            <w:tcBorders>
              <w:bottom w:val="single" w:sz="8" w:color="003445"/>
              <w:right w:val="single" w:sz="8" w:color="003445"/>
            </w:tcBorders>
            <w:shd w:val="clear" w:color="auto" w:fill="003445"/>
          </w:tcPr>
          <w:p>
            <w:pPr>
              <w:spacing w:after="0"/>
              <w:rPr>
                <w:sz w:val="23"/>
                <w:szCs w:val="23"/>
                <w:color w:val="auto"/>
              </w:rPr>
            </w:pPr>
          </w:p>
        </w:tc>
        <w:tc>
          <w:tcPr>
            <w:tcW w:w="320" w:type="dxa"/>
            <w:vAlign w:val="bottom"/>
            <w:tcBorders>
              <w:bottom w:val="single" w:sz="8" w:color="003445"/>
            </w:tcBorders>
            <w:shd w:val="clear" w:color="auto" w:fill="003445"/>
          </w:tcPr>
          <w:p>
            <w:pPr>
              <w:spacing w:after="0"/>
              <w:rPr>
                <w:sz w:val="23"/>
                <w:szCs w:val="23"/>
                <w:color w:val="auto"/>
              </w:rPr>
            </w:pPr>
          </w:p>
        </w:tc>
        <w:tc>
          <w:tcPr>
            <w:tcW w:w="1380" w:type="dxa"/>
            <w:vAlign w:val="bottom"/>
            <w:tcBorders>
              <w:bottom w:val="single" w:sz="8" w:color="003445"/>
              <w:right w:val="single" w:sz="8" w:color="231F20"/>
            </w:tcBorders>
            <w:shd w:val="clear" w:color="auto" w:fill="003445"/>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1440" w:type="dxa"/>
            <w:vAlign w:val="bottom"/>
            <w:tcBorders>
              <w:top w:val="single" w:sz="8" w:color="231F20"/>
              <w:left w:val="single" w:sz="8" w:color="231F20"/>
              <w:bottom w:val="single" w:sz="8" w:color="231F20"/>
            </w:tcBorders>
            <w:shd w:val="clear" w:color="auto" w:fill="F2F2F2"/>
          </w:tcPr>
          <w:p>
            <w:pPr>
              <w:spacing w:after="0"/>
              <w:rPr>
                <w:sz w:val="24"/>
                <w:szCs w:val="24"/>
                <w:color w:val="auto"/>
              </w:rPr>
            </w:pPr>
          </w:p>
        </w:tc>
        <w:tc>
          <w:tcPr>
            <w:tcW w:w="2100" w:type="dxa"/>
            <w:vAlign w:val="bottom"/>
            <w:tcBorders>
              <w:top w:val="single" w:sz="8" w:color="231F20"/>
              <w:bottom w:val="single" w:sz="8" w:color="231F20"/>
              <w:right w:val="single" w:sz="8" w:color="231F20"/>
            </w:tcBorders>
            <w:gridSpan w:val="3"/>
            <w:shd w:val="clear" w:color="auto" w:fill="F2F2F2"/>
          </w:tcPr>
          <w:p>
            <w:pPr>
              <w:ind w:left="100"/>
              <w:spacing w:after="0"/>
              <w:rPr>
                <w:sz w:val="20"/>
                <w:szCs w:val="20"/>
                <w:color w:val="auto"/>
              </w:rPr>
            </w:pPr>
            <w:r>
              <w:rPr>
                <w:rFonts w:ascii="Arial" w:cs="Arial" w:eastAsia="Arial" w:hAnsi="Arial"/>
                <w:sz w:val="17"/>
                <w:szCs w:val="17"/>
                <w:b w:val="1"/>
                <w:bCs w:val="1"/>
                <w:color w:val="auto"/>
              </w:rPr>
              <w:t>Shares</w:t>
            </w:r>
          </w:p>
        </w:tc>
        <w:tc>
          <w:tcPr>
            <w:tcW w:w="140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2360" w:type="dxa"/>
            <w:vAlign w:val="bottom"/>
            <w:tcBorders>
              <w:top w:val="single" w:sz="8" w:color="231F20"/>
              <w:bottom w:val="single" w:sz="8" w:color="231F20"/>
              <w:right w:val="single" w:sz="8" w:color="F2F2F2"/>
            </w:tcBorders>
            <w:gridSpan w:val="3"/>
            <w:shd w:val="clear" w:color="auto" w:fill="F2F2F2"/>
          </w:tcPr>
          <w:p>
            <w:pPr>
              <w:jc w:val="center"/>
              <w:ind w:right="1460"/>
              <w:spacing w:after="0" w:line="295" w:lineRule="exact"/>
              <w:rPr>
                <w:sz w:val="20"/>
                <w:szCs w:val="20"/>
                <w:color w:val="auto"/>
              </w:rPr>
            </w:pPr>
            <w:r>
              <w:rPr>
                <w:rFonts w:ascii="Arial" w:cs="Arial" w:eastAsia="Arial" w:hAnsi="Arial"/>
                <w:sz w:val="17"/>
                <w:szCs w:val="17"/>
                <w:b w:val="1"/>
                <w:bCs w:val="1"/>
                <w:color w:val="auto"/>
                <w:w w:val="93"/>
              </w:rPr>
              <w:t>DSUs</w:t>
            </w:r>
            <w:r>
              <w:rPr>
                <w:rFonts w:ascii="Arial" w:cs="Arial" w:eastAsia="Arial" w:hAnsi="Arial"/>
                <w:sz w:val="26"/>
                <w:szCs w:val="26"/>
                <w:b w:val="1"/>
                <w:bCs w:val="1"/>
                <w:color w:val="auto"/>
                <w:w w:val="93"/>
                <w:vertAlign w:val="superscript"/>
              </w:rPr>
              <w:t>(3)</w:t>
            </w:r>
          </w:p>
        </w:tc>
        <w:tc>
          <w:tcPr>
            <w:tcW w:w="2020" w:type="dxa"/>
            <w:vAlign w:val="bottom"/>
            <w:tcBorders>
              <w:top w:val="single" w:sz="8" w:color="231F20"/>
              <w:bottom w:val="single" w:sz="8" w:color="231F20"/>
            </w:tcBorders>
            <w:gridSpan w:val="2"/>
            <w:shd w:val="clear" w:color="auto" w:fill="F2F2F2"/>
          </w:tcPr>
          <w:p>
            <w:pPr>
              <w:ind w:left="1460"/>
              <w:spacing w:after="0"/>
              <w:rPr>
                <w:sz w:val="20"/>
                <w:szCs w:val="20"/>
                <w:color w:val="auto"/>
              </w:rPr>
            </w:pPr>
            <w:r>
              <w:rPr>
                <w:rFonts w:ascii="Arial" w:cs="Arial" w:eastAsia="Arial" w:hAnsi="Arial"/>
                <w:sz w:val="17"/>
                <w:szCs w:val="17"/>
                <w:b w:val="1"/>
                <w:bCs w:val="1"/>
                <w:color w:val="auto"/>
              </w:rPr>
              <w:t>Total</w:t>
            </w:r>
          </w:p>
        </w:tc>
        <w:tc>
          <w:tcPr>
            <w:tcW w:w="1380" w:type="dxa"/>
            <w:vAlign w:val="bottom"/>
            <w:tcBorders>
              <w:top w:val="single" w:sz="8" w:color="231F20"/>
              <w:bottom w:val="single" w:sz="8" w:color="231F20"/>
              <w:right w:val="single" w:sz="8" w:color="231F20"/>
            </w:tcBorders>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440" w:type="dxa"/>
            <w:vAlign w:val="bottom"/>
            <w:tcBorders>
              <w:left w:val="single" w:sz="8" w:color="231F20"/>
            </w:tcBorders>
          </w:tcPr>
          <w:p>
            <w:pPr>
              <w:spacing w:after="0"/>
              <w:rPr>
                <w:sz w:val="20"/>
                <w:szCs w:val="20"/>
                <w:color w:val="auto"/>
              </w:rPr>
            </w:pPr>
          </w:p>
        </w:tc>
        <w:tc>
          <w:tcPr>
            <w:tcW w:w="260" w:type="dxa"/>
            <w:vAlign w:val="bottom"/>
            <w:tcBorders>
              <w:right w:val="single" w:sz="8" w:color="231F20"/>
            </w:tcBorders>
          </w:tcPr>
          <w:p>
            <w:pPr>
              <w:spacing w:after="0"/>
              <w:rPr>
                <w:sz w:val="20"/>
                <w:szCs w:val="20"/>
                <w:color w:val="auto"/>
              </w:rPr>
            </w:pPr>
          </w:p>
        </w:tc>
        <w:tc>
          <w:tcPr>
            <w:tcW w:w="1840" w:type="dxa"/>
            <w:vAlign w:val="bottom"/>
            <w:tcBorders>
              <w:right w:val="single" w:sz="8" w:color="231F20"/>
            </w:tcBorders>
            <w:gridSpan w:val="2"/>
          </w:tcPr>
          <w:p>
            <w:pPr>
              <w:jc w:val="center"/>
              <w:spacing w:after="0"/>
              <w:rPr>
                <w:sz w:val="20"/>
                <w:szCs w:val="20"/>
                <w:color w:val="auto"/>
              </w:rPr>
            </w:pPr>
            <w:r>
              <w:rPr>
                <w:rFonts w:ascii="Arial" w:cs="Arial" w:eastAsia="Arial" w:hAnsi="Arial"/>
                <w:sz w:val="17"/>
                <w:szCs w:val="17"/>
                <w:b w:val="1"/>
                <w:bCs w:val="1"/>
                <w:color w:val="auto"/>
              </w:rPr>
              <w:t>Market</w:t>
            </w:r>
          </w:p>
        </w:tc>
        <w:tc>
          <w:tcPr>
            <w:tcW w:w="1400" w:type="dxa"/>
            <w:vAlign w:val="bottom"/>
          </w:tcPr>
          <w:p>
            <w:pPr>
              <w:spacing w:after="0"/>
              <w:rPr>
                <w:sz w:val="20"/>
                <w:szCs w:val="20"/>
                <w:color w:val="auto"/>
              </w:rPr>
            </w:pPr>
          </w:p>
        </w:tc>
        <w:tc>
          <w:tcPr>
            <w:tcW w:w="420" w:type="dxa"/>
            <w:vAlign w:val="bottom"/>
            <w:tcBorders>
              <w:right w:val="single" w:sz="8" w:color="231F20"/>
            </w:tcBorders>
          </w:tcPr>
          <w:p>
            <w:pPr>
              <w:spacing w:after="0"/>
              <w:rPr>
                <w:sz w:val="20"/>
                <w:szCs w:val="20"/>
                <w:color w:val="auto"/>
              </w:rPr>
            </w:pPr>
          </w:p>
        </w:tc>
        <w:tc>
          <w:tcPr>
            <w:tcW w:w="1820" w:type="dxa"/>
            <w:vAlign w:val="bottom"/>
            <w:tcBorders>
              <w:right w:val="single" w:sz="8" w:color="231F20"/>
            </w:tcBorders>
          </w:tcPr>
          <w:p>
            <w:pPr>
              <w:ind w:left="660"/>
              <w:spacing w:after="0"/>
              <w:rPr>
                <w:sz w:val="20"/>
                <w:szCs w:val="20"/>
                <w:color w:val="auto"/>
              </w:rPr>
            </w:pPr>
            <w:r>
              <w:rPr>
                <w:rFonts w:ascii="Arial" w:cs="Arial" w:eastAsia="Arial" w:hAnsi="Arial"/>
                <w:sz w:val="17"/>
                <w:szCs w:val="17"/>
                <w:b w:val="1"/>
                <w:bCs w:val="1"/>
                <w:color w:val="auto"/>
              </w:rPr>
              <w:t>Market</w:t>
            </w:r>
          </w:p>
        </w:tc>
        <w:tc>
          <w:tcPr>
            <w:tcW w:w="120" w:type="dxa"/>
            <w:vAlign w:val="bottom"/>
          </w:tcPr>
          <w:p>
            <w:pPr>
              <w:spacing w:after="0"/>
              <w:rPr>
                <w:sz w:val="20"/>
                <w:szCs w:val="20"/>
                <w:color w:val="auto"/>
              </w:rPr>
            </w:pPr>
          </w:p>
        </w:tc>
        <w:tc>
          <w:tcPr>
            <w:tcW w:w="1700" w:type="dxa"/>
            <w:vAlign w:val="bottom"/>
            <w:tcBorders>
              <w:right w:val="single" w:sz="8" w:color="231F20"/>
            </w:tcBorders>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Borders>
              <w:right w:val="single" w:sz="8" w:color="231F20"/>
            </w:tcBorders>
          </w:tcPr>
          <w:p>
            <w:pPr>
              <w:jc w:val="center"/>
              <w:ind w:right="173"/>
              <w:spacing w:after="0"/>
              <w:rPr>
                <w:sz w:val="20"/>
                <w:szCs w:val="20"/>
                <w:color w:val="auto"/>
              </w:rPr>
            </w:pPr>
            <w:r>
              <w:rPr>
                <w:rFonts w:ascii="Arial" w:cs="Arial" w:eastAsia="Arial" w:hAnsi="Arial"/>
                <w:sz w:val="17"/>
                <w:szCs w:val="17"/>
                <w:b w:val="1"/>
                <w:bCs w:val="1"/>
                <w:color w:val="auto"/>
              </w:rPr>
              <w:t>Market</w:t>
            </w:r>
          </w:p>
        </w:tc>
        <w:tc>
          <w:tcPr>
            <w:tcW w:w="0" w:type="dxa"/>
            <w:vAlign w:val="bottom"/>
          </w:tcPr>
          <w:p>
            <w:pPr>
              <w:spacing w:after="0"/>
              <w:rPr>
                <w:sz w:val="1"/>
                <w:szCs w:val="1"/>
                <w:color w:val="auto"/>
              </w:rPr>
            </w:pPr>
          </w:p>
        </w:tc>
      </w:tr>
      <w:tr>
        <w:trPr>
          <w:trHeight w:val="307"/>
        </w:trPr>
        <w:tc>
          <w:tcPr>
            <w:tcW w:w="1440" w:type="dxa"/>
            <w:vAlign w:val="bottom"/>
            <w:tcBorders>
              <w:left w:val="single" w:sz="8" w:color="231F20"/>
              <w:bottom w:val="single" w:sz="8" w:color="auto"/>
            </w:tcBorders>
          </w:tcPr>
          <w:p>
            <w:pPr>
              <w:ind w:left="520"/>
              <w:spacing w:after="0"/>
              <w:rPr>
                <w:sz w:val="20"/>
                <w:szCs w:val="20"/>
                <w:color w:val="auto"/>
              </w:rPr>
            </w:pPr>
            <w:r>
              <w:rPr>
                <w:rFonts w:ascii="Arial" w:cs="Arial" w:eastAsia="Arial" w:hAnsi="Arial"/>
                <w:sz w:val="17"/>
                <w:szCs w:val="17"/>
                <w:b w:val="1"/>
                <w:bCs w:val="1"/>
                <w:color w:val="auto"/>
              </w:rPr>
              <w:t>Number</w:t>
            </w:r>
            <w:r>
              <w:rPr>
                <w:rFonts w:ascii="Arial" w:cs="Arial" w:eastAsia="Arial" w:hAnsi="Arial"/>
                <w:sz w:val="26"/>
                <w:szCs w:val="26"/>
                <w:b w:val="1"/>
                <w:bCs w:val="1"/>
                <w:color w:val="auto"/>
                <w:vertAlign w:val="superscript"/>
              </w:rPr>
              <w:t>(2)</w:t>
            </w:r>
          </w:p>
        </w:tc>
        <w:tc>
          <w:tcPr>
            <w:tcW w:w="260" w:type="dxa"/>
            <w:vAlign w:val="bottom"/>
            <w:tcBorders>
              <w:bottom w:val="single" w:sz="8" w:color="auto"/>
              <w:right w:val="single" w:sz="8" w:color="231F20"/>
            </w:tcBorders>
          </w:tcPr>
          <w:p>
            <w:pPr>
              <w:spacing w:after="0"/>
              <w:rPr>
                <w:sz w:val="24"/>
                <w:szCs w:val="24"/>
                <w:color w:val="auto"/>
              </w:rPr>
            </w:pPr>
          </w:p>
        </w:tc>
        <w:tc>
          <w:tcPr>
            <w:tcW w:w="1840" w:type="dxa"/>
            <w:vAlign w:val="bottom"/>
            <w:tcBorders>
              <w:bottom w:val="single" w:sz="8" w:color="auto"/>
              <w:right w:val="single" w:sz="8" w:color="231F20"/>
            </w:tcBorders>
            <w:gridSpan w:val="2"/>
          </w:tcPr>
          <w:p>
            <w:pPr>
              <w:jc w:val="center"/>
              <w:spacing w:after="0"/>
              <w:rPr>
                <w:sz w:val="20"/>
                <w:szCs w:val="20"/>
                <w:color w:val="auto"/>
              </w:rPr>
            </w:pPr>
            <w:r>
              <w:rPr>
                <w:rFonts w:ascii="Arial" w:cs="Arial" w:eastAsia="Arial" w:hAnsi="Arial"/>
                <w:sz w:val="17"/>
                <w:szCs w:val="17"/>
                <w:b w:val="1"/>
                <w:bCs w:val="1"/>
                <w:color w:val="auto"/>
                <w:w w:val="90"/>
              </w:rPr>
              <w:t>Value</w:t>
            </w:r>
            <w:r>
              <w:rPr>
                <w:rFonts w:ascii="Arial" w:cs="Arial" w:eastAsia="Arial" w:hAnsi="Arial"/>
                <w:sz w:val="26"/>
                <w:szCs w:val="26"/>
                <w:b w:val="1"/>
                <w:bCs w:val="1"/>
                <w:color w:val="auto"/>
                <w:w w:val="90"/>
                <w:vertAlign w:val="superscript"/>
              </w:rPr>
              <w:t>(1)</w:t>
            </w:r>
          </w:p>
        </w:tc>
        <w:tc>
          <w:tcPr>
            <w:tcW w:w="1400" w:type="dxa"/>
            <w:vAlign w:val="bottom"/>
            <w:tcBorders>
              <w:bottom w:val="single" w:sz="8" w:color="auto"/>
            </w:tcBorders>
          </w:tcPr>
          <w:p>
            <w:pPr>
              <w:ind w:left="600"/>
              <w:spacing w:after="0"/>
              <w:rPr>
                <w:sz w:val="20"/>
                <w:szCs w:val="20"/>
                <w:color w:val="auto"/>
              </w:rPr>
            </w:pPr>
            <w:r>
              <w:rPr>
                <w:rFonts w:ascii="Arial" w:cs="Arial" w:eastAsia="Arial" w:hAnsi="Arial"/>
                <w:sz w:val="17"/>
                <w:szCs w:val="17"/>
                <w:b w:val="1"/>
                <w:bCs w:val="1"/>
                <w:color w:val="auto"/>
              </w:rPr>
              <w:t>Number</w:t>
            </w:r>
          </w:p>
        </w:tc>
        <w:tc>
          <w:tcPr>
            <w:tcW w:w="420" w:type="dxa"/>
            <w:vAlign w:val="bottom"/>
            <w:tcBorders>
              <w:bottom w:val="single" w:sz="8" w:color="auto"/>
              <w:right w:val="single" w:sz="8" w:color="231F20"/>
            </w:tcBorders>
          </w:tcPr>
          <w:p>
            <w:pPr>
              <w:spacing w:after="0"/>
              <w:rPr>
                <w:sz w:val="24"/>
                <w:szCs w:val="24"/>
                <w:color w:val="auto"/>
              </w:rPr>
            </w:pPr>
          </w:p>
        </w:tc>
        <w:tc>
          <w:tcPr>
            <w:tcW w:w="1820" w:type="dxa"/>
            <w:vAlign w:val="bottom"/>
            <w:tcBorders>
              <w:bottom w:val="single" w:sz="8" w:color="auto"/>
              <w:right w:val="single" w:sz="8" w:color="231F20"/>
            </w:tcBorders>
          </w:tcPr>
          <w:p>
            <w:pPr>
              <w:ind w:left="640"/>
              <w:spacing w:after="0"/>
              <w:rPr>
                <w:sz w:val="20"/>
                <w:szCs w:val="20"/>
                <w:color w:val="auto"/>
              </w:rPr>
            </w:pPr>
            <w:r>
              <w:rPr>
                <w:rFonts w:ascii="Arial" w:cs="Arial" w:eastAsia="Arial" w:hAnsi="Arial"/>
                <w:sz w:val="17"/>
                <w:szCs w:val="17"/>
                <w:b w:val="1"/>
                <w:bCs w:val="1"/>
                <w:color w:val="auto"/>
              </w:rPr>
              <w:t>Value</w:t>
            </w:r>
            <w:r>
              <w:rPr>
                <w:rFonts w:ascii="Arial" w:cs="Arial" w:eastAsia="Arial" w:hAnsi="Arial"/>
                <w:sz w:val="26"/>
                <w:szCs w:val="26"/>
                <w:b w:val="1"/>
                <w:bCs w:val="1"/>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231F20"/>
            </w:tcBorders>
          </w:tcPr>
          <w:p>
            <w:pPr>
              <w:jc w:val="center"/>
              <w:spacing w:after="0"/>
              <w:rPr>
                <w:sz w:val="20"/>
                <w:szCs w:val="20"/>
                <w:color w:val="auto"/>
              </w:rPr>
            </w:pPr>
            <w:r>
              <w:rPr>
                <w:rFonts w:ascii="Arial" w:cs="Arial" w:eastAsia="Arial" w:hAnsi="Arial"/>
                <w:sz w:val="17"/>
                <w:szCs w:val="17"/>
                <w:b w:val="1"/>
                <w:bCs w:val="1"/>
                <w:color w:val="auto"/>
              </w:rPr>
              <w:t>Number</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231F20"/>
            </w:tcBorders>
          </w:tcPr>
          <w:p>
            <w:pPr>
              <w:jc w:val="center"/>
              <w:ind w:right="193"/>
              <w:spacing w:after="0"/>
              <w:rPr>
                <w:sz w:val="20"/>
                <w:szCs w:val="20"/>
                <w:color w:val="auto"/>
              </w:rPr>
            </w:pPr>
            <w:r>
              <w:rPr>
                <w:rFonts w:ascii="Arial" w:cs="Arial" w:eastAsia="Arial" w:hAnsi="Arial"/>
                <w:sz w:val="17"/>
                <w:szCs w:val="17"/>
                <w:b w:val="1"/>
                <w:bCs w:val="1"/>
                <w:color w:val="auto"/>
                <w:w w:val="93"/>
              </w:rPr>
              <w:t>Value</w:t>
            </w:r>
            <w:r>
              <w:rPr>
                <w:rFonts w:ascii="Arial" w:cs="Arial" w:eastAsia="Arial" w:hAnsi="Arial"/>
                <w:sz w:val="26"/>
                <w:szCs w:val="26"/>
                <w:b w:val="1"/>
                <w:bCs w:val="1"/>
                <w:color w:val="auto"/>
                <w:w w:val="93"/>
                <w:vertAlign w:val="superscript"/>
              </w:rPr>
              <w:t>(1)</w:t>
            </w:r>
          </w:p>
        </w:tc>
        <w:tc>
          <w:tcPr>
            <w:tcW w:w="0" w:type="dxa"/>
            <w:vAlign w:val="bottom"/>
          </w:tcPr>
          <w:p>
            <w:pPr>
              <w:spacing w:after="0"/>
              <w:rPr>
                <w:sz w:val="1"/>
                <w:szCs w:val="1"/>
                <w:color w:val="auto"/>
              </w:rPr>
            </w:pPr>
          </w:p>
        </w:tc>
      </w:tr>
      <w:tr>
        <w:trPr>
          <w:trHeight w:val="272"/>
        </w:trPr>
        <w:tc>
          <w:tcPr>
            <w:tcW w:w="1440" w:type="dxa"/>
            <w:vAlign w:val="bottom"/>
            <w:tcBorders>
              <w:left w:val="single" w:sz="8" w:color="231F20"/>
            </w:tcBorders>
          </w:tcPr>
          <w:p>
            <w:pPr>
              <w:ind w:left="540"/>
              <w:spacing w:after="0"/>
              <w:rPr>
                <w:sz w:val="20"/>
                <w:szCs w:val="20"/>
                <w:color w:val="auto"/>
              </w:rPr>
            </w:pPr>
            <w:r>
              <w:rPr>
                <w:rFonts w:ascii="Arial" w:cs="Arial" w:eastAsia="Arial" w:hAnsi="Arial"/>
                <w:sz w:val="17"/>
                <w:szCs w:val="17"/>
                <w:color w:val="auto"/>
              </w:rPr>
              <w:t>2,119,493</w:t>
            </w:r>
          </w:p>
        </w:tc>
        <w:tc>
          <w:tcPr>
            <w:tcW w:w="260" w:type="dxa"/>
            <w:vAlign w:val="bottom"/>
            <w:tcBorders>
              <w:right w:val="single" w:sz="8" w:color="231F20"/>
            </w:tcBorders>
          </w:tcPr>
          <w:p>
            <w:pPr>
              <w:spacing w:after="0"/>
              <w:rPr>
                <w:sz w:val="23"/>
                <w:szCs w:val="23"/>
                <w:color w:val="auto"/>
              </w:rPr>
            </w:pPr>
          </w:p>
        </w:tc>
        <w:tc>
          <w:tcPr>
            <w:tcW w:w="1840" w:type="dxa"/>
            <w:vAlign w:val="bottom"/>
            <w:tcBorders>
              <w:right w:val="single" w:sz="8" w:color="231F20"/>
            </w:tcBorders>
            <w:gridSpan w:val="2"/>
          </w:tcPr>
          <w:p>
            <w:pPr>
              <w:jc w:val="center"/>
              <w:spacing w:after="0"/>
              <w:rPr>
                <w:sz w:val="20"/>
                <w:szCs w:val="20"/>
                <w:color w:val="auto"/>
              </w:rPr>
            </w:pPr>
            <w:r>
              <w:rPr>
                <w:rFonts w:ascii="Arial" w:cs="Arial" w:eastAsia="Arial" w:hAnsi="Arial"/>
                <w:sz w:val="17"/>
                <w:szCs w:val="17"/>
                <w:color w:val="auto"/>
              </w:rPr>
              <w:t>$13,501,170</w:t>
            </w:r>
          </w:p>
        </w:tc>
        <w:tc>
          <w:tcPr>
            <w:tcW w:w="1400" w:type="dxa"/>
            <w:vAlign w:val="bottom"/>
          </w:tcPr>
          <w:p>
            <w:pPr>
              <w:ind w:left="620"/>
              <w:spacing w:after="0"/>
              <w:rPr>
                <w:sz w:val="20"/>
                <w:szCs w:val="20"/>
                <w:color w:val="auto"/>
              </w:rPr>
            </w:pPr>
            <w:r>
              <w:rPr>
                <w:rFonts w:ascii="Arial" w:cs="Arial" w:eastAsia="Arial" w:hAnsi="Arial"/>
                <w:sz w:val="17"/>
                <w:szCs w:val="17"/>
                <w:color w:val="auto"/>
              </w:rPr>
              <w:t>140,734</w:t>
            </w:r>
          </w:p>
        </w:tc>
        <w:tc>
          <w:tcPr>
            <w:tcW w:w="420" w:type="dxa"/>
            <w:vAlign w:val="bottom"/>
            <w:tcBorders>
              <w:right w:val="single" w:sz="8" w:color="231F20"/>
            </w:tcBorders>
          </w:tcPr>
          <w:p>
            <w:pPr>
              <w:spacing w:after="0"/>
              <w:rPr>
                <w:sz w:val="23"/>
                <w:szCs w:val="23"/>
                <w:color w:val="auto"/>
              </w:rPr>
            </w:pPr>
          </w:p>
        </w:tc>
        <w:tc>
          <w:tcPr>
            <w:tcW w:w="1820" w:type="dxa"/>
            <w:vAlign w:val="bottom"/>
            <w:tcBorders>
              <w:right w:val="single" w:sz="8" w:color="231F20"/>
            </w:tcBorders>
          </w:tcPr>
          <w:p>
            <w:pPr>
              <w:ind w:left="580"/>
              <w:spacing w:after="0"/>
              <w:rPr>
                <w:sz w:val="20"/>
                <w:szCs w:val="20"/>
                <w:color w:val="auto"/>
              </w:rPr>
            </w:pPr>
            <w:r>
              <w:rPr>
                <w:rFonts w:ascii="Arial" w:cs="Arial" w:eastAsia="Arial" w:hAnsi="Arial"/>
                <w:sz w:val="17"/>
                <w:szCs w:val="17"/>
                <w:color w:val="auto"/>
              </w:rPr>
              <w:t>$896,476</w:t>
            </w:r>
          </w:p>
        </w:tc>
        <w:tc>
          <w:tcPr>
            <w:tcW w:w="120" w:type="dxa"/>
            <w:vAlign w:val="bottom"/>
          </w:tcPr>
          <w:p>
            <w:pPr>
              <w:spacing w:after="0"/>
              <w:rPr>
                <w:sz w:val="23"/>
                <w:szCs w:val="23"/>
                <w:color w:val="auto"/>
              </w:rPr>
            </w:pPr>
          </w:p>
        </w:tc>
        <w:tc>
          <w:tcPr>
            <w:tcW w:w="1700" w:type="dxa"/>
            <w:vAlign w:val="bottom"/>
            <w:tcBorders>
              <w:right w:val="single" w:sz="8" w:color="231F20"/>
            </w:tcBorders>
          </w:tcPr>
          <w:p>
            <w:pPr>
              <w:jc w:val="right"/>
              <w:ind w:right="409"/>
              <w:spacing w:after="0"/>
              <w:rPr>
                <w:sz w:val="20"/>
                <w:szCs w:val="20"/>
                <w:color w:val="auto"/>
              </w:rPr>
            </w:pPr>
            <w:r>
              <w:rPr>
                <w:rFonts w:ascii="Arial" w:cs="Arial" w:eastAsia="Arial" w:hAnsi="Arial"/>
                <w:sz w:val="17"/>
                <w:szCs w:val="17"/>
                <w:color w:val="auto"/>
              </w:rPr>
              <w:t>2,260,227</w:t>
            </w:r>
          </w:p>
        </w:tc>
        <w:tc>
          <w:tcPr>
            <w:tcW w:w="320" w:type="dxa"/>
            <w:vAlign w:val="bottom"/>
          </w:tcPr>
          <w:p>
            <w:pPr>
              <w:spacing w:after="0"/>
              <w:rPr>
                <w:sz w:val="23"/>
                <w:szCs w:val="23"/>
                <w:color w:val="auto"/>
              </w:rPr>
            </w:pPr>
          </w:p>
        </w:tc>
        <w:tc>
          <w:tcPr>
            <w:tcW w:w="1380" w:type="dxa"/>
            <w:vAlign w:val="bottom"/>
            <w:tcBorders>
              <w:right w:val="single" w:sz="8" w:color="231F20"/>
            </w:tcBorders>
          </w:tcPr>
          <w:p>
            <w:pPr>
              <w:jc w:val="center"/>
              <w:ind w:right="193"/>
              <w:spacing w:after="0"/>
              <w:rPr>
                <w:sz w:val="20"/>
                <w:szCs w:val="20"/>
                <w:color w:val="auto"/>
              </w:rPr>
            </w:pPr>
            <w:r>
              <w:rPr>
                <w:rFonts w:ascii="Arial" w:cs="Arial" w:eastAsia="Arial" w:hAnsi="Arial"/>
                <w:sz w:val="17"/>
                <w:szCs w:val="17"/>
                <w:color w:val="auto"/>
              </w:rPr>
              <w:t>$14,397,646</w:t>
            </w:r>
          </w:p>
        </w:tc>
        <w:tc>
          <w:tcPr>
            <w:tcW w:w="0" w:type="dxa"/>
            <w:vAlign w:val="bottom"/>
          </w:tcPr>
          <w:p>
            <w:pPr>
              <w:spacing w:after="0"/>
              <w:rPr>
                <w:sz w:val="1"/>
                <w:szCs w:val="1"/>
                <w:color w:val="auto"/>
              </w:rPr>
            </w:pPr>
          </w:p>
        </w:tc>
      </w:tr>
      <w:tr>
        <w:trPr>
          <w:trHeight w:val="62"/>
        </w:trPr>
        <w:tc>
          <w:tcPr>
            <w:tcW w:w="1440" w:type="dxa"/>
            <w:vAlign w:val="bottom"/>
            <w:tcBorders>
              <w:left w:val="single" w:sz="8" w:color="231F20"/>
              <w:bottom w:val="single" w:sz="8" w:color="231F20"/>
            </w:tcBorders>
          </w:tcPr>
          <w:p>
            <w:pPr>
              <w:spacing w:after="0"/>
              <w:rPr>
                <w:sz w:val="5"/>
                <w:szCs w:val="5"/>
                <w:color w:val="auto"/>
              </w:rPr>
            </w:pPr>
          </w:p>
        </w:tc>
        <w:tc>
          <w:tcPr>
            <w:tcW w:w="260" w:type="dxa"/>
            <w:vAlign w:val="bottom"/>
            <w:tcBorders>
              <w:bottom w:val="single" w:sz="8" w:color="231F20"/>
              <w:right w:val="single" w:sz="8" w:color="231F20"/>
            </w:tcBorders>
          </w:tcPr>
          <w:p>
            <w:pPr>
              <w:spacing w:after="0"/>
              <w:rPr>
                <w:sz w:val="5"/>
                <w:szCs w:val="5"/>
                <w:color w:val="auto"/>
              </w:rPr>
            </w:pPr>
          </w:p>
        </w:tc>
        <w:tc>
          <w:tcPr>
            <w:tcW w:w="1180" w:type="dxa"/>
            <w:vAlign w:val="bottom"/>
            <w:tcBorders>
              <w:bottom w:val="single" w:sz="8" w:color="231F20"/>
            </w:tcBorders>
          </w:tcPr>
          <w:p>
            <w:pPr>
              <w:spacing w:after="0"/>
              <w:rPr>
                <w:sz w:val="5"/>
                <w:szCs w:val="5"/>
                <w:color w:val="auto"/>
              </w:rPr>
            </w:pPr>
          </w:p>
        </w:tc>
        <w:tc>
          <w:tcPr>
            <w:tcW w:w="660" w:type="dxa"/>
            <w:vAlign w:val="bottom"/>
            <w:tcBorders>
              <w:bottom w:val="single" w:sz="8" w:color="231F20"/>
              <w:right w:val="single" w:sz="8" w:color="231F20"/>
            </w:tcBorders>
          </w:tcPr>
          <w:p>
            <w:pPr>
              <w:spacing w:after="0"/>
              <w:rPr>
                <w:sz w:val="5"/>
                <w:szCs w:val="5"/>
                <w:color w:val="auto"/>
              </w:rPr>
            </w:pPr>
          </w:p>
        </w:tc>
        <w:tc>
          <w:tcPr>
            <w:tcW w:w="1400" w:type="dxa"/>
            <w:vAlign w:val="bottom"/>
            <w:tcBorders>
              <w:bottom w:val="single" w:sz="8" w:color="231F20"/>
            </w:tcBorders>
          </w:tcPr>
          <w:p>
            <w:pPr>
              <w:spacing w:after="0"/>
              <w:rPr>
                <w:sz w:val="5"/>
                <w:szCs w:val="5"/>
                <w:color w:val="auto"/>
              </w:rPr>
            </w:pPr>
          </w:p>
        </w:tc>
        <w:tc>
          <w:tcPr>
            <w:tcW w:w="420" w:type="dxa"/>
            <w:vAlign w:val="bottom"/>
            <w:tcBorders>
              <w:bottom w:val="single" w:sz="8" w:color="231F20"/>
              <w:right w:val="single" w:sz="8" w:color="231F20"/>
            </w:tcBorders>
          </w:tcPr>
          <w:p>
            <w:pPr>
              <w:spacing w:after="0"/>
              <w:rPr>
                <w:sz w:val="5"/>
                <w:szCs w:val="5"/>
                <w:color w:val="auto"/>
              </w:rPr>
            </w:pPr>
          </w:p>
        </w:tc>
        <w:tc>
          <w:tcPr>
            <w:tcW w:w="1820" w:type="dxa"/>
            <w:vAlign w:val="bottom"/>
            <w:tcBorders>
              <w:bottom w:val="single" w:sz="8" w:color="231F20"/>
              <w:right w:val="single" w:sz="8" w:color="231F20"/>
            </w:tcBorders>
          </w:tcPr>
          <w:p>
            <w:pPr>
              <w:spacing w:after="0"/>
              <w:rPr>
                <w:sz w:val="5"/>
                <w:szCs w:val="5"/>
                <w:color w:val="auto"/>
              </w:rPr>
            </w:pPr>
          </w:p>
        </w:tc>
        <w:tc>
          <w:tcPr>
            <w:tcW w:w="120" w:type="dxa"/>
            <w:vAlign w:val="bottom"/>
            <w:tcBorders>
              <w:bottom w:val="single" w:sz="8" w:color="231F20"/>
            </w:tcBorders>
          </w:tcPr>
          <w:p>
            <w:pPr>
              <w:spacing w:after="0"/>
              <w:rPr>
                <w:sz w:val="5"/>
                <w:szCs w:val="5"/>
                <w:color w:val="auto"/>
              </w:rPr>
            </w:pPr>
          </w:p>
        </w:tc>
        <w:tc>
          <w:tcPr>
            <w:tcW w:w="1700" w:type="dxa"/>
            <w:vAlign w:val="bottom"/>
            <w:tcBorders>
              <w:bottom w:val="single" w:sz="8" w:color="231F20"/>
              <w:right w:val="single" w:sz="8" w:color="231F20"/>
            </w:tcBorders>
          </w:tcPr>
          <w:p>
            <w:pPr>
              <w:spacing w:after="0"/>
              <w:rPr>
                <w:sz w:val="5"/>
                <w:szCs w:val="5"/>
                <w:color w:val="auto"/>
              </w:rPr>
            </w:pPr>
          </w:p>
        </w:tc>
        <w:tc>
          <w:tcPr>
            <w:tcW w:w="320" w:type="dxa"/>
            <w:vAlign w:val="bottom"/>
            <w:tcBorders>
              <w:bottom w:val="single" w:sz="8" w:color="231F20"/>
            </w:tcBorders>
          </w:tcPr>
          <w:p>
            <w:pPr>
              <w:spacing w:after="0"/>
              <w:rPr>
                <w:sz w:val="5"/>
                <w:szCs w:val="5"/>
                <w:color w:val="auto"/>
              </w:rPr>
            </w:pPr>
          </w:p>
        </w:tc>
        <w:tc>
          <w:tcPr>
            <w:tcW w:w="138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-5530215</wp:posOffset>
            </wp:positionV>
            <wp:extent cx="1605280" cy="2004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05280" cy="2004695"/>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700"/>
          </w:cols>
          <w:pgMar w:left="600" w:top="264" w:right="59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314"/>
        </w:trPr>
        <w:tc>
          <w:tcPr>
            <w:tcW w:w="2920" w:type="dxa"/>
            <w:vAlign w:val="bottom"/>
            <w:tcBorders>
              <w:top w:val="single" w:sz="8" w:color="231F20"/>
              <w:left w:val="single" w:sz="8" w:color="231F20"/>
              <w:right w:val="single" w:sz="8" w:color="auto"/>
            </w:tcBorders>
            <w:gridSpan w:val="2"/>
          </w:tcPr>
          <w:p>
            <w:pPr>
              <w:ind w:left="680"/>
              <w:spacing w:after="0"/>
              <w:rPr>
                <w:sz w:val="20"/>
                <w:szCs w:val="20"/>
                <w:color w:val="auto"/>
              </w:rPr>
            </w:pPr>
            <w:r>
              <w:rPr>
                <w:rFonts w:ascii="Arial" w:cs="Arial" w:eastAsia="Arial" w:hAnsi="Arial"/>
                <w:sz w:val="17"/>
                <w:szCs w:val="17"/>
                <w:b w:val="1"/>
                <w:bCs w:val="1"/>
                <w:color w:val="auto"/>
              </w:rPr>
              <w:t>GALE RUBENSTEIN</w:t>
            </w:r>
          </w:p>
        </w:tc>
        <w:tc>
          <w:tcPr>
            <w:tcW w:w="1480" w:type="dxa"/>
            <w:vAlign w:val="bottom"/>
            <w:tcBorders>
              <w:top w:val="single" w:sz="8" w:color="231F20"/>
              <w:bottom w:val="single" w:sz="8" w:color="003445"/>
            </w:tcBorders>
            <w:shd w:val="clear" w:color="auto" w:fill="003445"/>
          </w:tcPr>
          <w:p>
            <w:pPr>
              <w:spacing w:after="0"/>
              <w:rPr>
                <w:sz w:val="24"/>
                <w:szCs w:val="24"/>
                <w:color w:val="auto"/>
              </w:rPr>
            </w:pPr>
          </w:p>
        </w:tc>
        <w:tc>
          <w:tcPr>
            <w:tcW w:w="6300" w:type="dxa"/>
            <w:vAlign w:val="bottom"/>
            <w:tcBorders>
              <w:top w:val="single" w:sz="8" w:color="231F20"/>
              <w:bottom w:val="single" w:sz="8" w:color="003445"/>
              <w:right w:val="single" w:sz="8" w:color="231F20"/>
            </w:tcBorders>
            <w:gridSpan w:val="4"/>
            <w:shd w:val="clear" w:color="auto" w:fill="003445"/>
          </w:tcPr>
          <w:p>
            <w:pPr>
              <w:jc w:val="center"/>
              <w:ind w:right="1348"/>
              <w:spacing w:after="0"/>
              <w:rPr>
                <w:sz w:val="20"/>
                <w:szCs w:val="20"/>
                <w:color w:val="auto"/>
              </w:rPr>
            </w:pPr>
            <w:r>
              <w:rPr>
                <w:rFonts w:ascii="Arial" w:cs="Arial" w:eastAsia="Arial" w:hAnsi="Arial"/>
                <w:sz w:val="17"/>
                <w:szCs w:val="17"/>
                <w:b w:val="1"/>
                <w:bCs w:val="1"/>
                <w:color w:val="FFFFFF"/>
              </w:rPr>
              <w:t>Biographical Information and Principal Occupation</w:t>
            </w:r>
          </w:p>
        </w:tc>
        <w:tc>
          <w:tcPr>
            <w:tcW w:w="0" w:type="dxa"/>
            <w:vAlign w:val="bottom"/>
          </w:tcPr>
          <w:p>
            <w:pPr>
              <w:spacing w:after="0"/>
              <w:rPr>
                <w:sz w:val="1"/>
                <w:szCs w:val="1"/>
                <w:color w:val="auto"/>
              </w:rPr>
            </w:pPr>
          </w:p>
        </w:tc>
      </w:tr>
      <w:tr>
        <w:trPr>
          <w:trHeight w:val="238"/>
        </w:trPr>
        <w:tc>
          <w:tcPr>
            <w:tcW w:w="2780" w:type="dxa"/>
            <w:vAlign w:val="bottom"/>
            <w:tcBorders>
              <w:top w:val="single" w:sz="8" w:color="231F20"/>
              <w:left w:val="single" w:sz="8" w:color="231F20"/>
            </w:tcBorders>
          </w:tcPr>
          <w:p>
            <w:pPr>
              <w:spacing w:after="0"/>
              <w:rPr>
                <w:sz w:val="20"/>
                <w:szCs w:val="20"/>
                <w:color w:val="auto"/>
              </w:rPr>
            </w:pPr>
          </w:p>
        </w:tc>
        <w:tc>
          <w:tcPr>
            <w:tcW w:w="140" w:type="dxa"/>
            <w:vAlign w:val="bottom"/>
            <w:tcBorders>
              <w:top w:val="single" w:sz="8" w:color="231F20"/>
              <w:right w:val="single" w:sz="8" w:color="auto"/>
            </w:tcBorders>
          </w:tcPr>
          <w:p>
            <w:pPr>
              <w:spacing w:after="0"/>
              <w:rPr>
                <w:sz w:val="20"/>
                <w:szCs w:val="20"/>
                <w:color w:val="auto"/>
              </w:rPr>
            </w:pPr>
          </w:p>
        </w:tc>
        <w:tc>
          <w:tcPr>
            <w:tcW w:w="7780" w:type="dxa"/>
            <w:vAlign w:val="bottom"/>
            <w:tcBorders>
              <w:top w:val="single" w:sz="8" w:color="231F20"/>
              <w:right w:val="single" w:sz="8" w:color="231F20"/>
            </w:tcBorders>
            <w:gridSpan w:val="5"/>
          </w:tcPr>
          <w:p>
            <w:pPr>
              <w:ind w:left="80"/>
              <w:spacing w:after="0"/>
              <w:rPr>
                <w:sz w:val="20"/>
                <w:szCs w:val="20"/>
                <w:color w:val="auto"/>
              </w:rPr>
            </w:pPr>
            <w:r>
              <w:rPr>
                <w:rFonts w:ascii="Arial" w:cs="Arial" w:eastAsia="Arial" w:hAnsi="Arial"/>
                <w:sz w:val="17"/>
                <w:szCs w:val="17"/>
                <w:color w:val="auto"/>
              </w:rPr>
              <w:t>Ms. Rubenstein is an experienced board director with expertise in corporate pensions and</w:t>
            </w:r>
          </w:p>
        </w:tc>
        <w:tc>
          <w:tcPr>
            <w:tcW w:w="0" w:type="dxa"/>
            <w:vAlign w:val="bottom"/>
          </w:tcPr>
          <w:p>
            <w:pPr>
              <w:spacing w:after="0"/>
              <w:rPr>
                <w:sz w:val="1"/>
                <w:szCs w:val="1"/>
                <w:color w:val="auto"/>
              </w:rPr>
            </w:pPr>
          </w:p>
        </w:tc>
      </w:tr>
      <w:tr>
        <w:trPr>
          <w:trHeight w:val="196"/>
        </w:trPr>
        <w:tc>
          <w:tcPr>
            <w:tcW w:w="2780" w:type="dxa"/>
            <w:vAlign w:val="bottom"/>
            <w:tcBorders>
              <w:left w:val="single" w:sz="8" w:color="231F20"/>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7780" w:type="dxa"/>
            <w:vAlign w:val="bottom"/>
            <w:tcBorders>
              <w:right w:val="single" w:sz="8" w:color="231F20"/>
            </w:tcBorders>
            <w:gridSpan w:val="5"/>
          </w:tcPr>
          <w:p>
            <w:pPr>
              <w:ind w:left="80"/>
              <w:spacing w:after="0"/>
              <w:rPr>
                <w:sz w:val="20"/>
                <w:szCs w:val="20"/>
                <w:color w:val="auto"/>
              </w:rPr>
            </w:pPr>
            <w:r>
              <w:rPr>
                <w:rFonts w:ascii="Arial" w:cs="Arial" w:eastAsia="Arial" w:hAnsi="Arial"/>
                <w:sz w:val="17"/>
                <w:szCs w:val="17"/>
                <w:color w:val="auto"/>
              </w:rPr>
              <w:t>regulatory matters, corporate governance, restructuring, and crisis management. She has spent</w:t>
            </w:r>
          </w:p>
        </w:tc>
        <w:tc>
          <w:tcPr>
            <w:tcW w:w="0" w:type="dxa"/>
            <w:vAlign w:val="bottom"/>
          </w:tcPr>
          <w:p>
            <w:pPr>
              <w:spacing w:after="0"/>
              <w:rPr>
                <w:sz w:val="1"/>
                <w:szCs w:val="1"/>
                <w:color w:val="auto"/>
              </w:rPr>
            </w:pPr>
          </w:p>
        </w:tc>
      </w:tr>
      <w:tr>
        <w:trPr>
          <w:trHeight w:val="196"/>
        </w:trPr>
        <w:tc>
          <w:tcPr>
            <w:tcW w:w="2780" w:type="dxa"/>
            <w:vAlign w:val="bottom"/>
            <w:tcBorders>
              <w:left w:val="single" w:sz="8" w:color="231F20"/>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7780" w:type="dxa"/>
            <w:vAlign w:val="bottom"/>
            <w:tcBorders>
              <w:right w:val="single" w:sz="8" w:color="231F20"/>
            </w:tcBorders>
            <w:gridSpan w:val="5"/>
          </w:tcPr>
          <w:p>
            <w:pPr>
              <w:ind w:left="80"/>
              <w:spacing w:after="0"/>
              <w:rPr>
                <w:sz w:val="20"/>
                <w:szCs w:val="20"/>
                <w:color w:val="auto"/>
              </w:rPr>
            </w:pPr>
            <w:r>
              <w:rPr>
                <w:rFonts w:ascii="Arial" w:cs="Arial" w:eastAsia="Arial" w:hAnsi="Arial"/>
                <w:sz w:val="17"/>
                <w:szCs w:val="17"/>
                <w:color w:val="auto"/>
              </w:rPr>
              <w:t>the last 40 years of her career with Goodmans LLP, including as a partner in the firm since 1986.</w:t>
            </w:r>
          </w:p>
        </w:tc>
        <w:tc>
          <w:tcPr>
            <w:tcW w:w="0" w:type="dxa"/>
            <w:vAlign w:val="bottom"/>
          </w:tcPr>
          <w:p>
            <w:pPr>
              <w:spacing w:after="0"/>
              <w:rPr>
                <w:sz w:val="1"/>
                <w:szCs w:val="1"/>
                <w:color w:val="auto"/>
              </w:rPr>
            </w:pPr>
          </w:p>
        </w:tc>
      </w:tr>
      <w:tr>
        <w:trPr>
          <w:trHeight w:val="196"/>
        </w:trPr>
        <w:tc>
          <w:tcPr>
            <w:tcW w:w="2780" w:type="dxa"/>
            <w:vAlign w:val="bottom"/>
            <w:tcBorders>
              <w:left w:val="single" w:sz="8" w:color="231F20"/>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7780" w:type="dxa"/>
            <w:vAlign w:val="bottom"/>
            <w:tcBorders>
              <w:right w:val="single" w:sz="8" w:color="231F20"/>
            </w:tcBorders>
            <w:gridSpan w:val="5"/>
          </w:tcPr>
          <w:p>
            <w:pPr>
              <w:ind w:left="80"/>
              <w:spacing w:after="0"/>
              <w:rPr>
                <w:sz w:val="20"/>
                <w:szCs w:val="20"/>
                <w:color w:val="auto"/>
              </w:rPr>
            </w:pPr>
            <w:r>
              <w:rPr>
                <w:rFonts w:ascii="Arial" w:cs="Arial" w:eastAsia="Arial" w:hAnsi="Arial"/>
                <w:sz w:val="17"/>
                <w:szCs w:val="17"/>
                <w:color w:val="auto"/>
              </w:rPr>
              <w:t>Ms. Rubenstein’s board experience includes the University Pension Plan Ontario – Inaugural Chair</w:t>
            </w:r>
          </w:p>
        </w:tc>
        <w:tc>
          <w:tcPr>
            <w:tcW w:w="0" w:type="dxa"/>
            <w:vAlign w:val="bottom"/>
          </w:tcPr>
          <w:p>
            <w:pPr>
              <w:spacing w:after="0"/>
              <w:rPr>
                <w:sz w:val="1"/>
                <w:szCs w:val="1"/>
                <w:color w:val="auto"/>
              </w:rPr>
            </w:pPr>
          </w:p>
        </w:tc>
      </w:tr>
      <w:tr>
        <w:trPr>
          <w:trHeight w:val="196"/>
        </w:trPr>
        <w:tc>
          <w:tcPr>
            <w:tcW w:w="2780" w:type="dxa"/>
            <w:vAlign w:val="bottom"/>
            <w:tcBorders>
              <w:left w:val="single" w:sz="8" w:color="231F20"/>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7780" w:type="dxa"/>
            <w:vAlign w:val="bottom"/>
            <w:tcBorders>
              <w:right w:val="single" w:sz="8" w:color="231F20"/>
            </w:tcBorders>
            <w:gridSpan w:val="5"/>
          </w:tcPr>
          <w:p>
            <w:pPr>
              <w:ind w:left="80"/>
              <w:spacing w:after="0"/>
              <w:rPr>
                <w:sz w:val="20"/>
                <w:szCs w:val="20"/>
                <w:color w:val="auto"/>
              </w:rPr>
            </w:pPr>
            <w:r>
              <w:rPr>
                <w:rFonts w:ascii="Arial" w:cs="Arial" w:eastAsia="Arial" w:hAnsi="Arial"/>
                <w:sz w:val="17"/>
                <w:szCs w:val="17"/>
                <w:color w:val="auto"/>
              </w:rPr>
              <w:t>Board of Trustees since 2019, currently serves on the board of the Scarborough Health Network,</w:t>
            </w:r>
          </w:p>
        </w:tc>
        <w:tc>
          <w:tcPr>
            <w:tcW w:w="0" w:type="dxa"/>
            <w:vAlign w:val="bottom"/>
          </w:tcPr>
          <w:p>
            <w:pPr>
              <w:spacing w:after="0"/>
              <w:rPr>
                <w:sz w:val="1"/>
                <w:szCs w:val="1"/>
                <w:color w:val="auto"/>
              </w:rPr>
            </w:pPr>
          </w:p>
        </w:tc>
      </w:tr>
      <w:tr>
        <w:trPr>
          <w:trHeight w:val="196"/>
        </w:trPr>
        <w:tc>
          <w:tcPr>
            <w:tcW w:w="2780" w:type="dxa"/>
            <w:vAlign w:val="bottom"/>
            <w:tcBorders>
              <w:left w:val="single" w:sz="8" w:color="231F20"/>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7780" w:type="dxa"/>
            <w:vAlign w:val="bottom"/>
            <w:tcBorders>
              <w:right w:val="single" w:sz="8" w:color="231F20"/>
            </w:tcBorders>
            <w:gridSpan w:val="5"/>
          </w:tcPr>
          <w:p>
            <w:pPr>
              <w:ind w:left="80"/>
              <w:spacing w:after="0"/>
              <w:rPr>
                <w:sz w:val="20"/>
                <w:szCs w:val="20"/>
                <w:color w:val="auto"/>
              </w:rPr>
            </w:pPr>
            <w:r>
              <w:rPr>
                <w:rFonts w:ascii="Arial" w:cs="Arial" w:eastAsia="Arial" w:hAnsi="Arial"/>
                <w:sz w:val="17"/>
                <w:szCs w:val="17"/>
                <w:color w:val="auto"/>
              </w:rPr>
              <w:t>was a director of Hydro One from 2007-2018, and of of the Canadian Lawyers Liability Assurance</w:t>
            </w:r>
          </w:p>
        </w:tc>
        <w:tc>
          <w:tcPr>
            <w:tcW w:w="0" w:type="dxa"/>
            <w:vAlign w:val="bottom"/>
          </w:tcPr>
          <w:p>
            <w:pPr>
              <w:spacing w:after="0"/>
              <w:rPr>
                <w:sz w:val="1"/>
                <w:szCs w:val="1"/>
                <w:color w:val="auto"/>
              </w:rPr>
            </w:pPr>
          </w:p>
        </w:tc>
      </w:tr>
      <w:tr>
        <w:trPr>
          <w:trHeight w:val="196"/>
        </w:trPr>
        <w:tc>
          <w:tcPr>
            <w:tcW w:w="2780" w:type="dxa"/>
            <w:vAlign w:val="bottom"/>
            <w:tcBorders>
              <w:left w:val="single" w:sz="8" w:color="231F20"/>
            </w:tcBorders>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7780" w:type="dxa"/>
            <w:vAlign w:val="bottom"/>
            <w:tcBorders>
              <w:right w:val="single" w:sz="8" w:color="231F20"/>
            </w:tcBorders>
            <w:gridSpan w:val="5"/>
          </w:tcPr>
          <w:p>
            <w:pPr>
              <w:ind w:left="80"/>
              <w:spacing w:after="0"/>
              <w:rPr>
                <w:sz w:val="20"/>
                <w:szCs w:val="20"/>
                <w:color w:val="auto"/>
              </w:rPr>
            </w:pPr>
            <w:r>
              <w:rPr>
                <w:rFonts w:ascii="Arial" w:cs="Arial" w:eastAsia="Arial" w:hAnsi="Arial"/>
                <w:sz w:val="17"/>
                <w:szCs w:val="17"/>
                <w:color w:val="auto"/>
              </w:rPr>
              <w:t>Society from 1990-2012. Ms. Rubenstein is a member of the Law Society of Ontario and a Fellow</w:t>
            </w:r>
          </w:p>
        </w:tc>
        <w:tc>
          <w:tcPr>
            <w:tcW w:w="0" w:type="dxa"/>
            <w:vAlign w:val="bottom"/>
          </w:tcPr>
          <w:p>
            <w:pPr>
              <w:spacing w:after="0"/>
              <w:rPr>
                <w:sz w:val="1"/>
                <w:szCs w:val="1"/>
                <w:color w:val="auto"/>
              </w:rPr>
            </w:pPr>
          </w:p>
        </w:tc>
      </w:tr>
      <w:tr>
        <w:trPr>
          <w:trHeight w:val="230"/>
        </w:trPr>
        <w:tc>
          <w:tcPr>
            <w:tcW w:w="2780" w:type="dxa"/>
            <w:vAlign w:val="bottom"/>
            <w:tcBorders>
              <w:left w:val="single" w:sz="8" w:color="231F20"/>
            </w:tcBorders>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7780" w:type="dxa"/>
            <w:vAlign w:val="bottom"/>
            <w:tcBorders>
              <w:right w:val="single" w:sz="8" w:color="231F20"/>
            </w:tcBorders>
            <w:gridSpan w:val="5"/>
          </w:tcPr>
          <w:p>
            <w:pPr>
              <w:ind w:left="80"/>
              <w:spacing w:after="0"/>
              <w:rPr>
                <w:sz w:val="20"/>
                <w:szCs w:val="20"/>
                <w:color w:val="auto"/>
              </w:rPr>
            </w:pPr>
            <w:r>
              <w:rPr>
                <w:rFonts w:ascii="Arial" w:cs="Arial" w:eastAsia="Arial" w:hAnsi="Arial"/>
                <w:sz w:val="17"/>
                <w:szCs w:val="17"/>
                <w:color w:val="auto"/>
              </w:rPr>
              <w:t>of the Insolvency Institute of Canada. She received her LL. B. from Osgoode Hall Law School.</w:t>
            </w:r>
          </w:p>
        </w:tc>
        <w:tc>
          <w:tcPr>
            <w:tcW w:w="0" w:type="dxa"/>
            <w:vAlign w:val="bottom"/>
          </w:tcPr>
          <w:p>
            <w:pPr>
              <w:spacing w:after="0"/>
              <w:rPr>
                <w:sz w:val="1"/>
                <w:szCs w:val="1"/>
                <w:color w:val="auto"/>
              </w:rPr>
            </w:pPr>
          </w:p>
        </w:tc>
      </w:tr>
      <w:tr>
        <w:trPr>
          <w:trHeight w:val="1057"/>
        </w:trPr>
        <w:tc>
          <w:tcPr>
            <w:tcW w:w="2780" w:type="dxa"/>
            <w:vAlign w:val="bottom"/>
            <w:tcBorders>
              <w:left w:val="single" w:sz="8" w:color="231F20"/>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920" w:type="dxa"/>
            <w:vAlign w:val="bottom"/>
            <w:tcBorders>
              <w:left w:val="single" w:sz="8" w:color="231F20"/>
              <w:right w:val="single" w:sz="8" w:color="auto"/>
            </w:tcBorders>
            <w:gridSpan w:val="2"/>
          </w:tcPr>
          <w:p>
            <w:pPr>
              <w:ind w:left="160"/>
              <w:spacing w:after="0"/>
              <w:rPr>
                <w:sz w:val="20"/>
                <w:szCs w:val="20"/>
                <w:color w:val="auto"/>
              </w:rPr>
            </w:pPr>
            <w:r>
              <w:rPr>
                <w:rFonts w:ascii="Arial" w:cs="Arial" w:eastAsia="Arial" w:hAnsi="Arial"/>
                <w:sz w:val="17"/>
                <w:szCs w:val="17"/>
                <w:color w:val="auto"/>
              </w:rPr>
              <w:t>Age: 73</w:t>
            </w:r>
          </w:p>
        </w:tc>
        <w:tc>
          <w:tcPr>
            <w:tcW w:w="1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40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20" w:type="dxa"/>
            <w:vAlign w:val="bottom"/>
            <w:tcBorders>
              <w:left w:val="single" w:sz="8" w:color="231F20"/>
              <w:right w:val="single" w:sz="8" w:color="auto"/>
            </w:tcBorders>
            <w:gridSpan w:val="2"/>
          </w:tcPr>
          <w:p>
            <w:pPr>
              <w:ind w:left="160"/>
              <w:spacing w:after="0"/>
              <w:rPr>
                <w:sz w:val="20"/>
                <w:szCs w:val="20"/>
                <w:color w:val="auto"/>
              </w:rPr>
            </w:pPr>
            <w:r>
              <w:rPr>
                <w:rFonts w:ascii="Arial" w:cs="Arial" w:eastAsia="Arial" w:hAnsi="Arial"/>
                <w:sz w:val="19"/>
                <w:szCs w:val="19"/>
                <w:color w:val="auto"/>
              </w:rPr>
              <w:t>Location: Toronto, Ontario,</w:t>
            </w:r>
          </w:p>
        </w:tc>
        <w:tc>
          <w:tcPr>
            <w:tcW w:w="1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340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920" w:type="dxa"/>
            <w:vAlign w:val="bottom"/>
            <w:tcBorders>
              <w:left w:val="single" w:sz="8" w:color="231F20"/>
              <w:right w:val="single" w:sz="8" w:color="auto"/>
            </w:tcBorders>
            <w:gridSpan w:val="2"/>
          </w:tcPr>
          <w:p>
            <w:pPr>
              <w:ind w:left="160"/>
              <w:spacing w:after="0"/>
              <w:rPr>
                <w:sz w:val="20"/>
                <w:szCs w:val="20"/>
                <w:color w:val="auto"/>
              </w:rPr>
            </w:pPr>
            <w:r>
              <w:rPr>
                <w:rFonts w:ascii="Arial" w:cs="Arial" w:eastAsia="Arial" w:hAnsi="Arial"/>
                <w:sz w:val="19"/>
                <w:szCs w:val="19"/>
                <w:color w:val="auto"/>
              </w:rPr>
              <w:t>Canada</w:t>
            </w:r>
          </w:p>
        </w:tc>
        <w:tc>
          <w:tcPr>
            <w:tcW w:w="1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40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920" w:type="dxa"/>
            <w:vAlign w:val="bottom"/>
            <w:tcBorders>
              <w:left w:val="single" w:sz="8" w:color="231F20"/>
              <w:right w:val="single" w:sz="8" w:color="auto"/>
            </w:tcBorders>
            <w:gridSpan w:val="2"/>
          </w:tcPr>
          <w:p>
            <w:pPr>
              <w:ind w:left="160"/>
              <w:spacing w:after="0"/>
              <w:rPr>
                <w:sz w:val="20"/>
                <w:szCs w:val="20"/>
                <w:color w:val="auto"/>
              </w:rPr>
            </w:pPr>
            <w:r>
              <w:rPr>
                <w:rFonts w:ascii="Arial" w:cs="Arial" w:eastAsia="Arial" w:hAnsi="Arial"/>
                <w:sz w:val="17"/>
                <w:szCs w:val="17"/>
                <w:color w:val="auto"/>
              </w:rPr>
              <w:t>Director Since: October 2021</w:t>
            </w:r>
          </w:p>
        </w:tc>
        <w:tc>
          <w:tcPr>
            <w:tcW w:w="1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40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780" w:type="dxa"/>
            <w:vAlign w:val="bottom"/>
            <w:tcBorders>
              <w:left w:val="single" w:sz="8" w:color="231F20"/>
              <w:bottom w:val="single" w:sz="8" w:color="231F20"/>
            </w:tcBorders>
          </w:tcPr>
          <w:p>
            <w:pPr>
              <w:spacing w:after="0"/>
              <w:rPr>
                <w:sz w:val="5"/>
                <w:szCs w:val="5"/>
                <w:color w:val="auto"/>
              </w:rPr>
            </w:pPr>
          </w:p>
        </w:tc>
        <w:tc>
          <w:tcPr>
            <w:tcW w:w="140" w:type="dxa"/>
            <w:vAlign w:val="bottom"/>
            <w:tcBorders>
              <w:bottom w:val="single" w:sz="8" w:color="231F20"/>
              <w:right w:val="single" w:sz="8" w:color="auto"/>
            </w:tcBorders>
          </w:tcPr>
          <w:p>
            <w:pPr>
              <w:spacing w:after="0"/>
              <w:rPr>
                <w:sz w:val="5"/>
                <w:szCs w:val="5"/>
                <w:color w:val="auto"/>
              </w:rPr>
            </w:pPr>
          </w:p>
        </w:tc>
        <w:tc>
          <w:tcPr>
            <w:tcW w:w="1480" w:type="dxa"/>
            <w:vAlign w:val="bottom"/>
            <w:tcBorders>
              <w:bottom w:val="single" w:sz="8" w:color="231F20"/>
            </w:tcBorders>
          </w:tcPr>
          <w:p>
            <w:pPr>
              <w:spacing w:after="0"/>
              <w:rPr>
                <w:sz w:val="5"/>
                <w:szCs w:val="5"/>
                <w:color w:val="auto"/>
              </w:rPr>
            </w:pPr>
          </w:p>
        </w:tc>
        <w:tc>
          <w:tcPr>
            <w:tcW w:w="540" w:type="dxa"/>
            <w:vAlign w:val="bottom"/>
            <w:tcBorders>
              <w:bottom w:val="single" w:sz="8" w:color="231F20"/>
            </w:tcBorders>
          </w:tcPr>
          <w:p>
            <w:pPr>
              <w:spacing w:after="0"/>
              <w:rPr>
                <w:sz w:val="5"/>
                <w:szCs w:val="5"/>
                <w:color w:val="auto"/>
              </w:rPr>
            </w:pPr>
          </w:p>
        </w:tc>
        <w:tc>
          <w:tcPr>
            <w:tcW w:w="520" w:type="dxa"/>
            <w:vAlign w:val="bottom"/>
            <w:tcBorders>
              <w:bottom w:val="single" w:sz="8" w:color="231F20"/>
            </w:tcBorders>
          </w:tcPr>
          <w:p>
            <w:pPr>
              <w:spacing w:after="0"/>
              <w:rPr>
                <w:sz w:val="5"/>
                <w:szCs w:val="5"/>
                <w:color w:val="auto"/>
              </w:rPr>
            </w:pPr>
          </w:p>
        </w:tc>
        <w:tc>
          <w:tcPr>
            <w:tcW w:w="1840" w:type="dxa"/>
            <w:vAlign w:val="bottom"/>
            <w:tcBorders>
              <w:bottom w:val="single" w:sz="8" w:color="231F20"/>
            </w:tcBorders>
          </w:tcPr>
          <w:p>
            <w:pPr>
              <w:spacing w:after="0"/>
              <w:rPr>
                <w:sz w:val="5"/>
                <w:szCs w:val="5"/>
                <w:color w:val="auto"/>
              </w:rPr>
            </w:pPr>
          </w:p>
        </w:tc>
        <w:tc>
          <w:tcPr>
            <w:tcW w:w="340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94"/>
        </w:trPr>
        <w:tc>
          <w:tcPr>
            <w:tcW w:w="2920" w:type="dxa"/>
            <w:vAlign w:val="bottom"/>
            <w:tcBorders>
              <w:left w:val="single" w:sz="8" w:color="231F20"/>
              <w:right w:val="single" w:sz="8" w:color="231F20"/>
            </w:tcBorders>
            <w:gridSpan w:val="2"/>
          </w:tcPr>
          <w:p>
            <w:pPr>
              <w:ind w:left="160"/>
              <w:spacing w:after="0"/>
              <w:rPr>
                <w:sz w:val="20"/>
                <w:szCs w:val="20"/>
                <w:color w:val="auto"/>
              </w:rPr>
            </w:pPr>
            <w:r>
              <w:rPr>
                <w:rFonts w:ascii="Arial" w:cs="Arial" w:eastAsia="Arial" w:hAnsi="Arial"/>
                <w:sz w:val="17"/>
                <w:szCs w:val="17"/>
                <w:color w:val="auto"/>
              </w:rPr>
              <w:t xml:space="preserve">Status: </w:t>
            </w:r>
            <w:r>
              <w:rPr>
                <w:rFonts w:ascii="Arial" w:cs="Arial" w:eastAsia="Arial" w:hAnsi="Arial"/>
                <w:sz w:val="17"/>
                <w:szCs w:val="17"/>
                <w:b w:val="1"/>
                <w:bCs w:val="1"/>
                <w:color w:val="auto"/>
              </w:rPr>
              <w:t>INDEPENDENT</w:t>
            </w:r>
          </w:p>
        </w:tc>
        <w:tc>
          <w:tcPr>
            <w:tcW w:w="1480" w:type="dxa"/>
            <w:vAlign w:val="bottom"/>
            <w:tcBorders>
              <w:bottom w:val="single" w:sz="8" w:color="003445"/>
            </w:tcBorders>
            <w:shd w:val="clear" w:color="auto" w:fill="003445"/>
          </w:tcPr>
          <w:p>
            <w:pPr>
              <w:spacing w:after="0"/>
              <w:rPr>
                <w:sz w:val="24"/>
                <w:szCs w:val="24"/>
                <w:color w:val="auto"/>
              </w:rPr>
            </w:pPr>
          </w:p>
        </w:tc>
        <w:tc>
          <w:tcPr>
            <w:tcW w:w="540" w:type="dxa"/>
            <w:vAlign w:val="bottom"/>
            <w:tcBorders>
              <w:bottom w:val="single" w:sz="8" w:color="003445"/>
              <w:right w:val="single" w:sz="8" w:color="003445"/>
            </w:tcBorders>
            <w:shd w:val="clear" w:color="auto" w:fill="003445"/>
          </w:tcPr>
          <w:p>
            <w:pPr>
              <w:spacing w:after="0"/>
              <w:rPr>
                <w:sz w:val="24"/>
                <w:szCs w:val="24"/>
                <w:color w:val="auto"/>
              </w:rPr>
            </w:pPr>
          </w:p>
        </w:tc>
        <w:tc>
          <w:tcPr>
            <w:tcW w:w="5760" w:type="dxa"/>
            <w:vAlign w:val="bottom"/>
            <w:tcBorders>
              <w:bottom w:val="single" w:sz="8" w:color="003445"/>
              <w:right w:val="single" w:sz="8" w:color="231F20"/>
            </w:tcBorders>
            <w:gridSpan w:val="3"/>
            <w:shd w:val="clear" w:color="auto" w:fill="003445"/>
          </w:tcPr>
          <w:p>
            <w:pPr>
              <w:jc w:val="center"/>
              <w:ind w:right="1908"/>
              <w:spacing w:after="0"/>
              <w:rPr>
                <w:sz w:val="20"/>
                <w:szCs w:val="20"/>
                <w:color w:val="auto"/>
              </w:rPr>
            </w:pPr>
            <w:r>
              <w:rPr>
                <w:rFonts w:ascii="Arial" w:cs="Arial" w:eastAsia="Arial" w:hAnsi="Arial"/>
                <w:sz w:val="17"/>
                <w:szCs w:val="17"/>
                <w:b w:val="1"/>
                <w:bCs w:val="1"/>
                <w:color w:val="FFFFFF"/>
              </w:rPr>
              <w:t>Other Public Board Memberships</w:t>
            </w:r>
          </w:p>
        </w:tc>
        <w:tc>
          <w:tcPr>
            <w:tcW w:w="0" w:type="dxa"/>
            <w:vAlign w:val="bottom"/>
          </w:tcPr>
          <w:p>
            <w:pPr>
              <w:spacing w:after="0"/>
              <w:rPr>
                <w:sz w:val="1"/>
                <w:szCs w:val="1"/>
                <w:color w:val="auto"/>
              </w:rPr>
            </w:pPr>
          </w:p>
        </w:tc>
      </w:tr>
      <w:tr>
        <w:trPr>
          <w:trHeight w:val="242"/>
        </w:trPr>
        <w:tc>
          <w:tcPr>
            <w:tcW w:w="2780" w:type="dxa"/>
            <w:vAlign w:val="bottom"/>
            <w:tcBorders>
              <w:top w:val="single" w:sz="8" w:color="231F20"/>
              <w:left w:val="single" w:sz="8" w:color="231F20"/>
              <w:bottom w:val="single" w:sz="8" w:color="231F20"/>
            </w:tcBorders>
          </w:tcPr>
          <w:p>
            <w:pPr>
              <w:spacing w:after="0"/>
              <w:rPr>
                <w:sz w:val="21"/>
                <w:szCs w:val="21"/>
                <w:color w:val="auto"/>
              </w:rPr>
            </w:pPr>
          </w:p>
        </w:tc>
        <w:tc>
          <w:tcPr>
            <w:tcW w:w="140" w:type="dxa"/>
            <w:vAlign w:val="bottom"/>
            <w:tcBorders>
              <w:top w:val="single" w:sz="8" w:color="231F20"/>
              <w:bottom w:val="single" w:sz="8" w:color="231F20"/>
              <w:right w:val="single" w:sz="8" w:color="231F20"/>
            </w:tcBorders>
          </w:tcPr>
          <w:p>
            <w:pPr>
              <w:spacing w:after="0"/>
              <w:rPr>
                <w:sz w:val="21"/>
                <w:szCs w:val="21"/>
                <w:color w:val="auto"/>
              </w:rPr>
            </w:pPr>
          </w:p>
        </w:tc>
        <w:tc>
          <w:tcPr>
            <w:tcW w:w="1480" w:type="dxa"/>
            <w:vAlign w:val="bottom"/>
            <w:tcBorders>
              <w:top w:val="single" w:sz="8" w:color="231F20"/>
              <w:bottom w:val="single" w:sz="8" w:color="231F20"/>
            </w:tcBorders>
          </w:tcPr>
          <w:p>
            <w:pPr>
              <w:ind w:left="80"/>
              <w:spacing w:after="0"/>
              <w:rPr>
                <w:sz w:val="20"/>
                <w:szCs w:val="20"/>
                <w:color w:val="auto"/>
              </w:rPr>
            </w:pPr>
            <w:r>
              <w:rPr>
                <w:rFonts w:ascii="Arial" w:cs="Arial" w:eastAsia="Arial" w:hAnsi="Arial"/>
                <w:sz w:val="17"/>
                <w:szCs w:val="17"/>
                <w:color w:val="auto"/>
              </w:rPr>
              <w:t>N/A</w:t>
            </w:r>
          </w:p>
        </w:tc>
        <w:tc>
          <w:tcPr>
            <w:tcW w:w="540" w:type="dxa"/>
            <w:vAlign w:val="bottom"/>
            <w:tcBorders>
              <w:top w:val="single" w:sz="8" w:color="231F20"/>
              <w:bottom w:val="single" w:sz="8" w:color="231F20"/>
            </w:tcBorders>
          </w:tcPr>
          <w:p>
            <w:pPr>
              <w:spacing w:after="0"/>
              <w:rPr>
                <w:sz w:val="21"/>
                <w:szCs w:val="21"/>
                <w:color w:val="auto"/>
              </w:rPr>
            </w:pPr>
          </w:p>
        </w:tc>
        <w:tc>
          <w:tcPr>
            <w:tcW w:w="520" w:type="dxa"/>
            <w:vAlign w:val="bottom"/>
            <w:tcBorders>
              <w:top w:val="single" w:sz="8" w:color="231F20"/>
              <w:bottom w:val="single" w:sz="8" w:color="231F20"/>
            </w:tcBorders>
          </w:tcPr>
          <w:p>
            <w:pPr>
              <w:spacing w:after="0"/>
              <w:rPr>
                <w:sz w:val="21"/>
                <w:szCs w:val="21"/>
                <w:color w:val="auto"/>
              </w:rPr>
            </w:pPr>
          </w:p>
        </w:tc>
        <w:tc>
          <w:tcPr>
            <w:tcW w:w="1840" w:type="dxa"/>
            <w:vAlign w:val="bottom"/>
            <w:tcBorders>
              <w:top w:val="single" w:sz="8" w:color="231F20"/>
              <w:bottom w:val="single" w:sz="8" w:color="231F20"/>
            </w:tcBorders>
          </w:tcPr>
          <w:p>
            <w:pPr>
              <w:spacing w:after="0"/>
              <w:rPr>
                <w:sz w:val="21"/>
                <w:szCs w:val="21"/>
                <w:color w:val="auto"/>
              </w:rPr>
            </w:pPr>
          </w:p>
        </w:tc>
        <w:tc>
          <w:tcPr>
            <w:tcW w:w="3400" w:type="dxa"/>
            <w:vAlign w:val="bottom"/>
            <w:tcBorders>
              <w:top w:val="single" w:sz="8" w:color="231F20"/>
              <w:bottom w:val="single" w:sz="8" w:color="231F20"/>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780" w:type="dxa"/>
            <w:vAlign w:val="bottom"/>
            <w:tcBorders>
              <w:left w:val="single" w:sz="8" w:color="231F20"/>
            </w:tcBorders>
            <w:shd w:val="clear" w:color="auto" w:fill="003445"/>
          </w:tcPr>
          <w:p>
            <w:pPr>
              <w:spacing w:after="0"/>
              <w:rPr>
                <w:sz w:val="18"/>
                <w:szCs w:val="18"/>
                <w:color w:val="auto"/>
              </w:rPr>
            </w:pPr>
          </w:p>
        </w:tc>
        <w:tc>
          <w:tcPr>
            <w:tcW w:w="140" w:type="dxa"/>
            <w:vAlign w:val="bottom"/>
            <w:tcBorders>
              <w:right w:val="single" w:sz="8" w:color="003445"/>
            </w:tcBorders>
            <w:shd w:val="clear" w:color="auto" w:fill="003445"/>
          </w:tcPr>
          <w:p>
            <w:pPr>
              <w:spacing w:after="0"/>
              <w:rPr>
                <w:sz w:val="18"/>
                <w:szCs w:val="18"/>
                <w:color w:val="auto"/>
              </w:rPr>
            </w:pPr>
          </w:p>
        </w:tc>
        <w:tc>
          <w:tcPr>
            <w:tcW w:w="1480" w:type="dxa"/>
            <w:vAlign w:val="bottom"/>
            <w:shd w:val="clear" w:color="auto" w:fill="003445"/>
          </w:tcPr>
          <w:p>
            <w:pPr>
              <w:spacing w:after="0"/>
              <w:rPr>
                <w:sz w:val="18"/>
                <w:szCs w:val="18"/>
                <w:color w:val="auto"/>
              </w:rPr>
            </w:pPr>
          </w:p>
        </w:tc>
        <w:tc>
          <w:tcPr>
            <w:tcW w:w="540" w:type="dxa"/>
            <w:vAlign w:val="bottom"/>
            <w:tcBorders>
              <w:right w:val="single" w:sz="8" w:color="231F20"/>
            </w:tcBorders>
            <w:shd w:val="clear" w:color="auto" w:fill="003445"/>
          </w:tcPr>
          <w:p>
            <w:pPr>
              <w:spacing w:after="0"/>
              <w:rPr>
                <w:sz w:val="18"/>
                <w:szCs w:val="18"/>
                <w:color w:val="auto"/>
              </w:rPr>
            </w:pPr>
          </w:p>
        </w:tc>
        <w:tc>
          <w:tcPr>
            <w:tcW w:w="520" w:type="dxa"/>
            <w:vAlign w:val="bottom"/>
            <w:tcBorders>
              <w:right w:val="single" w:sz="8" w:color="003445"/>
            </w:tcBorders>
            <w:shd w:val="clear" w:color="auto" w:fill="003445"/>
          </w:tcPr>
          <w:p>
            <w:pPr>
              <w:spacing w:after="0"/>
              <w:rPr>
                <w:sz w:val="18"/>
                <w:szCs w:val="18"/>
                <w:color w:val="auto"/>
              </w:rPr>
            </w:pPr>
          </w:p>
        </w:tc>
        <w:tc>
          <w:tcPr>
            <w:tcW w:w="1840" w:type="dxa"/>
            <w:vAlign w:val="bottom"/>
            <w:tcBorders>
              <w:right w:val="single" w:sz="8" w:color="231F20"/>
            </w:tcBorders>
            <w:shd w:val="clear" w:color="auto" w:fill="003445"/>
          </w:tcPr>
          <w:p>
            <w:pPr>
              <w:jc w:val="center"/>
              <w:ind w:right="344"/>
              <w:spacing w:after="0"/>
              <w:rPr>
                <w:sz w:val="20"/>
                <w:szCs w:val="20"/>
                <w:color w:val="auto"/>
              </w:rPr>
            </w:pPr>
            <w:r>
              <w:rPr>
                <w:rFonts w:ascii="Arial" w:cs="Arial" w:eastAsia="Arial" w:hAnsi="Arial"/>
                <w:sz w:val="19"/>
                <w:szCs w:val="19"/>
                <w:b w:val="1"/>
                <w:bCs w:val="1"/>
                <w:color w:val="FFFFFF"/>
              </w:rPr>
              <w:t>Attendance at</w:t>
            </w:r>
          </w:p>
        </w:tc>
        <w:tc>
          <w:tcPr>
            <w:tcW w:w="3400" w:type="dxa"/>
            <w:vAlign w:val="bottom"/>
            <w:tcBorders>
              <w:right w:val="single" w:sz="8" w:color="231F20"/>
            </w:tcBorders>
            <w:vMerge w:val="restart"/>
            <w:shd w:val="clear" w:color="auto" w:fill="003445"/>
          </w:tcPr>
          <w:p>
            <w:pPr>
              <w:jc w:val="right"/>
              <w:ind w:right="248"/>
              <w:spacing w:after="0"/>
              <w:rPr>
                <w:sz w:val="20"/>
                <w:szCs w:val="20"/>
                <w:color w:val="auto"/>
              </w:rPr>
            </w:pPr>
            <w:r>
              <w:rPr>
                <w:rFonts w:ascii="Arial" w:cs="Arial" w:eastAsia="Arial" w:hAnsi="Arial"/>
                <w:sz w:val="19"/>
                <w:szCs w:val="19"/>
                <w:b w:val="1"/>
                <w:bCs w:val="1"/>
                <w:color w:val="FFFFFF"/>
              </w:rPr>
              <w:t xml:space="preserve">         Overall Attendance       </w:t>
            </w:r>
          </w:p>
        </w:tc>
        <w:tc>
          <w:tcPr>
            <w:tcW w:w="0" w:type="dxa"/>
            <w:vAlign w:val="bottom"/>
          </w:tcPr>
          <w:p>
            <w:pPr>
              <w:spacing w:after="0"/>
              <w:rPr>
                <w:sz w:val="1"/>
                <w:szCs w:val="1"/>
                <w:color w:val="auto"/>
              </w:rPr>
            </w:pPr>
          </w:p>
        </w:tc>
      </w:tr>
      <w:tr>
        <w:trPr>
          <w:trHeight w:val="210"/>
        </w:trPr>
        <w:tc>
          <w:tcPr>
            <w:tcW w:w="2780" w:type="dxa"/>
            <w:vAlign w:val="bottom"/>
            <w:tcBorders>
              <w:left w:val="single" w:sz="8" w:color="231F20"/>
            </w:tcBorders>
            <w:shd w:val="clear" w:color="auto" w:fill="003445"/>
          </w:tcPr>
          <w:p>
            <w:pPr>
              <w:spacing w:after="0"/>
              <w:rPr>
                <w:sz w:val="18"/>
                <w:szCs w:val="18"/>
                <w:color w:val="auto"/>
              </w:rPr>
            </w:pPr>
          </w:p>
        </w:tc>
        <w:tc>
          <w:tcPr>
            <w:tcW w:w="140" w:type="dxa"/>
            <w:vAlign w:val="bottom"/>
            <w:tcBorders>
              <w:right w:val="single" w:sz="8" w:color="003445"/>
            </w:tcBorders>
            <w:shd w:val="clear" w:color="auto" w:fill="003445"/>
          </w:tcPr>
          <w:p>
            <w:pPr>
              <w:spacing w:after="0"/>
              <w:rPr>
                <w:sz w:val="18"/>
                <w:szCs w:val="18"/>
                <w:color w:val="auto"/>
              </w:rPr>
            </w:pPr>
          </w:p>
        </w:tc>
        <w:tc>
          <w:tcPr>
            <w:tcW w:w="1480" w:type="dxa"/>
            <w:vAlign w:val="bottom"/>
            <w:shd w:val="clear" w:color="auto" w:fill="003445"/>
          </w:tcPr>
          <w:p>
            <w:pPr>
              <w:spacing w:after="0"/>
              <w:rPr>
                <w:sz w:val="18"/>
                <w:szCs w:val="18"/>
                <w:color w:val="auto"/>
              </w:rPr>
            </w:pPr>
          </w:p>
        </w:tc>
        <w:tc>
          <w:tcPr>
            <w:tcW w:w="540" w:type="dxa"/>
            <w:vAlign w:val="bottom"/>
            <w:tcBorders>
              <w:right w:val="single" w:sz="8" w:color="231F20"/>
            </w:tcBorders>
            <w:shd w:val="clear" w:color="auto" w:fill="003445"/>
          </w:tcPr>
          <w:p>
            <w:pPr>
              <w:spacing w:after="0"/>
              <w:rPr>
                <w:sz w:val="18"/>
                <w:szCs w:val="18"/>
                <w:color w:val="auto"/>
              </w:rPr>
            </w:pPr>
          </w:p>
        </w:tc>
        <w:tc>
          <w:tcPr>
            <w:tcW w:w="2360" w:type="dxa"/>
            <w:vAlign w:val="bottom"/>
            <w:tcBorders>
              <w:right w:val="single" w:sz="8" w:color="231F20"/>
            </w:tcBorders>
            <w:gridSpan w:val="2"/>
            <w:shd w:val="clear" w:color="auto" w:fill="003445"/>
          </w:tcPr>
          <w:p>
            <w:pPr>
              <w:ind w:left="240"/>
              <w:spacing w:after="0" w:line="210" w:lineRule="exact"/>
              <w:rPr>
                <w:sz w:val="20"/>
                <w:szCs w:val="20"/>
                <w:color w:val="auto"/>
              </w:rPr>
            </w:pPr>
            <w:r>
              <w:rPr>
                <w:rFonts w:ascii="Arial" w:cs="Arial" w:eastAsia="Arial" w:hAnsi="Arial"/>
                <w:sz w:val="19"/>
                <w:szCs w:val="19"/>
                <w:b w:val="1"/>
                <w:bCs w:val="1"/>
                <w:color w:val="FFFFFF"/>
              </w:rPr>
              <w:t>   Regular Meetings</w:t>
            </w:r>
          </w:p>
        </w:tc>
        <w:tc>
          <w:tcPr>
            <w:tcW w:w="3400" w:type="dxa"/>
            <w:vAlign w:val="bottom"/>
            <w:tcBorders>
              <w:right w:val="single" w:sz="8" w:color="231F20"/>
            </w:tcBorders>
            <w:vMerge w:val="continue"/>
            <w:shd w:val="clear" w:color="auto" w:fill="003445"/>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400" w:type="dxa"/>
            <w:vAlign w:val="bottom"/>
            <w:tcBorders>
              <w:left w:val="single" w:sz="8" w:color="231F20"/>
              <w:bottom w:val="single" w:sz="8" w:color="231F20"/>
            </w:tcBorders>
            <w:gridSpan w:val="3"/>
            <w:shd w:val="clear" w:color="auto" w:fill="003445"/>
          </w:tcPr>
          <w:p>
            <w:pPr>
              <w:jc w:val="center"/>
              <w:ind w:left="588"/>
              <w:spacing w:after="0"/>
              <w:rPr>
                <w:sz w:val="20"/>
                <w:szCs w:val="20"/>
                <w:color w:val="auto"/>
              </w:rPr>
            </w:pPr>
            <w:r>
              <w:rPr>
                <w:rFonts w:ascii="Arial" w:cs="Arial" w:eastAsia="Arial" w:hAnsi="Arial"/>
                <w:sz w:val="19"/>
                <w:szCs w:val="19"/>
                <w:b w:val="1"/>
                <w:bCs w:val="1"/>
                <w:color w:val="FFFFFF"/>
              </w:rPr>
              <w:t>Board / Committee Memberships</w:t>
            </w:r>
          </w:p>
        </w:tc>
        <w:tc>
          <w:tcPr>
            <w:tcW w:w="540" w:type="dxa"/>
            <w:vAlign w:val="bottom"/>
            <w:tcBorders>
              <w:bottom w:val="single" w:sz="8" w:color="231F20"/>
              <w:right w:val="single" w:sz="8" w:color="231F20"/>
            </w:tcBorders>
            <w:shd w:val="clear" w:color="auto" w:fill="003445"/>
          </w:tcPr>
          <w:p>
            <w:pPr>
              <w:spacing w:after="0"/>
              <w:rPr>
                <w:sz w:val="24"/>
                <w:szCs w:val="24"/>
                <w:color w:val="auto"/>
              </w:rPr>
            </w:pPr>
          </w:p>
        </w:tc>
        <w:tc>
          <w:tcPr>
            <w:tcW w:w="520" w:type="dxa"/>
            <w:vAlign w:val="bottom"/>
            <w:tcBorders>
              <w:bottom w:val="single" w:sz="8" w:color="231F20"/>
              <w:right w:val="single" w:sz="8" w:color="003445"/>
            </w:tcBorders>
            <w:shd w:val="clear" w:color="auto" w:fill="003445"/>
          </w:tcPr>
          <w:p>
            <w:pPr>
              <w:spacing w:after="0"/>
              <w:rPr>
                <w:sz w:val="24"/>
                <w:szCs w:val="24"/>
                <w:color w:val="auto"/>
              </w:rPr>
            </w:pPr>
          </w:p>
        </w:tc>
        <w:tc>
          <w:tcPr>
            <w:tcW w:w="1840" w:type="dxa"/>
            <w:vAlign w:val="bottom"/>
            <w:tcBorders>
              <w:bottom w:val="single" w:sz="8" w:color="231F20"/>
              <w:right w:val="single" w:sz="8" w:color="231F20"/>
            </w:tcBorders>
            <w:shd w:val="clear" w:color="auto" w:fill="003445"/>
          </w:tcPr>
          <w:p>
            <w:pPr>
              <w:jc w:val="center"/>
              <w:ind w:right="344"/>
              <w:spacing w:after="0"/>
              <w:rPr>
                <w:sz w:val="20"/>
                <w:szCs w:val="20"/>
                <w:color w:val="auto"/>
              </w:rPr>
            </w:pPr>
            <w:r>
              <w:rPr>
                <w:rFonts w:ascii="Arial" w:cs="Arial" w:eastAsia="Arial" w:hAnsi="Arial"/>
                <w:sz w:val="19"/>
                <w:szCs w:val="19"/>
                <w:b w:val="1"/>
                <w:bCs w:val="1"/>
                <w:color w:val="FFFFFF"/>
              </w:rPr>
              <w:t>in Fiscal 2025</w:t>
            </w:r>
          </w:p>
        </w:tc>
        <w:tc>
          <w:tcPr>
            <w:tcW w:w="3400" w:type="dxa"/>
            <w:vAlign w:val="bottom"/>
            <w:tcBorders>
              <w:bottom w:val="single" w:sz="8" w:color="231F20"/>
              <w:right w:val="single" w:sz="8" w:color="231F20"/>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400" w:type="dxa"/>
            <w:vAlign w:val="bottom"/>
            <w:tcBorders>
              <w:left w:val="single" w:sz="8" w:color="231F20"/>
            </w:tcBorders>
            <w:gridSpan w:val="3"/>
          </w:tcPr>
          <w:p>
            <w:pPr>
              <w:jc w:val="center"/>
              <w:ind w:left="588"/>
              <w:spacing w:after="0"/>
              <w:rPr>
                <w:sz w:val="20"/>
                <w:szCs w:val="20"/>
                <w:color w:val="auto"/>
              </w:rPr>
            </w:pPr>
            <w:r>
              <w:rPr>
                <w:rFonts w:ascii="Arial" w:cs="Arial" w:eastAsia="Arial" w:hAnsi="Arial"/>
                <w:sz w:val="19"/>
                <w:szCs w:val="19"/>
                <w:color w:val="auto"/>
              </w:rPr>
              <w:t>Board</w:t>
            </w:r>
          </w:p>
        </w:tc>
        <w:tc>
          <w:tcPr>
            <w:tcW w:w="540" w:type="dxa"/>
            <w:vAlign w:val="bottom"/>
            <w:tcBorders>
              <w:right w:val="single" w:sz="8" w:color="231F20"/>
            </w:tcBorders>
          </w:tcPr>
          <w:p>
            <w:pPr>
              <w:spacing w:after="0"/>
              <w:rPr>
                <w:sz w:val="23"/>
                <w:szCs w:val="23"/>
                <w:color w:val="auto"/>
              </w:rPr>
            </w:pPr>
          </w:p>
        </w:tc>
        <w:tc>
          <w:tcPr>
            <w:tcW w:w="2360" w:type="dxa"/>
            <w:vAlign w:val="bottom"/>
            <w:tcBorders>
              <w:right w:val="single" w:sz="8" w:color="231F20"/>
            </w:tcBorders>
            <w:gridSpan w:val="2"/>
          </w:tcPr>
          <w:p>
            <w:pPr>
              <w:jc w:val="center"/>
              <w:spacing w:after="0"/>
              <w:rPr>
                <w:sz w:val="20"/>
                <w:szCs w:val="20"/>
                <w:color w:val="auto"/>
              </w:rPr>
            </w:pPr>
            <w:r>
              <w:rPr>
                <w:rFonts w:ascii="Arial" w:cs="Arial" w:eastAsia="Arial" w:hAnsi="Arial"/>
                <w:sz w:val="19"/>
                <w:szCs w:val="19"/>
                <w:color w:val="auto"/>
              </w:rPr>
              <w:t>7/7</w:t>
            </w:r>
          </w:p>
        </w:tc>
        <w:tc>
          <w:tcPr>
            <w:tcW w:w="3400" w:type="dxa"/>
            <w:vAlign w:val="bottom"/>
            <w:tcBorders>
              <w:right w:val="single" w:sz="8" w:color="231F20"/>
            </w:tcBorders>
          </w:tcPr>
          <w:p>
            <w:pPr>
              <w:jc w:val="right"/>
              <w:ind w:right="1348"/>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31"/>
        </w:trPr>
        <w:tc>
          <w:tcPr>
            <w:tcW w:w="4400" w:type="dxa"/>
            <w:vAlign w:val="bottom"/>
            <w:tcBorders>
              <w:left w:val="single" w:sz="8" w:color="231F20"/>
            </w:tcBorders>
            <w:gridSpan w:val="3"/>
          </w:tcPr>
          <w:p>
            <w:pPr>
              <w:jc w:val="center"/>
              <w:ind w:left="588"/>
              <w:spacing w:after="0"/>
              <w:rPr>
                <w:sz w:val="20"/>
                <w:szCs w:val="20"/>
                <w:color w:val="auto"/>
              </w:rPr>
            </w:pPr>
            <w:r>
              <w:rPr>
                <w:rFonts w:ascii="Arial" w:cs="Arial" w:eastAsia="Arial" w:hAnsi="Arial"/>
                <w:sz w:val="19"/>
                <w:szCs w:val="19"/>
                <w:color w:val="auto"/>
              </w:rPr>
              <w:t>Human Resources and Compensation</w:t>
            </w:r>
          </w:p>
        </w:tc>
        <w:tc>
          <w:tcPr>
            <w:tcW w:w="540" w:type="dxa"/>
            <w:vAlign w:val="bottom"/>
            <w:tcBorders>
              <w:right w:val="single" w:sz="8" w:color="231F20"/>
            </w:tcBorders>
          </w:tcPr>
          <w:p>
            <w:pPr>
              <w:spacing w:after="0"/>
              <w:rPr>
                <w:sz w:val="20"/>
                <w:szCs w:val="20"/>
                <w:color w:val="auto"/>
              </w:rPr>
            </w:pPr>
          </w:p>
        </w:tc>
        <w:tc>
          <w:tcPr>
            <w:tcW w:w="2360" w:type="dxa"/>
            <w:vAlign w:val="bottom"/>
            <w:tcBorders>
              <w:right w:val="single" w:sz="8" w:color="231F20"/>
            </w:tcBorders>
            <w:gridSpan w:val="2"/>
          </w:tcPr>
          <w:p>
            <w:pPr>
              <w:jc w:val="center"/>
              <w:spacing w:after="0"/>
              <w:rPr>
                <w:sz w:val="20"/>
                <w:szCs w:val="20"/>
                <w:color w:val="auto"/>
              </w:rPr>
            </w:pPr>
            <w:r>
              <w:rPr>
                <w:rFonts w:ascii="Arial" w:cs="Arial" w:eastAsia="Arial" w:hAnsi="Arial"/>
                <w:sz w:val="19"/>
                <w:szCs w:val="19"/>
                <w:color w:val="auto"/>
              </w:rPr>
              <w:t>5/5</w:t>
            </w:r>
          </w:p>
        </w:tc>
        <w:tc>
          <w:tcPr>
            <w:tcW w:w="340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4400" w:type="dxa"/>
            <w:vAlign w:val="bottom"/>
            <w:tcBorders>
              <w:left w:val="single" w:sz="8" w:color="231F20"/>
            </w:tcBorders>
            <w:gridSpan w:val="3"/>
          </w:tcPr>
          <w:p>
            <w:pPr>
              <w:jc w:val="center"/>
              <w:ind w:left="588"/>
              <w:spacing w:after="0"/>
              <w:rPr>
                <w:sz w:val="20"/>
                <w:szCs w:val="20"/>
                <w:color w:val="auto"/>
              </w:rPr>
            </w:pPr>
            <w:r>
              <w:rPr>
                <w:rFonts w:ascii="Arial" w:cs="Arial" w:eastAsia="Arial" w:hAnsi="Arial"/>
                <w:sz w:val="19"/>
                <w:szCs w:val="19"/>
                <w:color w:val="auto"/>
              </w:rPr>
              <w:t>Committee</w:t>
            </w:r>
          </w:p>
        </w:tc>
        <w:tc>
          <w:tcPr>
            <w:tcW w:w="540" w:type="dxa"/>
            <w:vAlign w:val="bottom"/>
            <w:tcBorders>
              <w:right w:val="single" w:sz="8" w:color="231F20"/>
            </w:tcBorders>
          </w:tcPr>
          <w:p>
            <w:pPr>
              <w:spacing w:after="0"/>
              <w:rPr>
                <w:sz w:val="22"/>
                <w:szCs w:val="22"/>
                <w:color w:val="auto"/>
              </w:rPr>
            </w:pPr>
          </w:p>
        </w:tc>
        <w:tc>
          <w:tcPr>
            <w:tcW w:w="2360" w:type="dxa"/>
            <w:vAlign w:val="bottom"/>
            <w:tcBorders>
              <w:right w:val="single" w:sz="8" w:color="231F20"/>
            </w:tcBorders>
            <w:gridSpan w:val="2"/>
            <w:vMerge w:val="restart"/>
          </w:tcPr>
          <w:p>
            <w:pPr>
              <w:jc w:val="center"/>
              <w:spacing w:after="0"/>
              <w:rPr>
                <w:sz w:val="20"/>
                <w:szCs w:val="20"/>
                <w:color w:val="auto"/>
              </w:rPr>
            </w:pPr>
            <w:r>
              <w:rPr>
                <w:rFonts w:ascii="Arial" w:cs="Arial" w:eastAsia="Arial" w:hAnsi="Arial"/>
                <w:sz w:val="19"/>
                <w:szCs w:val="19"/>
                <w:color w:val="auto"/>
              </w:rPr>
              <w:t>5/5</w:t>
            </w:r>
          </w:p>
        </w:tc>
        <w:tc>
          <w:tcPr>
            <w:tcW w:w="3400" w:type="dxa"/>
            <w:vAlign w:val="bottom"/>
            <w:tcBorders>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400" w:type="dxa"/>
            <w:vAlign w:val="bottom"/>
            <w:tcBorders>
              <w:left w:val="single" w:sz="8" w:color="231F20"/>
            </w:tcBorders>
            <w:gridSpan w:val="3"/>
          </w:tcPr>
          <w:p>
            <w:pPr>
              <w:jc w:val="center"/>
              <w:ind w:left="588"/>
              <w:spacing w:after="0"/>
              <w:rPr>
                <w:sz w:val="20"/>
                <w:szCs w:val="20"/>
                <w:color w:val="auto"/>
              </w:rPr>
            </w:pPr>
            <w:r>
              <w:rPr>
                <w:rFonts w:ascii="Arial" w:cs="Arial" w:eastAsia="Arial" w:hAnsi="Arial"/>
                <w:sz w:val="19"/>
                <w:szCs w:val="19"/>
                <w:color w:val="auto"/>
              </w:rPr>
              <w:t>Nominating and Governance Committee</w:t>
            </w:r>
          </w:p>
        </w:tc>
        <w:tc>
          <w:tcPr>
            <w:tcW w:w="540" w:type="dxa"/>
            <w:vAlign w:val="bottom"/>
            <w:tcBorders>
              <w:right w:val="single" w:sz="8" w:color="231F20"/>
            </w:tcBorders>
          </w:tcPr>
          <w:p>
            <w:pPr>
              <w:spacing w:after="0"/>
              <w:rPr>
                <w:sz w:val="23"/>
                <w:szCs w:val="23"/>
                <w:color w:val="auto"/>
              </w:rPr>
            </w:pPr>
          </w:p>
        </w:tc>
        <w:tc>
          <w:tcPr>
            <w:tcW w:w="2360" w:type="dxa"/>
            <w:vAlign w:val="bottom"/>
            <w:tcBorders>
              <w:right w:val="single" w:sz="8" w:color="231F20"/>
            </w:tcBorders>
            <w:gridSpan w:val="2"/>
            <w:vMerge w:val="continue"/>
          </w:tcPr>
          <w:p>
            <w:pPr>
              <w:spacing w:after="0"/>
              <w:rPr>
                <w:sz w:val="23"/>
                <w:szCs w:val="23"/>
                <w:color w:val="auto"/>
              </w:rPr>
            </w:pPr>
          </w:p>
        </w:tc>
        <w:tc>
          <w:tcPr>
            <w:tcW w:w="3400" w:type="dxa"/>
            <w:vAlign w:val="bottom"/>
            <w:tcBorders>
              <w:right w:val="single" w:sz="8" w:color="231F20"/>
            </w:tcBorders>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780" w:type="dxa"/>
            <w:vAlign w:val="bottom"/>
            <w:tcBorders>
              <w:left w:val="single" w:sz="8" w:color="231F20"/>
              <w:bottom w:val="single" w:sz="8" w:color="231F20"/>
            </w:tcBorders>
          </w:tcPr>
          <w:p>
            <w:pPr>
              <w:spacing w:after="0"/>
              <w:rPr>
                <w:sz w:val="9"/>
                <w:szCs w:val="9"/>
                <w:color w:val="auto"/>
              </w:rPr>
            </w:pPr>
          </w:p>
        </w:tc>
        <w:tc>
          <w:tcPr>
            <w:tcW w:w="140" w:type="dxa"/>
            <w:vAlign w:val="bottom"/>
            <w:tcBorders>
              <w:bottom w:val="single" w:sz="8" w:color="231F20"/>
            </w:tcBorders>
          </w:tcPr>
          <w:p>
            <w:pPr>
              <w:spacing w:after="0"/>
              <w:rPr>
                <w:sz w:val="9"/>
                <w:szCs w:val="9"/>
                <w:color w:val="auto"/>
              </w:rPr>
            </w:pPr>
          </w:p>
        </w:tc>
        <w:tc>
          <w:tcPr>
            <w:tcW w:w="2020" w:type="dxa"/>
            <w:vAlign w:val="bottom"/>
            <w:tcBorders>
              <w:bottom w:val="single" w:sz="8" w:color="231F20"/>
              <w:right w:val="single" w:sz="8" w:color="231F20"/>
            </w:tcBorders>
            <w:gridSpan w:val="2"/>
          </w:tcPr>
          <w:p>
            <w:pPr>
              <w:spacing w:after="0"/>
              <w:rPr>
                <w:sz w:val="9"/>
                <w:szCs w:val="9"/>
                <w:color w:val="auto"/>
              </w:rPr>
            </w:pPr>
          </w:p>
        </w:tc>
        <w:tc>
          <w:tcPr>
            <w:tcW w:w="520" w:type="dxa"/>
            <w:vAlign w:val="bottom"/>
            <w:tcBorders>
              <w:bottom w:val="single" w:sz="8" w:color="231F20"/>
            </w:tcBorders>
          </w:tcPr>
          <w:p>
            <w:pPr>
              <w:spacing w:after="0"/>
              <w:rPr>
                <w:sz w:val="9"/>
                <w:szCs w:val="9"/>
                <w:color w:val="auto"/>
              </w:rPr>
            </w:pPr>
          </w:p>
        </w:tc>
        <w:tc>
          <w:tcPr>
            <w:tcW w:w="1840" w:type="dxa"/>
            <w:vAlign w:val="bottom"/>
            <w:tcBorders>
              <w:bottom w:val="single" w:sz="8" w:color="231F20"/>
              <w:right w:val="single" w:sz="8" w:color="231F20"/>
            </w:tcBorders>
          </w:tcPr>
          <w:p>
            <w:pPr>
              <w:spacing w:after="0"/>
              <w:rPr>
                <w:sz w:val="9"/>
                <w:szCs w:val="9"/>
                <w:color w:val="auto"/>
              </w:rPr>
            </w:pPr>
          </w:p>
        </w:tc>
        <w:tc>
          <w:tcPr>
            <w:tcW w:w="340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780" w:type="dxa"/>
            <w:vAlign w:val="bottom"/>
            <w:tcBorders>
              <w:left w:val="single" w:sz="8" w:color="231F20"/>
            </w:tcBorders>
            <w:shd w:val="clear" w:color="auto" w:fill="003445"/>
          </w:tcPr>
          <w:p>
            <w:pPr>
              <w:spacing w:after="0"/>
              <w:rPr>
                <w:sz w:val="20"/>
                <w:szCs w:val="20"/>
                <w:color w:val="auto"/>
              </w:rPr>
            </w:pPr>
          </w:p>
        </w:tc>
        <w:tc>
          <w:tcPr>
            <w:tcW w:w="140" w:type="dxa"/>
            <w:vAlign w:val="bottom"/>
            <w:tcBorders>
              <w:right w:val="single" w:sz="8" w:color="003445"/>
            </w:tcBorders>
            <w:shd w:val="clear" w:color="auto" w:fill="003445"/>
          </w:tcPr>
          <w:p>
            <w:pPr>
              <w:spacing w:after="0"/>
              <w:rPr>
                <w:sz w:val="20"/>
                <w:szCs w:val="20"/>
                <w:color w:val="auto"/>
              </w:rPr>
            </w:pPr>
          </w:p>
        </w:tc>
        <w:tc>
          <w:tcPr>
            <w:tcW w:w="4380" w:type="dxa"/>
            <w:vAlign w:val="bottom"/>
            <w:tcBorders>
              <w:right w:val="single" w:sz="8" w:color="003445"/>
            </w:tcBorders>
            <w:gridSpan w:val="4"/>
            <w:shd w:val="clear" w:color="auto" w:fill="003445"/>
          </w:tcPr>
          <w:p>
            <w:pPr>
              <w:jc w:val="center"/>
              <w:ind w:left="493"/>
              <w:spacing w:after="0"/>
              <w:rPr>
                <w:sz w:val="20"/>
                <w:szCs w:val="20"/>
                <w:color w:val="auto"/>
              </w:rPr>
            </w:pPr>
            <w:r>
              <w:rPr>
                <w:rFonts w:ascii="Arial" w:cs="Arial" w:eastAsia="Arial" w:hAnsi="Arial"/>
                <w:sz w:val="17"/>
                <w:szCs w:val="17"/>
                <w:b w:val="1"/>
                <w:bCs w:val="1"/>
                <w:color w:val="FFFFFF"/>
              </w:rPr>
              <w:t>Securities Beneficially Owned or Controlled</w:t>
            </w:r>
          </w:p>
        </w:tc>
        <w:tc>
          <w:tcPr>
            <w:tcW w:w="3400" w:type="dxa"/>
            <w:vAlign w:val="bottom"/>
            <w:tcBorders>
              <w:right w:val="single" w:sz="8" w:color="231F20"/>
            </w:tcBorders>
            <w:shd w:val="clear" w:color="auto" w:fill="003445"/>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780" w:type="dxa"/>
            <w:vAlign w:val="bottom"/>
            <w:tcBorders>
              <w:left w:val="single" w:sz="8" w:color="231F20"/>
              <w:bottom w:val="single" w:sz="8" w:color="003445"/>
            </w:tcBorders>
            <w:shd w:val="clear" w:color="auto" w:fill="003445"/>
          </w:tcPr>
          <w:p>
            <w:pPr>
              <w:spacing w:after="0"/>
              <w:rPr>
                <w:sz w:val="23"/>
                <w:szCs w:val="23"/>
                <w:color w:val="auto"/>
              </w:rPr>
            </w:pPr>
          </w:p>
        </w:tc>
        <w:tc>
          <w:tcPr>
            <w:tcW w:w="140" w:type="dxa"/>
            <w:vAlign w:val="bottom"/>
            <w:tcBorders>
              <w:bottom w:val="single" w:sz="8" w:color="003445"/>
              <w:right w:val="single" w:sz="8" w:color="003445"/>
            </w:tcBorders>
            <w:shd w:val="clear" w:color="auto" w:fill="003445"/>
          </w:tcPr>
          <w:p>
            <w:pPr>
              <w:spacing w:after="0"/>
              <w:rPr>
                <w:sz w:val="23"/>
                <w:szCs w:val="23"/>
                <w:color w:val="auto"/>
              </w:rPr>
            </w:pPr>
          </w:p>
        </w:tc>
        <w:tc>
          <w:tcPr>
            <w:tcW w:w="1480" w:type="dxa"/>
            <w:vAlign w:val="bottom"/>
            <w:tcBorders>
              <w:bottom w:val="single" w:sz="8" w:color="003445"/>
            </w:tcBorders>
            <w:shd w:val="clear" w:color="auto" w:fill="003445"/>
          </w:tcPr>
          <w:p>
            <w:pPr>
              <w:spacing w:after="0"/>
              <w:rPr>
                <w:sz w:val="23"/>
                <w:szCs w:val="23"/>
                <w:color w:val="auto"/>
              </w:rPr>
            </w:pPr>
          </w:p>
        </w:tc>
        <w:tc>
          <w:tcPr>
            <w:tcW w:w="2900" w:type="dxa"/>
            <w:vAlign w:val="bottom"/>
            <w:tcBorders>
              <w:bottom w:val="single" w:sz="8" w:color="003445"/>
              <w:right w:val="single" w:sz="8" w:color="003445"/>
            </w:tcBorders>
            <w:gridSpan w:val="3"/>
            <w:shd w:val="clear" w:color="auto" w:fill="003445"/>
          </w:tcPr>
          <w:p>
            <w:pPr>
              <w:jc w:val="center"/>
              <w:ind w:right="804"/>
              <w:spacing w:after="0"/>
              <w:rPr>
                <w:sz w:val="20"/>
                <w:szCs w:val="20"/>
                <w:color w:val="auto"/>
              </w:rPr>
            </w:pPr>
            <w:r>
              <w:rPr>
                <w:rFonts w:ascii="Arial" w:cs="Arial" w:eastAsia="Arial" w:hAnsi="Arial"/>
                <w:sz w:val="17"/>
                <w:szCs w:val="17"/>
                <w:b w:val="1"/>
                <w:bCs w:val="1"/>
                <w:color w:val="FFFFFF"/>
              </w:rPr>
              <w:t>(as at April 30, 2026)</w:t>
            </w:r>
          </w:p>
        </w:tc>
        <w:tc>
          <w:tcPr>
            <w:tcW w:w="3400" w:type="dxa"/>
            <w:vAlign w:val="bottom"/>
            <w:tcBorders>
              <w:bottom w:val="single" w:sz="8" w:color="003445"/>
              <w:right w:val="single" w:sz="8" w:color="231F20"/>
            </w:tcBorders>
            <w:shd w:val="clear" w:color="auto" w:fill="003445"/>
          </w:tcPr>
          <w:p>
            <w:pPr>
              <w:spacing w:after="0"/>
              <w:rPr>
                <w:sz w:val="23"/>
                <w:szCs w:val="23"/>
                <w:color w:val="auto"/>
              </w:rPr>
            </w:pPr>
          </w:p>
        </w:tc>
        <w:tc>
          <w:tcPr>
            <w:tcW w:w="0" w:type="dxa"/>
            <w:vAlign w:val="bottom"/>
          </w:tcPr>
          <w:p>
            <w:pPr>
              <w:spacing w:after="0"/>
              <w:rPr>
                <w:sz w:val="1"/>
                <w:szCs w:val="1"/>
                <w:color w:val="auto"/>
              </w:rPr>
            </w:pPr>
          </w:p>
        </w:tc>
      </w:tr>
      <w:tr>
        <w:trPr>
          <w:trHeight w:val="294"/>
        </w:trPr>
        <w:tc>
          <w:tcPr>
            <w:tcW w:w="4400" w:type="dxa"/>
            <w:vAlign w:val="bottom"/>
            <w:tcBorders>
              <w:top w:val="single" w:sz="8" w:color="231F20"/>
              <w:left w:val="single" w:sz="8" w:color="231F20"/>
              <w:bottom w:val="single" w:sz="8" w:color="231F20"/>
            </w:tcBorders>
            <w:gridSpan w:val="3"/>
            <w:shd w:val="clear" w:color="auto" w:fill="F2F2F2"/>
          </w:tcPr>
          <w:p>
            <w:pPr>
              <w:ind w:left="2020"/>
              <w:spacing w:after="0" w:line="295" w:lineRule="exact"/>
              <w:rPr>
                <w:sz w:val="20"/>
                <w:szCs w:val="20"/>
                <w:color w:val="auto"/>
              </w:rPr>
            </w:pPr>
            <w:r>
              <w:rPr>
                <w:rFonts w:ascii="Arial" w:cs="Arial" w:eastAsia="Arial" w:hAnsi="Arial"/>
                <w:sz w:val="17"/>
                <w:szCs w:val="17"/>
                <w:b w:val="1"/>
                <w:bCs w:val="1"/>
                <w:color w:val="auto"/>
              </w:rPr>
              <w:t>Number of DSUs</w:t>
            </w:r>
            <w:r>
              <w:rPr>
                <w:rFonts w:ascii="Arial" w:cs="Arial" w:eastAsia="Arial" w:hAnsi="Arial"/>
                <w:sz w:val="26"/>
                <w:szCs w:val="26"/>
                <w:b w:val="1"/>
                <w:bCs w:val="1"/>
                <w:color w:val="auto"/>
                <w:vertAlign w:val="superscript"/>
              </w:rPr>
              <w:t>(3)</w:t>
            </w:r>
          </w:p>
        </w:tc>
        <w:tc>
          <w:tcPr>
            <w:tcW w:w="54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520" w:type="dxa"/>
            <w:vAlign w:val="bottom"/>
            <w:tcBorders>
              <w:top w:val="single" w:sz="8" w:color="231F20"/>
              <w:bottom w:val="single" w:sz="8" w:color="231F20"/>
              <w:right w:val="single" w:sz="8" w:color="231F20"/>
            </w:tcBorders>
            <w:shd w:val="clear" w:color="auto" w:fill="F2F2F2"/>
          </w:tcPr>
          <w:p>
            <w:pPr>
              <w:spacing w:after="0"/>
              <w:rPr>
                <w:sz w:val="24"/>
                <w:szCs w:val="24"/>
                <w:color w:val="auto"/>
              </w:rPr>
            </w:pPr>
          </w:p>
        </w:tc>
        <w:tc>
          <w:tcPr>
            <w:tcW w:w="1840" w:type="dxa"/>
            <w:vAlign w:val="bottom"/>
            <w:tcBorders>
              <w:top w:val="single" w:sz="8" w:color="231F20"/>
              <w:bottom w:val="single" w:sz="8" w:color="231F20"/>
              <w:right w:val="single" w:sz="8" w:color="F2F2F2"/>
            </w:tcBorders>
            <w:shd w:val="clear" w:color="auto" w:fill="F2F2F2"/>
          </w:tcPr>
          <w:p>
            <w:pPr>
              <w:spacing w:after="0"/>
              <w:rPr>
                <w:sz w:val="24"/>
                <w:szCs w:val="24"/>
                <w:color w:val="auto"/>
              </w:rPr>
            </w:pPr>
          </w:p>
        </w:tc>
        <w:tc>
          <w:tcPr>
            <w:tcW w:w="3400" w:type="dxa"/>
            <w:vAlign w:val="bottom"/>
            <w:tcBorders>
              <w:top w:val="single" w:sz="8" w:color="231F20"/>
              <w:bottom w:val="single" w:sz="8" w:color="231F20"/>
              <w:right w:val="single" w:sz="8" w:color="231F20"/>
            </w:tcBorders>
            <w:shd w:val="clear" w:color="auto" w:fill="F2F2F2"/>
          </w:tcPr>
          <w:p>
            <w:pPr>
              <w:jc w:val="center"/>
              <w:ind w:right="1688"/>
              <w:spacing w:after="0" w:line="295" w:lineRule="exact"/>
              <w:rPr>
                <w:sz w:val="20"/>
                <w:szCs w:val="20"/>
                <w:color w:val="auto"/>
              </w:rPr>
            </w:pPr>
            <w:r>
              <w:rPr>
                <w:rFonts w:ascii="Arial" w:cs="Arial" w:eastAsia="Arial" w:hAnsi="Arial"/>
                <w:sz w:val="17"/>
                <w:szCs w:val="17"/>
                <w:b w:val="1"/>
                <w:bCs w:val="1"/>
                <w:color w:val="auto"/>
                <w:w w:val="96"/>
              </w:rPr>
              <w:t>Market Value</w:t>
            </w:r>
            <w:r>
              <w:rPr>
                <w:rFonts w:ascii="Arial" w:cs="Arial" w:eastAsia="Arial" w:hAnsi="Arial"/>
                <w:sz w:val="26"/>
                <w:szCs w:val="26"/>
                <w:b w:val="1"/>
                <w:bCs w:val="1"/>
                <w:color w:val="auto"/>
                <w:w w:val="96"/>
                <w:vertAlign w:val="superscript"/>
              </w:rPr>
              <w:t>(1)</w:t>
            </w:r>
          </w:p>
        </w:tc>
        <w:tc>
          <w:tcPr>
            <w:tcW w:w="0" w:type="dxa"/>
            <w:vAlign w:val="bottom"/>
          </w:tcPr>
          <w:p>
            <w:pPr>
              <w:spacing w:after="0"/>
              <w:rPr>
                <w:sz w:val="1"/>
                <w:szCs w:val="1"/>
                <w:color w:val="auto"/>
              </w:rPr>
            </w:pPr>
          </w:p>
        </w:tc>
      </w:tr>
      <w:tr>
        <w:trPr>
          <w:trHeight w:val="272"/>
        </w:trPr>
        <w:tc>
          <w:tcPr>
            <w:tcW w:w="4400" w:type="dxa"/>
            <w:vAlign w:val="bottom"/>
            <w:tcBorders>
              <w:left w:val="single" w:sz="8" w:color="231F20"/>
            </w:tcBorders>
            <w:gridSpan w:val="3"/>
          </w:tcPr>
          <w:p>
            <w:pPr>
              <w:ind w:left="2540"/>
              <w:spacing w:after="0"/>
              <w:rPr>
                <w:sz w:val="20"/>
                <w:szCs w:val="20"/>
                <w:color w:val="auto"/>
              </w:rPr>
            </w:pPr>
            <w:r>
              <w:rPr>
                <w:rFonts w:ascii="Arial" w:cs="Arial" w:eastAsia="Arial" w:hAnsi="Arial"/>
                <w:sz w:val="17"/>
                <w:szCs w:val="17"/>
                <w:color w:val="auto"/>
              </w:rPr>
              <w:t>89,014</w:t>
            </w:r>
          </w:p>
        </w:tc>
        <w:tc>
          <w:tcPr>
            <w:tcW w:w="540" w:type="dxa"/>
            <w:vAlign w:val="bottom"/>
          </w:tcPr>
          <w:p>
            <w:pPr>
              <w:spacing w:after="0"/>
              <w:rPr>
                <w:sz w:val="23"/>
                <w:szCs w:val="23"/>
                <w:color w:val="auto"/>
              </w:rPr>
            </w:pPr>
          </w:p>
        </w:tc>
        <w:tc>
          <w:tcPr>
            <w:tcW w:w="520" w:type="dxa"/>
            <w:vAlign w:val="bottom"/>
            <w:tcBorders>
              <w:right w:val="single" w:sz="8" w:color="231F20"/>
            </w:tcBorders>
          </w:tcPr>
          <w:p>
            <w:pPr>
              <w:spacing w:after="0"/>
              <w:rPr>
                <w:sz w:val="23"/>
                <w:szCs w:val="23"/>
                <w:color w:val="auto"/>
              </w:rPr>
            </w:pPr>
          </w:p>
        </w:tc>
        <w:tc>
          <w:tcPr>
            <w:tcW w:w="1840" w:type="dxa"/>
            <w:vAlign w:val="bottom"/>
          </w:tcPr>
          <w:p>
            <w:pPr>
              <w:spacing w:after="0"/>
              <w:rPr>
                <w:sz w:val="23"/>
                <w:szCs w:val="23"/>
                <w:color w:val="auto"/>
              </w:rPr>
            </w:pPr>
          </w:p>
        </w:tc>
        <w:tc>
          <w:tcPr>
            <w:tcW w:w="3400" w:type="dxa"/>
            <w:vAlign w:val="bottom"/>
            <w:tcBorders>
              <w:right w:val="single" w:sz="8" w:color="231F20"/>
            </w:tcBorders>
          </w:tcPr>
          <w:p>
            <w:pPr>
              <w:jc w:val="right"/>
              <w:ind w:right="2128"/>
              <w:spacing w:after="0"/>
              <w:rPr>
                <w:sz w:val="20"/>
                <w:szCs w:val="20"/>
                <w:color w:val="auto"/>
              </w:rPr>
            </w:pPr>
            <w:r>
              <w:rPr>
                <w:rFonts w:ascii="Arial" w:cs="Arial" w:eastAsia="Arial" w:hAnsi="Arial"/>
                <w:sz w:val="17"/>
                <w:szCs w:val="17"/>
                <w:color w:val="auto"/>
              </w:rPr>
              <w:t>$567,019</w:t>
            </w:r>
          </w:p>
        </w:tc>
        <w:tc>
          <w:tcPr>
            <w:tcW w:w="0" w:type="dxa"/>
            <w:vAlign w:val="bottom"/>
          </w:tcPr>
          <w:p>
            <w:pPr>
              <w:spacing w:after="0"/>
              <w:rPr>
                <w:sz w:val="1"/>
                <w:szCs w:val="1"/>
                <w:color w:val="auto"/>
              </w:rPr>
            </w:pPr>
          </w:p>
        </w:tc>
      </w:tr>
      <w:tr>
        <w:trPr>
          <w:trHeight w:val="62"/>
        </w:trPr>
        <w:tc>
          <w:tcPr>
            <w:tcW w:w="2780" w:type="dxa"/>
            <w:vAlign w:val="bottom"/>
            <w:tcBorders>
              <w:left w:val="single" w:sz="8" w:color="231F20"/>
              <w:bottom w:val="single" w:sz="8" w:color="231F20"/>
            </w:tcBorders>
          </w:tcPr>
          <w:p>
            <w:pPr>
              <w:spacing w:after="0"/>
              <w:rPr>
                <w:sz w:val="5"/>
                <w:szCs w:val="5"/>
                <w:color w:val="auto"/>
              </w:rPr>
            </w:pPr>
          </w:p>
        </w:tc>
        <w:tc>
          <w:tcPr>
            <w:tcW w:w="140" w:type="dxa"/>
            <w:vAlign w:val="bottom"/>
            <w:tcBorders>
              <w:bottom w:val="single" w:sz="8" w:color="231F20"/>
            </w:tcBorders>
          </w:tcPr>
          <w:p>
            <w:pPr>
              <w:spacing w:after="0"/>
              <w:rPr>
                <w:sz w:val="5"/>
                <w:szCs w:val="5"/>
                <w:color w:val="auto"/>
              </w:rPr>
            </w:pPr>
          </w:p>
        </w:tc>
        <w:tc>
          <w:tcPr>
            <w:tcW w:w="1480" w:type="dxa"/>
            <w:vAlign w:val="bottom"/>
            <w:tcBorders>
              <w:bottom w:val="single" w:sz="8" w:color="231F20"/>
            </w:tcBorders>
          </w:tcPr>
          <w:p>
            <w:pPr>
              <w:spacing w:after="0"/>
              <w:rPr>
                <w:sz w:val="5"/>
                <w:szCs w:val="5"/>
                <w:color w:val="auto"/>
              </w:rPr>
            </w:pPr>
          </w:p>
        </w:tc>
        <w:tc>
          <w:tcPr>
            <w:tcW w:w="540" w:type="dxa"/>
            <w:vAlign w:val="bottom"/>
            <w:tcBorders>
              <w:bottom w:val="single" w:sz="8" w:color="231F20"/>
            </w:tcBorders>
          </w:tcPr>
          <w:p>
            <w:pPr>
              <w:spacing w:after="0"/>
              <w:rPr>
                <w:sz w:val="5"/>
                <w:szCs w:val="5"/>
                <w:color w:val="auto"/>
              </w:rPr>
            </w:pPr>
          </w:p>
        </w:tc>
        <w:tc>
          <w:tcPr>
            <w:tcW w:w="520" w:type="dxa"/>
            <w:vAlign w:val="bottom"/>
            <w:tcBorders>
              <w:bottom w:val="single" w:sz="8" w:color="231F20"/>
              <w:right w:val="single" w:sz="8" w:color="231F20"/>
            </w:tcBorders>
          </w:tcPr>
          <w:p>
            <w:pPr>
              <w:spacing w:after="0"/>
              <w:rPr>
                <w:sz w:val="5"/>
                <w:szCs w:val="5"/>
                <w:color w:val="auto"/>
              </w:rPr>
            </w:pPr>
          </w:p>
        </w:tc>
        <w:tc>
          <w:tcPr>
            <w:tcW w:w="1840" w:type="dxa"/>
            <w:vAlign w:val="bottom"/>
            <w:tcBorders>
              <w:bottom w:val="single" w:sz="8" w:color="231F20"/>
            </w:tcBorders>
          </w:tcPr>
          <w:p>
            <w:pPr>
              <w:spacing w:after="0"/>
              <w:rPr>
                <w:sz w:val="5"/>
                <w:szCs w:val="5"/>
                <w:color w:val="auto"/>
              </w:rPr>
            </w:pPr>
          </w:p>
        </w:tc>
        <w:tc>
          <w:tcPr>
            <w:tcW w:w="340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7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-4815205</wp:posOffset>
            </wp:positionV>
            <wp:extent cx="1605280" cy="1671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05280" cy="16719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ind w:left="520" w:right="20" w:hanging="520"/>
        <w:spacing w:after="0" w:line="264" w:lineRule="auto"/>
        <w:tabs>
          <w:tab w:leader="none" w:pos="84" w:val="left"/>
        </w:tabs>
        <w:numPr>
          <w:ilvl w:val="0"/>
          <w:numId w:val="9"/>
        </w:numPr>
        <w:rPr>
          <w:rFonts w:ascii="Arial" w:cs="Arial" w:eastAsia="Arial" w:hAnsi="Arial"/>
          <w:sz w:val="15"/>
          <w:szCs w:val="15"/>
          <w:i w:val="1"/>
          <w:iCs w:val="1"/>
          <w:color w:val="003445"/>
        </w:rPr>
      </w:pPr>
      <w:r>
        <w:rPr>
          <w:rFonts w:ascii="Arial" w:cs="Arial" w:eastAsia="Arial" w:hAnsi="Arial"/>
          <w:sz w:val="15"/>
          <w:szCs w:val="15"/>
          <w:i w:val="1"/>
          <w:iCs w:val="1"/>
          <w:color w:val="003445"/>
        </w:rPr>
        <w:t>(1) These amounts were determined by multiplying the number of securities by the closing price of the Shares on the TSX on April 30, 2026, being $6.37 per share.</w:t>
      </w:r>
    </w:p>
    <w:p>
      <w:pPr>
        <w:spacing w:after="0" w:line="1" w:lineRule="exact"/>
        <w:rPr>
          <w:rFonts w:ascii="Arial" w:cs="Arial" w:eastAsia="Arial" w:hAnsi="Arial"/>
          <w:sz w:val="15"/>
          <w:szCs w:val="15"/>
          <w:i w:val="1"/>
          <w:iCs w:val="1"/>
          <w:color w:val="003445"/>
        </w:rPr>
      </w:pPr>
    </w:p>
    <w:p>
      <w:pPr>
        <w:ind w:left="80" w:hanging="80"/>
        <w:spacing w:after="0"/>
        <w:tabs>
          <w:tab w:leader="none" w:pos="80" w:val="left"/>
        </w:tabs>
        <w:numPr>
          <w:ilvl w:val="0"/>
          <w:numId w:val="9"/>
        </w:numPr>
        <w:rPr>
          <w:rFonts w:ascii="Arial" w:cs="Arial" w:eastAsia="Arial" w:hAnsi="Arial"/>
          <w:sz w:val="13"/>
          <w:szCs w:val="13"/>
          <w:i w:val="1"/>
          <w:iCs w:val="1"/>
          <w:color w:val="003445"/>
        </w:rPr>
      </w:pPr>
      <w:r>
        <w:rPr>
          <w:rFonts w:ascii="Arial" w:cs="Arial" w:eastAsia="Arial" w:hAnsi="Arial"/>
          <w:sz w:val="13"/>
          <w:szCs w:val="13"/>
          <w:i w:val="1"/>
          <w:iCs w:val="1"/>
          <w:color w:val="003445"/>
        </w:rPr>
        <w:t>(2)   Includes 36,794 Shares issuable upon the exercise of warrants, which warrants became exercisable on November 18, 2021.</w:t>
      </w:r>
    </w:p>
    <w:p>
      <w:pPr>
        <w:spacing w:after="0" w:line="33" w:lineRule="exact"/>
        <w:rPr>
          <w:rFonts w:ascii="Arial" w:cs="Arial" w:eastAsia="Arial" w:hAnsi="Arial"/>
          <w:sz w:val="13"/>
          <w:szCs w:val="13"/>
          <w:i w:val="1"/>
          <w:iCs w:val="1"/>
          <w:color w:val="003445"/>
        </w:rPr>
      </w:pPr>
    </w:p>
    <w:p>
      <w:pPr>
        <w:ind w:left="520" w:right="20" w:hanging="520"/>
        <w:spacing w:after="0" w:line="255" w:lineRule="auto"/>
        <w:tabs>
          <w:tab w:leader="none" w:pos="84" w:val="left"/>
        </w:tabs>
        <w:numPr>
          <w:ilvl w:val="0"/>
          <w:numId w:val="9"/>
        </w:numPr>
        <w:rPr>
          <w:rFonts w:ascii="Arial" w:cs="Arial" w:eastAsia="Arial" w:hAnsi="Arial"/>
          <w:sz w:val="15"/>
          <w:szCs w:val="15"/>
          <w:i w:val="1"/>
          <w:iCs w:val="1"/>
          <w:color w:val="003445"/>
        </w:rPr>
      </w:pPr>
      <w:r>
        <w:rPr>
          <w:rFonts w:ascii="Arial" w:cs="Arial" w:eastAsia="Arial" w:hAnsi="Arial"/>
          <w:sz w:val="15"/>
          <w:szCs w:val="15"/>
          <w:i w:val="1"/>
          <w:iCs w:val="1"/>
          <w:color w:val="003445"/>
        </w:rPr>
        <w:t>(3) The amount of DSUs disclosed reflect the maximum number of Shares which may become issuable upon vesting and exercise of the DSUs, regardless of whether these DSUs have been earned as of the date hereof.</w:t>
      </w:r>
    </w:p>
    <w:p>
      <w:pPr>
        <w:ind w:left="80" w:hanging="80"/>
        <w:spacing w:after="0"/>
        <w:tabs>
          <w:tab w:leader="none" w:pos="80" w:val="left"/>
        </w:tabs>
        <w:numPr>
          <w:ilvl w:val="0"/>
          <w:numId w:val="9"/>
        </w:numPr>
        <w:rPr>
          <w:rFonts w:ascii="Arial" w:cs="Arial" w:eastAsia="Arial" w:hAnsi="Arial"/>
          <w:sz w:val="13"/>
          <w:szCs w:val="13"/>
          <w:i w:val="1"/>
          <w:iCs w:val="1"/>
          <w:color w:val="003445"/>
        </w:rPr>
      </w:pPr>
      <w:r>
        <w:rPr>
          <w:rFonts w:ascii="Arial" w:cs="Arial" w:eastAsia="Arial" w:hAnsi="Arial"/>
          <w:sz w:val="13"/>
          <w:szCs w:val="13"/>
          <w:i w:val="1"/>
          <w:iCs w:val="1"/>
          <w:color w:val="003445"/>
        </w:rPr>
        <w:t>(4)   Melinda J. Newman was appointed to the Board of Directors on June 24, 2025.</w:t>
      </w:r>
    </w:p>
    <w:p>
      <w:pPr>
        <w:spacing w:after="0" w:line="33" w:lineRule="exact"/>
        <w:rPr>
          <w:rFonts w:ascii="Arial" w:cs="Arial" w:eastAsia="Arial" w:hAnsi="Arial"/>
          <w:sz w:val="13"/>
          <w:szCs w:val="13"/>
          <w:i w:val="1"/>
          <w:iCs w:val="1"/>
          <w:color w:val="003445"/>
        </w:rPr>
      </w:pPr>
    </w:p>
    <w:p>
      <w:pPr>
        <w:ind w:left="80" w:hanging="80"/>
        <w:spacing w:after="0"/>
        <w:tabs>
          <w:tab w:leader="none" w:pos="80" w:val="left"/>
        </w:tabs>
        <w:numPr>
          <w:ilvl w:val="0"/>
          <w:numId w:val="9"/>
        </w:numPr>
        <w:rPr>
          <w:rFonts w:ascii="Arial" w:cs="Arial" w:eastAsia="Arial" w:hAnsi="Arial"/>
          <w:sz w:val="13"/>
          <w:szCs w:val="13"/>
          <w:i w:val="1"/>
          <w:iCs w:val="1"/>
          <w:color w:val="003445"/>
        </w:rPr>
      </w:pPr>
      <w:r>
        <w:rPr>
          <w:rFonts w:ascii="Arial" w:cs="Arial" w:eastAsia="Arial" w:hAnsi="Arial"/>
          <w:sz w:val="13"/>
          <w:szCs w:val="13"/>
          <w:i w:val="1"/>
          <w:iCs w:val="1"/>
          <w:color w:val="003445"/>
        </w:rPr>
        <w:t>(5)   Melinda J. Newman was appointed to the Audit &amp; Risk Management Committee on June 24, 2025.</w:t>
      </w:r>
    </w:p>
    <w:p>
      <w:pPr>
        <w:spacing w:after="0" w:line="33" w:lineRule="exact"/>
        <w:rPr>
          <w:rFonts w:ascii="Arial" w:cs="Arial" w:eastAsia="Arial" w:hAnsi="Arial"/>
          <w:sz w:val="13"/>
          <w:szCs w:val="13"/>
          <w:i w:val="1"/>
          <w:iCs w:val="1"/>
          <w:color w:val="003445"/>
        </w:rPr>
      </w:pPr>
    </w:p>
    <w:p>
      <w:pPr>
        <w:ind w:left="80" w:hanging="80"/>
        <w:spacing w:after="0"/>
        <w:tabs>
          <w:tab w:leader="none" w:pos="80" w:val="left"/>
        </w:tabs>
        <w:numPr>
          <w:ilvl w:val="0"/>
          <w:numId w:val="9"/>
        </w:numPr>
        <w:rPr>
          <w:rFonts w:ascii="Arial" w:cs="Arial" w:eastAsia="Arial" w:hAnsi="Arial"/>
          <w:sz w:val="13"/>
          <w:szCs w:val="13"/>
          <w:i w:val="1"/>
          <w:iCs w:val="1"/>
          <w:color w:val="003445"/>
        </w:rPr>
      </w:pPr>
      <w:r>
        <w:rPr>
          <w:rFonts w:ascii="Arial" w:cs="Arial" w:eastAsia="Arial" w:hAnsi="Arial"/>
          <w:sz w:val="13"/>
          <w:szCs w:val="13"/>
          <w:i w:val="1"/>
          <w:iCs w:val="1"/>
          <w:color w:val="003445"/>
        </w:rPr>
        <w:t>(6)   Melinda J. Newman was appointed to the Operations &amp; Capital Projects Committee on June 24, 2025.</w:t>
      </w:r>
    </w:p>
    <w:p>
      <w:pPr>
        <w:spacing w:after="0" w:line="33" w:lineRule="exact"/>
        <w:rPr>
          <w:rFonts w:ascii="Arial" w:cs="Arial" w:eastAsia="Arial" w:hAnsi="Arial"/>
          <w:sz w:val="13"/>
          <w:szCs w:val="13"/>
          <w:i w:val="1"/>
          <w:iCs w:val="1"/>
          <w:color w:val="003445"/>
        </w:rPr>
      </w:pPr>
    </w:p>
    <w:p>
      <w:pPr>
        <w:ind w:left="80" w:hanging="80"/>
        <w:spacing w:after="0"/>
        <w:tabs>
          <w:tab w:leader="none" w:pos="80" w:val="left"/>
        </w:tabs>
        <w:numPr>
          <w:ilvl w:val="0"/>
          <w:numId w:val="9"/>
        </w:numPr>
        <w:rPr>
          <w:rFonts w:ascii="Arial" w:cs="Arial" w:eastAsia="Arial" w:hAnsi="Arial"/>
          <w:sz w:val="13"/>
          <w:szCs w:val="13"/>
          <w:i w:val="1"/>
          <w:iCs w:val="1"/>
          <w:color w:val="003445"/>
        </w:rPr>
      </w:pPr>
      <w:r>
        <w:rPr>
          <w:rFonts w:ascii="Arial" w:cs="Arial" w:eastAsia="Arial" w:hAnsi="Arial"/>
          <w:sz w:val="13"/>
          <w:szCs w:val="13"/>
          <w:i w:val="1"/>
          <w:iCs w:val="1"/>
          <w:color w:val="003445"/>
        </w:rPr>
        <w:t>(7)   Rajat Marwah was appointed to the Board of Directors on January 1, 2026.</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700"/>
          </w:cols>
          <w:pgMar w:left="600" w:top="264" w:right="599" w:bottom="1440" w:gutter="0" w:footer="0" w:header="0"/>
        </w:sectPr>
      </w:pPr>
    </w:p>
    <w:bookmarkStart w:id="36" w:name="page37"/>
    <w:bookmarkEnd w:id="36"/>
    <w:p>
      <w:pPr>
        <w:spacing w:after="0"/>
        <w:rPr>
          <w:sz w:val="20"/>
          <w:szCs w:val="20"/>
          <w:color w:val="auto"/>
        </w:rPr>
      </w:pPr>
      <w:r>
        <w:rPr>
          <w:rFonts w:ascii="Arial" w:cs="Arial" w:eastAsia="Arial" w:hAnsi="Arial"/>
          <w:sz w:val="21"/>
          <w:szCs w:val="21"/>
          <w:b w:val="1"/>
          <w:bCs w:val="1"/>
          <w:i w:val="1"/>
          <w:iCs w:val="1"/>
          <w:color w:val="2E9947"/>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Informal Meetings of the Board</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During Fiscal 2025, in addition to the regular meetings disclosed above, the Board held informal monthly discussions with the Board and management.</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Corporate Cease Trade Orders or Bankruptcies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To the knowledge of the Company, during the past 10 years, other than as set out below, no nominee proposed for election has been a director, chief executive officer or chief financial officer of any company that:</w:t>
      </w:r>
    </w:p>
    <w:p>
      <w:pPr>
        <w:spacing w:after="0" w:line="167" w:lineRule="exact"/>
        <w:rPr>
          <w:sz w:val="20"/>
          <w:szCs w:val="20"/>
          <w:color w:val="auto"/>
        </w:rPr>
      </w:pPr>
    </w:p>
    <w:p>
      <w:pPr>
        <w:jc w:val="both"/>
        <w:ind w:left="1040" w:hanging="516"/>
        <w:spacing w:after="0" w:line="249" w:lineRule="auto"/>
        <w:tabs>
          <w:tab w:leader="none" w:pos="10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was subject to a cease trade order or similar order or an order that denied the company access to any exemption under securities legislation for a period of more than 30 consecutive days while the nominee was acting in such capacity; or</w:t>
      </w:r>
    </w:p>
    <w:p>
      <w:pPr>
        <w:spacing w:after="0" w:line="184" w:lineRule="exact"/>
        <w:rPr>
          <w:rFonts w:ascii="Arial" w:cs="Arial" w:eastAsia="Arial" w:hAnsi="Arial"/>
          <w:sz w:val="19"/>
          <w:szCs w:val="19"/>
          <w:color w:val="auto"/>
        </w:rPr>
      </w:pPr>
    </w:p>
    <w:p>
      <w:pPr>
        <w:jc w:val="both"/>
        <w:ind w:left="1040" w:hanging="516"/>
        <w:spacing w:after="0" w:line="243" w:lineRule="auto"/>
        <w:tabs>
          <w:tab w:leader="none" w:pos="10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was subject to a cease trade order or similar order or an order that denied the company access to any exemption under securities legislation for a period of more than 30 consecutive days that was issued after the nominee ceased to act in such capacity and which resulted from an event that occurred while the nominee was acting in such capacity.</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To the knowledge of the Company, other than as set out below, during the past 10 years, no nominee proposed for election has been a director or executive officer of any company that, while the nominee was acting in such capacity, or within a year of the nominee ceasing to act in such capacity, became bankrupt, made a proposal under any legislation relating to bankruptcy or insolvency or was subject to or instituted any proceedings, arrangement or compromise with creditors or had a receiver, receiver manager or director appointed to hold its assets.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Personal Bankruptcies</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To the knowledge of the Company, no nominee proposed for election has, within the 10 years prior to the date of this Information Circular, become bankrupt or made a proposal under any legislation relating to bankruptcy or insolvency, or been subject to or instituted any proceedings, arrangement or compromise with creditors, or had a receiver, receiver manager or director appointed to hold the assets of the nominee.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Penalties or Sanctions</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No nominee proposed for election has been subject to any penalties or sanctions imposed by a court relating to securities legislation or by a securities regulatory authority or has entered into a settlement agreement with a Canadian securities regulatory authority or been subject to any other penalties or sanctions imposed by a court or regulatory body that would likely be considered important to a reasonable investor making an investment decision.</w:t>
      </w:r>
    </w:p>
    <w:p>
      <w:pPr>
        <w:spacing w:after="0" w:line="188" w:lineRule="exact"/>
        <w:rPr>
          <w:sz w:val="20"/>
          <w:szCs w:val="20"/>
          <w:color w:val="auto"/>
        </w:rPr>
      </w:pPr>
    </w:p>
    <w:p>
      <w:pPr>
        <w:ind w:left="520" w:hanging="520"/>
        <w:spacing w:after="0"/>
        <w:tabs>
          <w:tab w:leader="none" w:pos="520" w:val="left"/>
        </w:tabs>
        <w:numPr>
          <w:ilvl w:val="0"/>
          <w:numId w:val="11"/>
        </w:numPr>
        <w:rPr>
          <w:rFonts w:ascii="Arial" w:cs="Arial" w:eastAsia="Arial" w:hAnsi="Arial"/>
          <w:sz w:val="24"/>
          <w:szCs w:val="24"/>
          <w:b w:val="1"/>
          <w:bCs w:val="1"/>
          <w:color w:val="809AA2"/>
        </w:rPr>
      </w:pPr>
      <w:r>
        <w:rPr>
          <w:rFonts w:ascii="Arial" w:cs="Arial" w:eastAsia="Arial" w:hAnsi="Arial"/>
          <w:sz w:val="24"/>
          <w:szCs w:val="24"/>
          <w:b w:val="1"/>
          <w:bCs w:val="1"/>
          <w:color w:val="809AA2"/>
        </w:rPr>
        <w:t>Appointment of Auditors</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audit &amp; risk management committee of the Company (the “</w:t>
      </w:r>
      <w:r>
        <w:rPr>
          <w:rFonts w:ascii="Arial" w:cs="Arial" w:eastAsia="Arial" w:hAnsi="Arial"/>
          <w:sz w:val="19"/>
          <w:szCs w:val="19"/>
          <w:b w:val="1"/>
          <w:bCs w:val="1"/>
          <w:color w:val="auto"/>
        </w:rPr>
        <w:t>Audit &amp; Risk Management Committee</w:t>
      </w:r>
      <w:r>
        <w:rPr>
          <w:rFonts w:ascii="Arial" w:cs="Arial" w:eastAsia="Arial" w:hAnsi="Arial"/>
          <w:sz w:val="19"/>
          <w:szCs w:val="19"/>
          <w:color w:val="auto"/>
        </w:rPr>
        <w:t>”) recommends to the Shareholders that Deloitte LLP, Chartered Accountants (“</w:t>
      </w:r>
      <w:r>
        <w:rPr>
          <w:rFonts w:ascii="Arial" w:cs="Arial" w:eastAsia="Arial" w:hAnsi="Arial"/>
          <w:sz w:val="19"/>
          <w:szCs w:val="19"/>
          <w:b w:val="1"/>
          <w:bCs w:val="1"/>
          <w:color w:val="auto"/>
        </w:rPr>
        <w:t>Deloitte</w:t>
      </w:r>
      <w:r>
        <w:rPr>
          <w:rFonts w:ascii="Arial" w:cs="Arial" w:eastAsia="Arial" w:hAnsi="Arial"/>
          <w:sz w:val="19"/>
          <w:szCs w:val="19"/>
          <w:color w:val="auto"/>
        </w:rPr>
        <w:t>”) be appointed as the independent auditor of the Company, to hold office until the close of the next annual meeting of the Shareholders or until its successor is appointed, and that the Directors be authorized to fix the remuneration of the auditors.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680"/>
          </w:cols>
          <w:pgMar w:left="600" w:top="259" w:right="619" w:bottom="1440" w:gutter="0" w:footer="0" w:header="0"/>
        </w:sectPr>
      </w:pPr>
    </w:p>
    <w:bookmarkStart w:id="37" w:name="page38"/>
    <w:bookmarkEnd w:id="37"/>
    <w:p>
      <w:pPr>
        <w:jc w:val="both"/>
        <w:spacing w:after="0" w:line="24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Deloitte has been the auditor of the Company since 2018. The persons named in the form of proxy and voting instruction form, if not expressly directed to the contrary in such form of proxy or voting instruction form, will vote such proxies in favour of a resolution to appoint Deloitte as auditors of the Company and to authorize the Directors to fix Deloitte’s remuneration.</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Audit &amp; Risk Management Committee Information</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Reference is made to the Company’s current Annual Information Form for information relating to the Audit &amp; Risk Management Committee, which is available on the Company’s profile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on EDGAR, as part of the Company’s annual report on Form 40-F, at </w:t>
      </w:r>
      <w:r>
        <w:rPr>
          <w:rFonts w:ascii="Arial" w:cs="Arial" w:eastAsia="Arial" w:hAnsi="Arial"/>
          <w:sz w:val="19"/>
          <w:szCs w:val="19"/>
          <w:u w:val="single" w:color="auto"/>
          <w:color w:val="0000FF"/>
        </w:rPr>
        <w:t>www.sec.gov</w:t>
      </w:r>
      <w:r>
        <w:rPr>
          <w:rFonts w:ascii="Arial" w:cs="Arial" w:eastAsia="Arial" w:hAnsi="Arial"/>
          <w:sz w:val="19"/>
          <w:szCs w:val="19"/>
          <w:color w:val="auto"/>
        </w:rPr>
        <w:t xml:space="preserve">. Upon request, the Company will promptly provide a copy of the Annual Information Form free of charge to a securityholder of the Company. A copy of the Audit &amp; Risk Management Committee charter is available on the Company’s website at </w:t>
      </w:r>
      <w:r>
        <w:rPr>
          <w:rFonts w:ascii="Arial" w:cs="Arial" w:eastAsia="Arial" w:hAnsi="Arial"/>
          <w:sz w:val="19"/>
          <w:szCs w:val="19"/>
          <w:u w:val="single" w:color="auto"/>
          <w:color w:val="0000FF"/>
        </w:rPr>
        <w:t>www.algoma.com</w:t>
      </w:r>
      <w:r>
        <w:rPr>
          <w:rFonts w:ascii="Arial" w:cs="Arial" w:eastAsia="Arial" w:hAnsi="Arial"/>
          <w:sz w:val="19"/>
          <w:szCs w:val="19"/>
          <w:color w:val="auto"/>
        </w:rPr>
        <w:t>.</w:t>
      </w:r>
    </w:p>
    <w:p>
      <w:pPr>
        <w:spacing w:after="0" w:line="195" w:lineRule="exact"/>
        <w:rPr>
          <w:sz w:val="20"/>
          <w:szCs w:val="20"/>
          <w:color w:val="auto"/>
        </w:rPr>
      </w:pPr>
    </w:p>
    <w:p>
      <w:pPr>
        <w:ind w:left="520" w:hanging="520"/>
        <w:spacing w:after="0"/>
        <w:tabs>
          <w:tab w:leader="none" w:pos="520" w:val="left"/>
        </w:tabs>
        <w:numPr>
          <w:ilvl w:val="0"/>
          <w:numId w:val="12"/>
        </w:numPr>
        <w:rPr>
          <w:rFonts w:ascii="Arial" w:cs="Arial" w:eastAsia="Arial" w:hAnsi="Arial"/>
          <w:sz w:val="24"/>
          <w:szCs w:val="24"/>
          <w:b w:val="1"/>
          <w:bCs w:val="1"/>
          <w:color w:val="809AA2"/>
        </w:rPr>
      </w:pPr>
      <w:r>
        <w:rPr>
          <w:rFonts w:ascii="Arial" w:cs="Arial" w:eastAsia="Arial" w:hAnsi="Arial"/>
          <w:sz w:val="24"/>
          <w:szCs w:val="24"/>
          <w:b w:val="1"/>
          <w:bCs w:val="1"/>
          <w:color w:val="809AA2"/>
        </w:rPr>
        <w:t>Advisory Vote on Approach to Executive Compensation</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The Board has adopted a policy that provides for an annual advisory shareholder vote on executive compensation known as “Say on Pay”. This policy is designed to enhance accountability for the Board’s compensation decisions by giving shareholders a formal opportunity to provide their views on the Board’s approach to executive compensation through an annual non-binding advisory vote. This is an advisory vote, and the results will not be binding upon the Board. However, the Board will take the results of the vote into account, as appropriate, when considering future compensation policies, procedures and decisions and in determining whether there is a need to significantly increase their engagement with shareholders on compensation and related matters. The Company will disclose the results of the shareholder advisory vote as a part of its report on voting results for the Meeting.</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Shareholders are encouraged to review and consider the detailed information regarding the Company’s approach to compensation in “</w:t>
      </w:r>
      <w:r>
        <w:rPr>
          <w:rFonts w:ascii="Arial" w:cs="Arial" w:eastAsia="Arial" w:hAnsi="Arial"/>
          <w:sz w:val="19"/>
          <w:szCs w:val="19"/>
          <w:i w:val="1"/>
          <w:iCs w:val="1"/>
          <w:color w:val="auto"/>
        </w:rPr>
        <w:t>Compensation</w:t>
      </w:r>
      <w:r>
        <w:rPr>
          <w:rFonts w:ascii="Arial" w:cs="Arial" w:eastAsia="Arial" w:hAnsi="Arial"/>
          <w:sz w:val="19"/>
          <w:szCs w:val="19"/>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Board and management recommend voting FOR the “Say on Pay” advisory resolution.</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Unless authority to do so is withheld, the persons named in the enclosed form of proxy intend to vote </w:t>
      </w:r>
      <w:r>
        <w:rPr>
          <w:rFonts w:ascii="Arial" w:cs="Arial" w:eastAsia="Arial" w:hAnsi="Arial"/>
          <w:sz w:val="19"/>
          <w:szCs w:val="19"/>
          <w:b w:val="1"/>
          <w:bCs w:val="1"/>
          <w:color w:val="auto"/>
        </w:rPr>
        <w:t>FOR</w:t>
      </w:r>
      <w:r>
        <w:rPr>
          <w:rFonts w:ascii="Arial" w:cs="Arial" w:eastAsia="Arial" w:hAnsi="Arial"/>
          <w:sz w:val="19"/>
          <w:szCs w:val="19"/>
          <w:color w:val="auto"/>
        </w:rPr>
        <w:t xml:space="preserve"> the “Say on Pay” resolution.</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At the Meeting, shareholders will be asked to consider the following non-binding advisory resolution on the acceptance of the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Company’s approach to executive compensation:</w:t>
      </w:r>
    </w:p>
    <w:p>
      <w:pPr>
        <w:spacing w:after="0" w:line="181" w:lineRule="exact"/>
        <w:rPr>
          <w:sz w:val="20"/>
          <w:szCs w:val="20"/>
          <w:color w:val="auto"/>
        </w:rPr>
      </w:pPr>
    </w:p>
    <w:p>
      <w:pPr>
        <w:jc w:val="both"/>
        <w:ind w:left="540"/>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 IT RESOLVED THAT</w:t>
      </w:r>
      <w:r>
        <w:rPr>
          <w:rFonts w:ascii="Arial" w:cs="Arial" w:eastAsia="Arial" w:hAnsi="Arial"/>
          <w:sz w:val="19"/>
          <w:szCs w:val="19"/>
          <w:color w:val="auto"/>
        </w:rPr>
        <w:t>, on a non-binding, advisory basis and not to diminish the role and responsibilities of the Board, the shareholders accept the approach to executive compensation disclosed in the Company’s information circular dated April 30, 2026, and delivered in advance of the Meeting.”</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680"/>
          </w:cols>
          <w:pgMar w:left="600" w:top="262" w:right="619" w:bottom="1440" w:gutter="0" w:footer="0" w:header="0"/>
        </w:sectPr>
      </w:pPr>
    </w:p>
    <w:bookmarkStart w:id="38" w:name="page39"/>
    <w:bookmarkEnd w:id="38"/>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Compensation Letter to Shareholders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Human Resources and Compensation Committee (the “</w:t>
      </w:r>
      <w:r>
        <w:rPr>
          <w:rFonts w:ascii="Arial" w:cs="Arial" w:eastAsia="Arial" w:hAnsi="Arial"/>
          <w:sz w:val="19"/>
          <w:szCs w:val="19"/>
          <w:b w:val="1"/>
          <w:bCs w:val="1"/>
          <w:color w:val="auto"/>
        </w:rPr>
        <w:t>HRCC</w:t>
      </w:r>
      <w:r>
        <w:rPr>
          <w:rFonts w:ascii="Arial" w:cs="Arial" w:eastAsia="Arial" w:hAnsi="Arial"/>
          <w:sz w:val="19"/>
          <w:szCs w:val="19"/>
          <w:color w:val="auto"/>
        </w:rPr>
        <w:t>”) is pleased to share its executive compensation approach, which demonstrates strong alignment to the Company’s overall annual performance and Shareholder interests.</w:t>
      </w:r>
    </w:p>
    <w:p>
      <w:pPr>
        <w:spacing w:after="0" w:line="13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Our Performance for Fiscal 2025</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Fiscal 2025 presented an extraordinarily challenging operating environment for the North American steel industry, shaped by a confluence of trade disruption, import pressure, and weak demand.</w:t>
      </w:r>
    </w:p>
    <w:p>
      <w:pPr>
        <w:spacing w:after="0" w:line="14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US trade measures – unprecedented in scope – were designed to eliminate Canadian steel imports into the United States, including through the imposition of 50% tariffs on imported steel products and derivative steel products. These measures fundamentally decoupled previously integrated North American supply chains. Compounding this, as the United States moved to curtail global steel imports, displaced tons sought alternative markets, with a significant volume finding their way into Canada and further depressing domestic Canadian pricing.</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Canada responded with measures of its own to support the domestic steel sector, including tariff rate quotas on certain imported steel products and a 25% surtax on certain steel imports from China. Anti-dumping and countervailing duty measures also remained in place across a range of products and jurisdictions. Notwithstanding these measures, import pressure within the Canadian market remained elevated, contributing to broader supply imbalances across North America.</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Demand conditions offered little relief. In the United States, elevated interest rates maintained to combat inflation constrained manufacturing activity and suppressed metal consumption. Across North America, the combination of persistent weak demand and rising import volumes created oversupply conditions that weighed heavily on steel prices and compressed margins for producers throughout the year.</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Taken together, these conditions made clear that the traditional integrated steelmaking model faced structural, not cyclical, headwinds – and that decisive action was required.</w:t>
      </w:r>
    </w:p>
    <w:p>
      <w:pPr>
        <w:spacing w:after="0" w:line="141"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On September 28, 2025, having concluded that the continuation of integrated ironmaking operations was no longer viable in the trade-impacted environment, the Board approved a plan to wind down and decommission the Company’s blast furnace and coke oven operations and accelerate the full transition to EAF steelmaking. Blast furnace production ceased shortly after December 31, 2025, and decommissioning of the Company’s integrated ironmaking and coke-making assets commenced in January 2026. Algoma now operates exclusively as an EAF steel producer.</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Key financial and operational highlights for the calendar-year ended December 31, 2025 include:</w:t>
      </w:r>
    </w:p>
    <w:p>
      <w:pPr>
        <w:spacing w:after="0" w:line="227" w:lineRule="exact"/>
        <w:rPr>
          <w:sz w:val="20"/>
          <w:szCs w:val="20"/>
          <w:color w:val="auto"/>
        </w:rPr>
      </w:pPr>
    </w:p>
    <w:p>
      <w:pPr>
        <w:ind w:left="1040" w:hanging="411"/>
        <w:spacing w:after="0"/>
        <w:tabs>
          <w:tab w:leader="none" w:pos="10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Consolidated revenue of $2,085.7 million, compared to $2,461.7 million for the prior year.</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680"/>
          </w:cols>
          <w:pgMar w:left="600" w:top="255" w:right="619" w:bottom="1440" w:gutter="0" w:footer="0" w:header="0"/>
        </w:sectPr>
      </w:pPr>
    </w:p>
    <w:bookmarkStart w:id="39" w:name="page40"/>
    <w:bookmarkEnd w:id="39"/>
    <w:p>
      <w:pPr>
        <w:ind w:left="1040" w:hanging="411"/>
        <w:spacing w:after="0"/>
        <w:tabs>
          <w:tab w:leader="none" w:pos="1040" w:val="left"/>
        </w:tabs>
        <w:numPr>
          <w:ilvl w:val="0"/>
          <w:numId w:val="1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Consolidated loss from operations of $1,326.2 million, compared to $217.8 million for the prior year.</w:t>
      </w:r>
    </w:p>
    <w:p>
      <w:pPr>
        <w:spacing w:after="0" w:line="226" w:lineRule="exact"/>
        <w:rPr>
          <w:rFonts w:ascii="Arial" w:cs="Arial" w:eastAsia="Arial" w:hAnsi="Arial"/>
          <w:sz w:val="19"/>
          <w:szCs w:val="19"/>
          <w:color w:val="auto"/>
        </w:rPr>
      </w:pPr>
    </w:p>
    <w:p>
      <w:pPr>
        <w:ind w:left="1040" w:hanging="411"/>
        <w:spacing w:after="0"/>
        <w:tabs>
          <w:tab w:leader="none" w:pos="10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Net loss of $984.9 million, compared to $139.0 million for the prior year.</w:t>
      </w:r>
    </w:p>
    <w:p>
      <w:pPr>
        <w:spacing w:after="0" w:line="226"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Adjusted EBITDA loss of $261.4 million and Adjusted EBITDA margin of (12.5%), compared to Adjusted EBITDA of $22.4 million and Adjusted EBITDA margin of 0.9% for the prior year (refer to “</w:t>
      </w:r>
      <w:r>
        <w:rPr>
          <w:rFonts w:ascii="Arial" w:cs="Arial" w:eastAsia="Arial" w:hAnsi="Arial"/>
          <w:sz w:val="19"/>
          <w:szCs w:val="19"/>
          <w:i w:val="1"/>
          <w:iCs w:val="1"/>
          <w:color w:val="auto"/>
        </w:rPr>
        <w:t>Non-GAAP Financial Measures</w:t>
      </w:r>
      <w:r>
        <w:rPr>
          <w:rFonts w:ascii="Arial" w:cs="Arial" w:eastAsia="Arial" w:hAnsi="Arial"/>
          <w:sz w:val="19"/>
          <w:szCs w:val="19"/>
          <w:color w:val="auto"/>
        </w:rPr>
        <w:t>” section above).</w:t>
      </w:r>
    </w:p>
    <w:p>
      <w:pPr>
        <w:spacing w:after="0" w:line="184"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Cash flows used in operating activities of $66.1 million, compared to cash generated by operating activities of $82.3 million for the prior year.</w:t>
      </w:r>
    </w:p>
    <w:p>
      <w:pPr>
        <w:spacing w:after="0" w:line="166" w:lineRule="exact"/>
        <w:rPr>
          <w:rFonts w:ascii="Arial" w:cs="Arial" w:eastAsia="Arial" w:hAnsi="Arial"/>
          <w:sz w:val="19"/>
          <w:szCs w:val="19"/>
          <w:color w:val="auto"/>
        </w:rPr>
      </w:pPr>
    </w:p>
    <w:p>
      <w:pPr>
        <w:ind w:left="1040" w:hanging="411"/>
        <w:spacing w:after="0"/>
        <w:tabs>
          <w:tab w:leader="none" w:pos="10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Shipments of 1,739,493 tons, compared to 2,023,363 tons in the prior year.</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Variable Compensation Incentive Plan Payout for Fiscal 2025</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Variable Compensation Incentive Plan (“</w:t>
      </w:r>
      <w:r>
        <w:rPr>
          <w:rFonts w:ascii="Arial" w:cs="Arial" w:eastAsia="Arial" w:hAnsi="Arial"/>
          <w:sz w:val="19"/>
          <w:szCs w:val="19"/>
          <w:b w:val="1"/>
          <w:bCs w:val="1"/>
          <w:color w:val="auto"/>
        </w:rPr>
        <w:t>VCIP</w:t>
      </w:r>
      <w:r>
        <w:rPr>
          <w:rFonts w:ascii="Arial" w:cs="Arial" w:eastAsia="Arial" w:hAnsi="Arial"/>
          <w:sz w:val="19"/>
          <w:szCs w:val="19"/>
          <w:color w:val="auto"/>
        </w:rPr>
        <w:t>”) is our annual performance-based cash bonus program designed to reward employees for their contributions to the Company’s success. The VCIP is structured around key performance metrics, including financial, operational, and strategic priorities and is approved annually by the Human Resources &amp; Compensation Committee. Each year, these metrics are assessed to determine the overall performance and the corresponding incentive payouts.</w:t>
      </w:r>
    </w:p>
    <w:p>
      <w:pPr>
        <w:spacing w:after="0" w:line="385"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For Fiscal 2025, the VCIP calculation for executives resulted in an overall payout score of 20% of target for the period January 1, 2025 to March 31, 2025 and 34.4% of target for the period April 1, 2025 to December 31, 2025. The below-target outcome reflects financial and operating performance that fell short of the Company’s expectations for the year, driven primarily by the impact of US trade measures – which created disjointed and significant pricing pressure and broader market disruption across the North American steel industry. The imposition of US trade measures effectively decoupled the Canadian and American steel markets, which had historically operated as an integrated North American market with correlated input costs and pricing dynamics, resulting in a fundamental divergence in market conditions between the two countries as each market began responding to distinct supply, demand, and pricing pressures. These results were partially offset by stronger-than-target environmental and safety performance and the successful execution of key EAF construction milestones during the year. The HRCC carefully reviewed the below-target outcome, with particular attention to the impact of US trade measures on the Company’s financial results and shareholder returns over the period. The HRCC concluded that the resulting payout was consistent with that shareholder experience and determined that no discretionary adjustments were warranted, reflecting the committee’s commitment to disciplined pay-for-performance alignment.</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VCIP extends to all executives and non-unionized employees, regardless of their level within the Company. This inclusivity ensures that all eligible employees are motivated to contribute to the Company’s performance, fostering a culture of shared success and accountability. By linking compensation to performance, the VCIP aims to align individual efforts with the Company’s strategic goals, driving overall business success.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680"/>
          </w:cols>
          <w:pgMar w:left="600" w:top="262" w:right="619" w:bottom="1440" w:gutter="0" w:footer="0" w:header="0"/>
        </w:sectPr>
      </w:pPr>
    </w:p>
    <w:bookmarkStart w:id="40" w:name="page41"/>
    <w:bookmarkEnd w:id="40"/>
    <w:p>
      <w:pPr>
        <w:spacing w:after="0"/>
        <w:rPr>
          <w:sz w:val="20"/>
          <w:szCs w:val="20"/>
          <w:color w:val="auto"/>
        </w:rPr>
      </w:pPr>
      <w:r>
        <w:rPr>
          <w:rFonts w:ascii="Arial" w:cs="Arial" w:eastAsia="Arial" w:hAnsi="Arial"/>
          <w:sz w:val="21"/>
          <w:szCs w:val="21"/>
          <w:b w:val="1"/>
          <w:bCs w:val="1"/>
          <w:i w:val="1"/>
          <w:iCs w:val="1"/>
          <w:color w:val="2E9947"/>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PSUs and RSUs Granted in Fiscal 2025</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Consistent with the Company’s compensation strategy of aligning employee incentives with long-term shareholder value and supporting the retention and motivation of key personnel, in 2025 the Compensation Committee granted RSUs and PSUs to the NEOs of the Company.</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PSUs granted in Fiscal 2025 are subject to a three-year performance period January 1, 2025 to December 31, 2027, and are eligible for vesting on March 10, 2028. These PSUs, weighted at a 60% of the long-term incentive mix for executives, are eligible to vest subject to a cumulative three-year performance period based on relative total shareholder return goals versus a group of key North American steel competitors. RSUs were also granted at 40% of the long-term incentive mix for executives and vest on March 31, 2028.</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Impact of Change in Fiscal Year End</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On November 5, 2024, Algoma changed its fiscal year end from March 31 to December 31. In connection with this change, the HRCC reviewed the resulting transition period and its impact on the design and administration of the Company’s incentive compensation programs.</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Following this review, the HRCC determined that, for 2025, the VCIP would operate over a transitional “stub” performance period running from April 1, 2025 to December 31, 2025. Beginning in 2026 and in subsequent years, VCIP performance goals are established on a 12-month calendar-year basis aligned with the Company’s fiscal year.</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As previously disclosed, the VCIP calculation for executives resulted in an overall payout score of 20% of target for the period January 1, 2025 to March 31, 2025 and 34.4% of target for the period April 1, 2025 to December 31, 2025.</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Director Compensation in 2025</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Effective July 1, 2025, the Board elected to temporarily receive 100% of their retainer in the form of DSUs to align compensation more directly with shareholder returns considering ongoing uncertainty from steel tariffs and as a cash preservation tactic given current business conditions.</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Looking Forward to 2026</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After years of planning and construction, Algoma has advanced its transition to EAF steelmaking, including the successful commissioning of the first EAF Unit in 2025. This transition represents a fundamental technology shift in the Company’s operating model and positions Algoma as a lower-carbon steel producer serving</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EAF transformation project is expected to improve the capability of the Company’s product mix, including the supply of low-carbon-intensity steel to various markets including manufacturing, infrastructure, defence, automotive, energy, and shipbuilding. The transformation is also expected to reduce fixed costs, provide lower carbon compliance costs, increase production capacity, decrease the Company’s environmental footprint, and facilitate the Company’s participation in various voluntary carbon markets.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Our approach to executive compensation continues to evolve in order to attract, retain and engage talent while supporting the Company’s strategy and staying aligned with best governance practices and the interests of our stakeholders. We continue to monitor the impacts of US trade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680"/>
          </w:cols>
          <w:pgMar w:left="600" w:top="259" w:right="61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measures on the Canadian steel and aluminum imports and our business and will continue to take these impacts into account when making decisions around executive compensation.</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After our Say on Pay vote received 96% support from shareholders at last year’s AGM, we invite shareholder feedback through our ‘Say on Pay’ voting process at this year’s meeting. We understand the importance of providing our shareholders with an opportunity to express their support for our compensation design and decisions.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color w:val="auto"/>
        </w:rPr>
        <w:t>Sincerely,</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Human Resources and Compensation Committee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680"/>
          </w:cols>
          <w:pgMar w:left="600" w:top="262" w:right="619" w:bottom="1440" w:gutter="0" w:footer="0" w:header="0"/>
        </w:sectPr>
      </w:pPr>
    </w:p>
    <w:bookmarkStart w:id="42" w:name="page43"/>
    <w:bookmarkEnd w:id="42"/>
    <w:p>
      <w:pPr>
        <w:spacing w:after="0"/>
        <w:rPr>
          <w:sz w:val="20"/>
          <w:szCs w:val="20"/>
          <w:color w:val="auto"/>
        </w:rPr>
      </w:pPr>
      <w:r>
        <w:rPr>
          <w:rFonts w:ascii="Arial" w:cs="Arial" w:eastAsia="Arial" w:hAnsi="Arial"/>
          <w:sz w:val="24"/>
          <w:szCs w:val="24"/>
          <w:b w:val="1"/>
          <w:bCs w:val="1"/>
          <w:color w:val="809AA2"/>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Compensation Governance</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Human Resources and Compensation Committee</w:t>
      </w:r>
    </w:p>
    <w:p>
      <w:pPr>
        <w:spacing w:after="0" w:line="205"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We maintain a human resources and compensation committee (the “</w:t>
      </w:r>
      <w:r>
        <w:rPr>
          <w:rFonts w:ascii="Arial" w:cs="Arial" w:eastAsia="Arial" w:hAnsi="Arial"/>
          <w:sz w:val="19"/>
          <w:szCs w:val="19"/>
          <w:b w:val="1"/>
          <w:bCs w:val="1"/>
          <w:color w:val="auto"/>
        </w:rPr>
        <w:t>Human Resources and Compensation Committee</w:t>
      </w:r>
      <w:r>
        <w:rPr>
          <w:rFonts w:ascii="Arial" w:cs="Arial" w:eastAsia="Arial" w:hAnsi="Arial"/>
          <w:sz w:val="19"/>
          <w:szCs w:val="19"/>
          <w:color w:val="auto"/>
        </w:rPr>
        <w:t>”) consisting of at least three independent Directors. The Human Resources and Compensation Committee currently consists of five directors, each of whom is independent within the meaning of the Nasdaq corporate governance rules, National Policy 58-201 – Corporate Governance Guidelines and the Exchange Act (collectively, the “</w:t>
      </w:r>
      <w:r>
        <w:rPr>
          <w:rFonts w:ascii="Arial" w:cs="Arial" w:eastAsia="Arial" w:hAnsi="Arial"/>
          <w:sz w:val="19"/>
          <w:szCs w:val="19"/>
          <w:b w:val="1"/>
          <w:bCs w:val="1"/>
          <w:color w:val="auto"/>
        </w:rPr>
        <w:t>Applicable Rules</w:t>
      </w:r>
      <w:r>
        <w:rPr>
          <w:rFonts w:ascii="Arial" w:cs="Arial" w:eastAsia="Arial" w:hAnsi="Arial"/>
          <w:sz w:val="19"/>
          <w:szCs w:val="19"/>
          <w:color w:val="auto"/>
        </w:rPr>
        <w:t>”), and each of whom satisfies any additional compensation committee membership requirements of the Applicable Rules. The members of our Human Resources and Compensation Committee are Messrs. Gouin, Nakra and Rosenfeld and Mses. Bueschkens and Rubenstein. Mr. Rosenfeld serves as the chair of the committee. In determining the independence of any director who serves on the Human Resources and Compensation Committee, the Board considered all factors specifically relevant to determining whether a director has a relationship to Algoma which is material to that director’s ability to be independent from management in connection with the duties of a committee member, including, but not limited to: (i) the source of compensation of such director, including any consulting, advisory or other compensatory fee paid by Algoma to such director; and (ii) whether such director is affiliated with Algoma, a subsidiary of Algoma or an affiliate of a subsidiary of Algoma.</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Each member of the Human Resources and Compensation Committee has direct experience relevant to their responsibilities in executive compensation. Our Board has adopted a Human Resources and Compensation Committee charter setting forth the responsibilities of the committee, which are consistent with the Applicable Rules and include (but are not limited to):</w:t>
      </w:r>
    </w:p>
    <w:p>
      <w:pPr>
        <w:spacing w:after="0" w:line="184" w:lineRule="exact"/>
        <w:rPr>
          <w:sz w:val="20"/>
          <w:szCs w:val="20"/>
          <w:color w:val="auto"/>
        </w:rPr>
      </w:pPr>
    </w:p>
    <w:p>
      <w:pPr>
        <w:ind w:left="1040" w:hanging="411"/>
        <w:spacing w:after="0"/>
        <w:tabs>
          <w:tab w:leader="none" w:pos="10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reviewing and making recommendations to the Board with respect to the compensation of directors of Algoma;</w:t>
      </w:r>
    </w:p>
    <w:p>
      <w:pPr>
        <w:spacing w:after="0" w:line="226"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considering recommendations from the Chief Executive Officer concerning the hiring and termination of senior executives, and ensuring that the Chief Executive Officer engages senior management with the necessary skills, knowledge, and experience to manage Algoma’s affairs in a sound and responsible manner;</w:t>
      </w:r>
    </w:p>
    <w:p>
      <w:pPr>
        <w:spacing w:after="0" w:line="184"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reviewing and making recommendations to the Board with respect to the corporate goals and objectives relevant to the compensation of the Chief Executive Officer and evaluating the Chief Executive Officer’s performance in light of those goals and objectives;</w:t>
      </w:r>
    </w:p>
    <w:p>
      <w:pPr>
        <w:spacing w:after="0" w:line="184" w:lineRule="exact"/>
        <w:rPr>
          <w:rFonts w:ascii="Arial" w:cs="Arial" w:eastAsia="Arial" w:hAnsi="Arial"/>
          <w:sz w:val="19"/>
          <w:szCs w:val="19"/>
          <w:color w:val="auto"/>
        </w:rPr>
      </w:pPr>
    </w:p>
    <w:p>
      <w:pPr>
        <w:jc w:val="both"/>
        <w:ind w:left="1040" w:hanging="411"/>
        <w:spacing w:after="0" w:line="239" w:lineRule="auto"/>
        <w:tabs>
          <w:tab w:leader="none" w:pos="10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reviewing and making recommendations to the Board with respect to the compensation of the Chief Executive Officer and, based on the recommendation of the Chief Executive Officer, the other executive officers of the Company (including, but not limited to, members of the executive management group), including salary, incentive compensation plans, equity-based plans, the terms of any employment agreements, severance arrangements and change of control arrangements or provisions, and any special or supplemental benefits;</w:t>
      </w:r>
    </w:p>
    <w:p>
      <w:pPr>
        <w:spacing w:after="0" w:line="195" w:lineRule="exact"/>
        <w:rPr>
          <w:rFonts w:ascii="Arial" w:cs="Arial" w:eastAsia="Arial" w:hAnsi="Arial"/>
          <w:sz w:val="19"/>
          <w:szCs w:val="19"/>
          <w:color w:val="auto"/>
        </w:rPr>
      </w:pPr>
    </w:p>
    <w:p>
      <w:pPr>
        <w:ind w:left="1040" w:hanging="411"/>
        <w:spacing w:after="0"/>
        <w:tabs>
          <w:tab w:leader="none" w:pos="10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recommending awards under the incentive compensation and equity-based compensation plans of Algoma;</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680"/>
          </w:cols>
          <w:pgMar w:left="600" w:top="261" w:right="619" w:bottom="1440" w:gutter="0" w:footer="0" w:header="0"/>
        </w:sectPr>
      </w:pPr>
    </w:p>
    <w:bookmarkStart w:id="43" w:name="page44"/>
    <w:bookmarkEnd w:id="43"/>
    <w:p>
      <w:pPr>
        <w:ind w:left="1040" w:hanging="411"/>
        <w:spacing w:after="0" w:line="268" w:lineRule="auto"/>
        <w:tabs>
          <w:tab w:leader="none" w:pos="1040" w:val="left"/>
        </w:tabs>
        <w:numPr>
          <w:ilvl w:val="0"/>
          <w:numId w:val="1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approve and monitor compliance with any share ownership guidelines of the Company that are applicable to executive officers or directors; and</w:t>
      </w:r>
    </w:p>
    <w:p>
      <w:pPr>
        <w:spacing w:after="0" w:line="166"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from time to time, as appropriate, reviewing Algoma’s policies on salary administration, pay and employment equity, basic incentive and total cash compensation, retirement benefits, and long-term incentives and recommending changes to the Board if appropriate.</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Further particulars of the process by which compensation for our executive officers is determined is provided under “</w:t>
      </w:r>
      <w:r>
        <w:rPr>
          <w:rFonts w:ascii="Arial" w:cs="Arial" w:eastAsia="Arial" w:hAnsi="Arial"/>
          <w:sz w:val="19"/>
          <w:szCs w:val="19"/>
          <w:i w:val="1"/>
          <w:iCs w:val="1"/>
          <w:color w:val="auto"/>
        </w:rPr>
        <w:t>Compensation – Compensation Governance – Principal Elements of Compensation</w:t>
      </w:r>
      <w:r>
        <w:rPr>
          <w:rFonts w:ascii="Arial" w:cs="Arial" w:eastAsia="Arial" w:hAnsi="Arial"/>
          <w:sz w:val="19"/>
          <w:szCs w:val="19"/>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Overview</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compensation discussion and analysis below sets out our philosophy for compensating our executive officers, and explains how our policies and practices implement that philosophy.</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We are led by an experienced management team with vast industry knowledge and a deep understanding of client needs.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The senior management team, combined, have decades of experience working in the steel industry.</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The following discussion describes the material elements of compensation paid to the Company’s named executive officers for Fiscal 2025. The individuals who served as named executive officers during Fiscal 2025 (collectively, the “</w:t>
      </w:r>
      <w:r>
        <w:rPr>
          <w:rFonts w:ascii="Arial" w:cs="Arial" w:eastAsia="Arial" w:hAnsi="Arial"/>
          <w:sz w:val="19"/>
          <w:szCs w:val="19"/>
          <w:b w:val="1"/>
          <w:bCs w:val="1"/>
          <w:color w:val="auto"/>
        </w:rPr>
        <w:t>Named</w:t>
      </w:r>
      <w:r>
        <w:rPr>
          <w:rFonts w:ascii="Arial" w:cs="Arial" w:eastAsia="Arial" w:hAnsi="Arial"/>
          <w:sz w:val="19"/>
          <w:szCs w:val="19"/>
          <w:color w:val="auto"/>
        </w:rPr>
        <w:t xml:space="preserve"> </w:t>
      </w:r>
      <w:r>
        <w:rPr>
          <w:rFonts w:ascii="Arial" w:cs="Arial" w:eastAsia="Arial" w:hAnsi="Arial"/>
          <w:sz w:val="19"/>
          <w:szCs w:val="19"/>
          <w:b w:val="1"/>
          <w:bCs w:val="1"/>
          <w:color w:val="auto"/>
        </w:rPr>
        <w:t>Executive Officers</w:t>
      </w:r>
      <w:r>
        <w:rPr>
          <w:rFonts w:ascii="Arial" w:cs="Arial" w:eastAsia="Arial" w:hAnsi="Arial"/>
          <w:sz w:val="19"/>
          <w:szCs w:val="19"/>
          <w:color w:val="auto"/>
        </w:rPr>
        <w:t>” or “</w:t>
      </w:r>
      <w:r>
        <w:rPr>
          <w:rFonts w:ascii="Arial" w:cs="Arial" w:eastAsia="Arial" w:hAnsi="Arial"/>
          <w:sz w:val="19"/>
          <w:szCs w:val="19"/>
          <w:b w:val="1"/>
          <w:bCs w:val="1"/>
          <w:color w:val="auto"/>
        </w:rPr>
        <w:t>NEOs</w:t>
      </w:r>
      <w:r>
        <w:rPr>
          <w:rFonts w:ascii="Arial" w:cs="Arial" w:eastAsia="Arial" w:hAnsi="Arial"/>
          <w:sz w:val="19"/>
          <w:szCs w:val="19"/>
          <w:color w:val="auto"/>
        </w:rPr>
        <w:t>”) were:</w:t>
      </w:r>
    </w:p>
    <w:p>
      <w:pPr>
        <w:spacing w:after="0" w:line="168" w:lineRule="exact"/>
        <w:rPr>
          <w:sz w:val="20"/>
          <w:szCs w:val="20"/>
          <w:color w:val="auto"/>
        </w:rPr>
      </w:pPr>
    </w:p>
    <w:p>
      <w:pPr>
        <w:ind w:left="1040" w:hanging="411"/>
        <w:spacing w:after="0"/>
        <w:tabs>
          <w:tab w:leader="none" w:pos="10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Michael Garcia, </w:t>
      </w:r>
      <w:r>
        <w:rPr>
          <w:rFonts w:ascii="Arial" w:cs="Arial" w:eastAsia="Arial" w:hAnsi="Arial"/>
          <w:sz w:val="19"/>
          <w:szCs w:val="19"/>
          <w:i w:val="1"/>
          <w:iCs w:val="1"/>
          <w:color w:val="auto"/>
        </w:rPr>
        <w:t>then Chief Executive Officer and now former Chief Executive Officer</w:t>
      </w:r>
      <w:r>
        <w:rPr>
          <w:rFonts w:ascii="Arial" w:cs="Arial" w:eastAsia="Arial" w:hAnsi="Arial"/>
          <w:sz w:val="19"/>
          <w:szCs w:val="19"/>
          <w:color w:val="auto"/>
        </w:rPr>
        <w:t>;</w:t>
      </w:r>
    </w:p>
    <w:p>
      <w:pPr>
        <w:spacing w:after="0" w:line="226" w:lineRule="exact"/>
        <w:rPr>
          <w:rFonts w:ascii="Arial" w:cs="Arial" w:eastAsia="Arial" w:hAnsi="Arial"/>
          <w:sz w:val="19"/>
          <w:szCs w:val="19"/>
          <w:color w:val="auto"/>
        </w:rPr>
      </w:pPr>
    </w:p>
    <w:p>
      <w:pPr>
        <w:ind w:left="1040" w:hanging="411"/>
        <w:spacing w:after="0"/>
        <w:tabs>
          <w:tab w:leader="none" w:pos="10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Rajat Marwah, </w:t>
      </w:r>
      <w:r>
        <w:rPr>
          <w:rFonts w:ascii="Arial" w:cs="Arial" w:eastAsia="Arial" w:hAnsi="Arial"/>
          <w:sz w:val="19"/>
          <w:szCs w:val="19"/>
          <w:i w:val="1"/>
          <w:iCs w:val="1"/>
          <w:color w:val="auto"/>
        </w:rPr>
        <w:t>then President and Chief Financial Officer and now Chief Executive Officer;</w:t>
      </w:r>
    </w:p>
    <w:p>
      <w:pPr>
        <w:spacing w:after="0" w:line="226" w:lineRule="exact"/>
        <w:rPr>
          <w:rFonts w:ascii="Arial" w:cs="Arial" w:eastAsia="Arial" w:hAnsi="Arial"/>
          <w:sz w:val="19"/>
          <w:szCs w:val="19"/>
          <w:color w:val="auto"/>
        </w:rPr>
      </w:pPr>
    </w:p>
    <w:p>
      <w:pPr>
        <w:ind w:left="1040" w:hanging="411"/>
        <w:spacing w:after="0"/>
        <w:tabs>
          <w:tab w:leader="none" w:pos="10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John Naccarato, </w:t>
      </w:r>
      <w:r>
        <w:rPr>
          <w:rFonts w:ascii="Arial" w:cs="Arial" w:eastAsia="Arial" w:hAnsi="Arial"/>
          <w:sz w:val="19"/>
          <w:szCs w:val="19"/>
          <w:i w:val="1"/>
          <w:iCs w:val="1"/>
          <w:color w:val="auto"/>
        </w:rPr>
        <w:t>Vice President – Strategy &amp; Chief Legal Officer</w:t>
      </w:r>
      <w:r>
        <w:rPr>
          <w:rFonts w:ascii="Arial" w:cs="Arial" w:eastAsia="Arial" w:hAnsi="Arial"/>
          <w:sz w:val="19"/>
          <w:szCs w:val="19"/>
          <w:color w:val="auto"/>
        </w:rPr>
        <w:t>;</w:t>
      </w:r>
    </w:p>
    <w:p>
      <w:pPr>
        <w:spacing w:after="0" w:line="226" w:lineRule="exact"/>
        <w:rPr>
          <w:rFonts w:ascii="Arial" w:cs="Arial" w:eastAsia="Arial" w:hAnsi="Arial"/>
          <w:sz w:val="19"/>
          <w:szCs w:val="19"/>
          <w:color w:val="auto"/>
        </w:rPr>
      </w:pPr>
    </w:p>
    <w:p>
      <w:pPr>
        <w:ind w:left="1040" w:hanging="411"/>
        <w:spacing w:after="0"/>
        <w:tabs>
          <w:tab w:leader="none" w:pos="10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Michael Panzeri, </w:t>
      </w:r>
      <w:r>
        <w:rPr>
          <w:rFonts w:ascii="Arial" w:cs="Arial" w:eastAsia="Arial" w:hAnsi="Arial"/>
          <w:sz w:val="19"/>
          <w:szCs w:val="19"/>
          <w:i w:val="1"/>
          <w:iCs w:val="1"/>
          <w:color w:val="auto"/>
        </w:rPr>
        <w:t>Senior Vice-President, Production</w:t>
      </w:r>
      <w:r>
        <w:rPr>
          <w:rFonts w:ascii="Arial" w:cs="Arial" w:eastAsia="Arial" w:hAnsi="Arial"/>
          <w:sz w:val="19"/>
          <w:szCs w:val="19"/>
          <w:color w:val="auto"/>
        </w:rPr>
        <w:t>; and</w:t>
      </w:r>
    </w:p>
    <w:p>
      <w:pPr>
        <w:spacing w:after="0" w:line="226" w:lineRule="exact"/>
        <w:rPr>
          <w:rFonts w:ascii="Arial" w:cs="Arial" w:eastAsia="Arial" w:hAnsi="Arial"/>
          <w:sz w:val="19"/>
          <w:szCs w:val="19"/>
          <w:color w:val="auto"/>
        </w:rPr>
      </w:pPr>
    </w:p>
    <w:p>
      <w:pPr>
        <w:ind w:left="1040" w:hanging="411"/>
        <w:spacing w:after="0"/>
        <w:tabs>
          <w:tab w:leader="none" w:pos="10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 xml:space="preserve">Mark Nogalo, </w:t>
      </w:r>
      <w:r>
        <w:rPr>
          <w:rFonts w:ascii="Arial" w:cs="Arial" w:eastAsia="Arial" w:hAnsi="Arial"/>
          <w:sz w:val="19"/>
          <w:szCs w:val="19"/>
          <w:i w:val="1"/>
          <w:iCs w:val="1"/>
          <w:color w:val="auto"/>
        </w:rPr>
        <w:t>then Vice President – Strategic Transformation and now retired</w:t>
      </w:r>
    </w:p>
    <w:p>
      <w:pPr>
        <w:spacing w:after="0" w:line="20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Mr. Garcia retired from his position as Chief Executive Officer of the Company effective December 31, 2025. Upon the retirement of Mr. Garcia as the Chief Executive Officer, Mr. Marwah, formerly the Company’s President and Chief Financial Officer, was appointed Chief Executive Officer, effective January 1, 2026.</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Upon Mr. Marwah’s appointment as Chief Executive Officer, Mr. Michael Moraca was appointed Chief Financial Officer of the Company, effective January 1, 2026.</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680"/>
          </w:cols>
          <w:pgMar w:left="600" w:top="262" w:right="619" w:bottom="1440" w:gutter="0" w:footer="0" w:header="0"/>
        </w:sectPr>
      </w:pPr>
    </w:p>
    <w:bookmarkStart w:id="44" w:name="page45"/>
    <w:bookmarkEnd w:id="44"/>
    <w:p>
      <w:pPr>
        <w:spacing w:after="0"/>
        <w:rPr>
          <w:sz w:val="20"/>
          <w:szCs w:val="20"/>
          <w:color w:val="auto"/>
        </w:rPr>
      </w:pPr>
      <w:r>
        <w:rPr>
          <w:rFonts w:ascii="Arial" w:cs="Arial" w:eastAsia="Arial" w:hAnsi="Arial"/>
          <w:sz w:val="24"/>
          <w:szCs w:val="24"/>
          <w:b w:val="1"/>
          <w:bCs w:val="1"/>
          <w:color w:val="809AA2"/>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Compensation Discussion and Analysis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compensation discussion and analysis below sets out our philosophy for compensating our executive officers and Directors, and explains how our policies and practices implement that philosophy.</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Compensation Objectives</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To succeed in the North American steel industry and to achieve its business and financial objectives, Algoma needs to attract, retain and motivate a highly talented team of executive officers. Algoma’s compensation philosophy is designed to align the compensation provided to its executives, including the NEOs, with the achievement of business objectives, while also enabling Algoma to attract, motivate and retain individuals who contribute to Algoma’s long-term success. The Board seeks to compensate executive officers by combining short-term cash and long-term equity incentives. Its focus is to reward the achievement of corporate performance objectives, and to align executive officers’ incentives with the Company’s performance. The Company’s philosophy is to pay fair, reasonable and competitive compensation with a significant equity-based component in order to align the interests of the Company’s executive officers with those of its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We have designed our executive officer compensation program to achieve the following objectives:</w:t>
      </w:r>
    </w:p>
    <w:p>
      <w:pPr>
        <w:spacing w:after="0" w:line="227" w:lineRule="exact"/>
        <w:rPr>
          <w:sz w:val="20"/>
          <w:szCs w:val="20"/>
          <w:color w:val="auto"/>
        </w:rPr>
      </w:pPr>
    </w:p>
    <w:p>
      <w:pPr>
        <w:ind w:left="1040" w:hanging="411"/>
        <w:spacing w:after="0" w:line="268" w:lineRule="auto"/>
        <w:tabs>
          <w:tab w:leader="none" w:pos="10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provide compensation opportunities in order to attract and retain talented, high-performing and experienced executive officers whose knowledge, skills and performance are critical to our success;</w:t>
      </w:r>
    </w:p>
    <w:p>
      <w:pPr>
        <w:spacing w:after="0" w:line="166" w:lineRule="exact"/>
        <w:rPr>
          <w:rFonts w:ascii="Arial" w:cs="Arial" w:eastAsia="Arial" w:hAnsi="Arial"/>
          <w:sz w:val="19"/>
          <w:szCs w:val="19"/>
          <w:color w:val="auto"/>
        </w:rPr>
      </w:pPr>
    </w:p>
    <w:p>
      <w:pPr>
        <w:ind w:left="1040" w:hanging="411"/>
        <w:spacing w:after="0"/>
        <w:tabs>
          <w:tab w:leader="none" w:pos="10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motivate our executive officers to achieve our business and financial objectives;</w:t>
      </w:r>
    </w:p>
    <w:p>
      <w:pPr>
        <w:spacing w:after="0" w:line="226"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align the interests of our executive officers with those of our Shareholders by tying a meaningful portion of compensation directly to the long-term value and growth of our business; and</w:t>
      </w:r>
    </w:p>
    <w:p>
      <w:pPr>
        <w:spacing w:after="0" w:line="166"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provide incentives that encourage appropriate levels of risk-taking by our executive officers and a strong pay-for-performance relationship.</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We will continue to evaluate our philosophy and compensation program as circumstances require and will continue to review compensation on an annual basis. As part of this review process, we expect to be guided by the philosophy and objectives outlined above, as well as other factors which may become relevant, including the ability to attract and retain key employees and to adapt to growth and other changes in the Company’s business and industry.</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 addition, we also understand that our Shareholders have a meaningful interest in our executive compensation practices and believe that our Shareholders should have the opportunity to fully understand the objectives, philosophy and principles the Board and the Human Resources and Compensation Committee have used to make executive compensation decisions. As a result, the Board and the Human Resources and Compensation Committee have implemented a “Say on Pay” vote at the Meeting, offering Shareholders an opportunity to cast an advisory and non-binding vote on Algoma’s approach to executive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0680"/>
          </w:cols>
          <w:pgMar w:left="600" w:top="261" w:right="619" w:bottom="1440" w:gutter="0" w:footer="0" w:header="0"/>
        </w:sectPr>
      </w:pPr>
    </w:p>
    <w:bookmarkStart w:id="45" w:name="page46"/>
    <w:bookmarkEnd w:id="45"/>
    <w:p>
      <w:pPr>
        <w:spacing w:after="0"/>
        <w:rPr>
          <w:sz w:val="20"/>
          <w:szCs w:val="20"/>
          <w:color w:val="auto"/>
        </w:rPr>
      </w:pPr>
      <w:r>
        <w:rPr>
          <w:rFonts w:ascii="Arial" w:cs="Arial" w:eastAsia="Arial" w:hAnsi="Arial"/>
          <w:sz w:val="21"/>
          <w:szCs w:val="21"/>
          <w:b w:val="1"/>
          <w:bCs w:val="1"/>
          <w:i w:val="1"/>
          <w:iCs w:val="1"/>
          <w:color w:val="2E9947"/>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Compensation Consultant</w:t>
      </w:r>
    </w:p>
    <w:p>
      <w:pPr>
        <w:spacing w:after="0" w:line="205" w:lineRule="exact"/>
        <w:rPr>
          <w:sz w:val="20"/>
          <w:szCs w:val="20"/>
          <w:color w:val="auto"/>
        </w:rPr>
      </w:pPr>
    </w:p>
    <w:p>
      <w:pPr>
        <w:jc w:val="both"/>
        <w:ind w:right="20"/>
        <w:spacing w:after="0" w:line="250" w:lineRule="auto"/>
        <w:rPr>
          <w:sz w:val="20"/>
          <w:szCs w:val="20"/>
          <w:color w:val="auto"/>
        </w:rPr>
      </w:pPr>
      <w:r>
        <w:rPr>
          <w:rFonts w:ascii="Arial" w:cs="Arial" w:eastAsia="Arial" w:hAnsi="Arial"/>
          <w:sz w:val="19"/>
          <w:szCs w:val="19"/>
          <w:color w:val="auto"/>
        </w:rPr>
        <w:t>In Fiscal 2024 and Fiscal 2025, the HRCC engaged Meridian Compensation Partners (“</w:t>
      </w:r>
      <w:r>
        <w:rPr>
          <w:rFonts w:ascii="Arial" w:cs="Arial" w:eastAsia="Arial" w:hAnsi="Arial"/>
          <w:sz w:val="19"/>
          <w:szCs w:val="19"/>
          <w:b w:val="1"/>
          <w:bCs w:val="1"/>
          <w:color w:val="auto"/>
        </w:rPr>
        <w:t>Meridian</w:t>
      </w:r>
      <w:r>
        <w:rPr>
          <w:rFonts w:ascii="Arial" w:cs="Arial" w:eastAsia="Arial" w:hAnsi="Arial"/>
          <w:sz w:val="19"/>
          <w:szCs w:val="19"/>
          <w:color w:val="auto"/>
        </w:rPr>
        <w:t>”), an independent consulting firm, to provide services in connection with executive officer and director compensation matters, including, among other things, to:</w:t>
      </w:r>
    </w:p>
    <w:p>
      <w:pPr>
        <w:spacing w:after="0" w:line="184" w:lineRule="exact"/>
        <w:rPr>
          <w:sz w:val="20"/>
          <w:szCs w:val="20"/>
          <w:color w:val="auto"/>
        </w:rPr>
      </w:pPr>
    </w:p>
    <w:p>
      <w:pPr>
        <w:ind w:left="1040" w:hanging="411"/>
        <w:spacing w:after="0"/>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provide advice on the Company’s compensation peer group for the purposes of benchmarking executive pay;</w:t>
      </w:r>
    </w:p>
    <w:p>
      <w:pPr>
        <w:spacing w:after="0" w:line="226" w:lineRule="exact"/>
        <w:rPr>
          <w:rFonts w:ascii="Arial" w:cs="Arial" w:eastAsia="Arial" w:hAnsi="Arial"/>
          <w:sz w:val="19"/>
          <w:szCs w:val="19"/>
          <w:color w:val="auto"/>
        </w:rPr>
      </w:pPr>
    </w:p>
    <w:p>
      <w:pPr>
        <w:ind w:left="1040" w:right="20" w:hanging="411"/>
        <w:spacing w:after="0" w:line="268" w:lineRule="auto"/>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benchmark executive pay levels to determine market pay levels, using both the compensation peer group (as listed below) and survey data for similarly-sized companies within the same industry;</w:t>
      </w:r>
    </w:p>
    <w:p>
      <w:pPr>
        <w:spacing w:after="0" w:line="166" w:lineRule="exact"/>
        <w:rPr>
          <w:rFonts w:ascii="Arial" w:cs="Arial" w:eastAsia="Arial" w:hAnsi="Arial"/>
          <w:sz w:val="19"/>
          <w:szCs w:val="19"/>
          <w:color w:val="auto"/>
        </w:rPr>
      </w:pPr>
    </w:p>
    <w:p>
      <w:pPr>
        <w:ind w:left="1040" w:hanging="411"/>
        <w:spacing w:after="0"/>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review relevant corporate governance policies;</w:t>
      </w:r>
    </w:p>
    <w:p>
      <w:pPr>
        <w:spacing w:after="0" w:line="226" w:lineRule="exact"/>
        <w:rPr>
          <w:rFonts w:ascii="Arial" w:cs="Arial" w:eastAsia="Arial" w:hAnsi="Arial"/>
          <w:sz w:val="19"/>
          <w:szCs w:val="19"/>
          <w:color w:val="auto"/>
        </w:rPr>
      </w:pPr>
    </w:p>
    <w:p>
      <w:pPr>
        <w:ind w:left="1040" w:right="20" w:hanging="411"/>
        <w:spacing w:after="0" w:line="268" w:lineRule="auto"/>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provide commentary on the competitiveness of the executive and director compensation program, including incentive design;</w:t>
      </w:r>
    </w:p>
    <w:p>
      <w:pPr>
        <w:spacing w:after="0" w:line="166" w:lineRule="exact"/>
        <w:rPr>
          <w:rFonts w:ascii="Arial" w:cs="Arial" w:eastAsia="Arial" w:hAnsi="Arial"/>
          <w:sz w:val="19"/>
          <w:szCs w:val="19"/>
          <w:color w:val="auto"/>
        </w:rPr>
      </w:pPr>
    </w:p>
    <w:p>
      <w:pPr>
        <w:ind w:left="1040" w:hanging="411"/>
        <w:spacing w:after="0"/>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develop annual and long-term compensation program structures; and</w:t>
      </w:r>
    </w:p>
    <w:p>
      <w:pPr>
        <w:spacing w:after="0" w:line="226" w:lineRule="exact"/>
        <w:rPr>
          <w:rFonts w:ascii="Arial" w:cs="Arial" w:eastAsia="Arial" w:hAnsi="Arial"/>
          <w:sz w:val="19"/>
          <w:szCs w:val="19"/>
          <w:color w:val="auto"/>
        </w:rPr>
      </w:pPr>
    </w:p>
    <w:p>
      <w:pPr>
        <w:ind w:left="1040" w:hanging="411"/>
        <w:spacing w:after="0"/>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provide market data on director compensation matters.</w:t>
      </w:r>
    </w:p>
    <w:p>
      <w:pPr>
        <w:spacing w:after="0" w:line="201"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The Human Resources and Compensation Committee considered the information provided by Meridian and the recommendations it made in connection with the above. However the decisions made regarding final compensation were made by, and are the responsibility of, the Board, on recommendation of the HRCC.</w:t>
      </w:r>
    </w:p>
    <w:p>
      <w:pPr>
        <w:spacing w:after="0" w:line="158"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The following table summarizes the fees billed by Meridian in respect of services provided to the Company in the Fiscal 2024 and Fiscal 2025:</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62"/>
        </w:trPr>
        <w:tc>
          <w:tcPr>
            <w:tcW w:w="3880" w:type="dxa"/>
            <w:vAlign w:val="bottom"/>
            <w:tcBorders>
              <w:top w:val="single" w:sz="8" w:color="auto"/>
              <w:left w:val="single" w:sz="8" w:color="auto"/>
              <w:bottom w:val="single" w:sz="8" w:color="auto"/>
              <w:right w:val="single" w:sz="8" w:color="auto"/>
            </w:tcBorders>
            <w:shd w:val="clear" w:color="auto" w:fill="003445"/>
          </w:tcPr>
          <w:p>
            <w:pPr>
              <w:spacing w:after="0"/>
              <w:rPr>
                <w:sz w:val="22"/>
                <w:szCs w:val="22"/>
                <w:color w:val="auto"/>
              </w:rPr>
            </w:pPr>
          </w:p>
        </w:tc>
        <w:tc>
          <w:tcPr>
            <w:tcW w:w="3420" w:type="dxa"/>
            <w:vAlign w:val="bottom"/>
            <w:tcBorders>
              <w:top w:val="single" w:sz="8" w:color="auto"/>
              <w:bottom w:val="single" w:sz="8" w:color="auto"/>
              <w:right w:val="single" w:sz="8" w:color="auto"/>
            </w:tcBorders>
            <w:shd w:val="clear" w:color="auto" w:fill="003445"/>
          </w:tcPr>
          <w:p>
            <w:pPr>
              <w:ind w:left="280"/>
              <w:spacing w:after="0"/>
              <w:rPr>
                <w:sz w:val="20"/>
                <w:szCs w:val="20"/>
                <w:color w:val="auto"/>
              </w:rPr>
            </w:pPr>
            <w:r>
              <w:rPr>
                <w:rFonts w:ascii="Arial" w:cs="Arial" w:eastAsia="Arial" w:hAnsi="Arial"/>
                <w:sz w:val="19"/>
                <w:szCs w:val="19"/>
                <w:b w:val="1"/>
                <w:bCs w:val="1"/>
                <w:color w:val="FFFFFF"/>
              </w:rPr>
              <w:t xml:space="preserve">               Fiscal 2024             </w:t>
            </w:r>
          </w:p>
        </w:tc>
        <w:tc>
          <w:tcPr>
            <w:tcW w:w="3400" w:type="dxa"/>
            <w:vAlign w:val="bottom"/>
            <w:tcBorders>
              <w:top w:val="single" w:sz="8" w:color="auto"/>
              <w:bottom w:val="single" w:sz="8" w:color="auto"/>
              <w:right w:val="single" w:sz="8" w:color="auto"/>
            </w:tcBorders>
            <w:shd w:val="clear" w:color="auto" w:fill="003445"/>
          </w:tcPr>
          <w:p>
            <w:pPr>
              <w:ind w:left="220"/>
              <w:spacing w:after="0"/>
              <w:rPr>
                <w:sz w:val="20"/>
                <w:szCs w:val="20"/>
                <w:color w:val="auto"/>
              </w:rPr>
            </w:pPr>
            <w:r>
              <w:rPr>
                <w:rFonts w:ascii="Arial" w:cs="Arial" w:eastAsia="Arial" w:hAnsi="Arial"/>
                <w:sz w:val="19"/>
                <w:szCs w:val="19"/>
                <w:b w:val="1"/>
                <w:bCs w:val="1"/>
                <w:color w:val="FFFFFF"/>
              </w:rPr>
              <w:t xml:space="preserve">               Fiscal 2025             </w:t>
            </w:r>
          </w:p>
        </w:tc>
      </w:tr>
      <w:tr>
        <w:trPr>
          <w:trHeight w:val="242"/>
        </w:trPr>
        <w:tc>
          <w:tcPr>
            <w:tcW w:w="3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Executive Compensation-Related Fees</w:t>
            </w:r>
          </w:p>
        </w:tc>
        <w:tc>
          <w:tcPr>
            <w:tcW w:w="3420" w:type="dxa"/>
            <w:vAlign w:val="bottom"/>
            <w:tcBorders>
              <w:bottom w:val="single" w:sz="8" w:color="auto"/>
              <w:right w:val="single" w:sz="8" w:color="auto"/>
            </w:tcBorders>
          </w:tcPr>
          <w:p>
            <w:pPr>
              <w:jc w:val="right"/>
              <w:ind w:right="1184"/>
              <w:spacing w:after="0"/>
              <w:rPr>
                <w:sz w:val="20"/>
                <w:szCs w:val="20"/>
                <w:color w:val="auto"/>
              </w:rPr>
            </w:pPr>
            <w:r>
              <w:rPr>
                <w:rFonts w:ascii="Arial" w:cs="Arial" w:eastAsia="Arial" w:hAnsi="Arial"/>
                <w:sz w:val="19"/>
                <w:szCs w:val="19"/>
                <w:color w:val="auto"/>
              </w:rPr>
              <w:t>$197,166</w:t>
            </w:r>
          </w:p>
        </w:tc>
        <w:tc>
          <w:tcPr>
            <w:tcW w:w="3400" w:type="dxa"/>
            <w:vAlign w:val="bottom"/>
            <w:tcBorders>
              <w:bottom w:val="single" w:sz="8" w:color="auto"/>
              <w:right w:val="single" w:sz="8" w:color="auto"/>
            </w:tcBorders>
          </w:tcPr>
          <w:p>
            <w:pPr>
              <w:jc w:val="right"/>
              <w:ind w:right="1184"/>
              <w:spacing w:after="0"/>
              <w:rPr>
                <w:sz w:val="20"/>
                <w:szCs w:val="20"/>
                <w:color w:val="auto"/>
              </w:rPr>
            </w:pPr>
            <w:r>
              <w:rPr>
                <w:rFonts w:ascii="Arial" w:cs="Arial" w:eastAsia="Arial" w:hAnsi="Arial"/>
                <w:sz w:val="19"/>
                <w:szCs w:val="19"/>
                <w:color w:val="auto"/>
              </w:rPr>
              <w:t>$112,042</w:t>
            </w:r>
          </w:p>
        </w:tc>
      </w:tr>
      <w:tr>
        <w:trPr>
          <w:trHeight w:val="242"/>
        </w:trPr>
        <w:tc>
          <w:tcPr>
            <w:tcW w:w="38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All Other Fees</w:t>
            </w:r>
          </w:p>
        </w:tc>
        <w:tc>
          <w:tcPr>
            <w:tcW w:w="3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Nil</w:t>
            </w:r>
          </w:p>
        </w:tc>
        <w:tc>
          <w:tcPr>
            <w:tcW w:w="3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Nil</w:t>
            </w:r>
          </w:p>
        </w:tc>
      </w:tr>
    </w:tbl>
    <w:p>
      <w:pPr>
        <w:spacing w:after="0" w:line="188"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Meridian does not provide any services to the Company other than directly to the HRCC (or as approved and overseen by the HRCC). Periodically, Meridian is engaged by the Nominating and Governance Committee (the “</w:t>
      </w:r>
      <w:r>
        <w:rPr>
          <w:rFonts w:ascii="Arial" w:cs="Arial" w:eastAsia="Arial" w:hAnsi="Arial"/>
          <w:sz w:val="19"/>
          <w:szCs w:val="19"/>
          <w:b w:val="1"/>
          <w:bCs w:val="1"/>
          <w:color w:val="auto"/>
        </w:rPr>
        <w:t>NGC</w:t>
      </w:r>
      <w:r>
        <w:rPr>
          <w:rFonts w:ascii="Arial" w:cs="Arial" w:eastAsia="Arial" w:hAnsi="Arial"/>
          <w:sz w:val="19"/>
          <w:szCs w:val="19"/>
          <w:color w:val="auto"/>
        </w:rPr>
        <w:t>”) to review Board governance related issues.</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Peer Group</w:t>
      </w:r>
    </w:p>
    <w:p>
      <w:pPr>
        <w:spacing w:after="0" w:line="207"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As part of its engagement with Meridian, the HRCC has determined that its peer group for the purpose of benchmarking executive and director compensation, includes the following comparable public companies, as of the date hereof:</w:t>
      </w:r>
    </w:p>
    <w:p>
      <w:pPr>
        <w:sectPr>
          <w:pgSz w:w="11900" w:h="16838" w:orient="portrait"/>
          <w:cols w:equalWidth="0" w:num="1">
            <w:col w:w="10700"/>
          </w:cols>
          <w:pgMar w:left="600" w:top="259" w:right="59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Algoma Central Corporation</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Allegheny Technologies Incorporated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color w:val="auto"/>
        </w:rPr>
        <w:t>Arch Resources, Inc.</w:t>
      </w:r>
    </w:p>
    <w:p>
      <w:pPr>
        <w:spacing w:after="0" w:line="96" w:lineRule="exact"/>
        <w:rPr>
          <w:sz w:val="20"/>
          <w:szCs w:val="20"/>
          <w:color w:val="auto"/>
        </w:rPr>
      </w:pPr>
    </w:p>
    <w:p>
      <w:pPr>
        <w:sectPr>
          <w:pgSz w:w="11900" w:h="16838" w:orient="portrait"/>
          <w:cols w:equalWidth="0" w:num="6">
            <w:col w:w="60" w:space="240"/>
            <w:col w:w="2620" w:space="720"/>
            <w:col w:w="60" w:space="240"/>
            <w:col w:w="3140" w:space="180"/>
            <w:col w:w="80" w:space="220"/>
            <w:col w:w="3140"/>
          </w:cols>
          <w:pgMar w:left="600" w:top="259" w:right="599" w:bottom="1440" w:gutter="0" w:footer="0" w:header="0"/>
          <w:type w:val="continuous"/>
        </w:sect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Canfor Pulp Products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Carpenter Technology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Century Aluminum Company</w:t>
      </w:r>
    </w:p>
    <w:p>
      <w:pPr>
        <w:spacing w:after="0" w:line="147" w:lineRule="exact"/>
        <w:rPr>
          <w:sz w:val="20"/>
          <w:szCs w:val="20"/>
          <w:color w:val="auto"/>
        </w:rPr>
      </w:pPr>
    </w:p>
    <w:p>
      <w:pPr>
        <w:sectPr>
          <w:pgSz w:w="11900" w:h="16838" w:orient="portrait"/>
          <w:cols w:equalWidth="0" w:num="6">
            <w:col w:w="60" w:space="240"/>
            <w:col w:w="2620" w:space="720"/>
            <w:col w:w="60" w:space="240"/>
            <w:col w:w="2940" w:space="380"/>
            <w:col w:w="80" w:space="220"/>
            <w:col w:w="3140"/>
          </w:cols>
          <w:pgMar w:left="600" w:top="259" w:right="59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0700"/>
          </w:cols>
          <w:pgMar w:left="600" w:top="259" w:right="59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54"/>
        </w:trPr>
        <w:tc>
          <w:tcPr>
            <w:tcW w:w="180" w:type="dxa"/>
            <w:vAlign w:val="bottom"/>
          </w:tcPr>
          <w:p>
            <w:pPr>
              <w:spacing w:after="0"/>
              <w:rPr>
                <w:sz w:val="20"/>
                <w:szCs w:val="20"/>
                <w:color w:val="auto"/>
              </w:rPr>
            </w:pPr>
            <w:r>
              <w:rPr>
                <w:rFonts w:ascii="Arial" w:cs="Arial" w:eastAsia="Arial" w:hAnsi="Arial"/>
                <w:sz w:val="19"/>
                <w:szCs w:val="19"/>
                <w:color w:val="auto"/>
              </w:rPr>
              <w:t>•</w:t>
            </w:r>
          </w:p>
        </w:tc>
        <w:tc>
          <w:tcPr>
            <w:tcW w:w="3040" w:type="dxa"/>
            <w:vAlign w:val="bottom"/>
          </w:tcPr>
          <w:p>
            <w:pPr>
              <w:ind w:left="120"/>
              <w:spacing w:after="0"/>
              <w:rPr>
                <w:sz w:val="20"/>
                <w:szCs w:val="20"/>
                <w:color w:val="auto"/>
              </w:rPr>
            </w:pPr>
            <w:r>
              <w:rPr>
                <w:rFonts w:ascii="Arial" w:cs="Arial" w:eastAsia="Arial" w:hAnsi="Arial"/>
                <w:sz w:val="19"/>
                <w:szCs w:val="19"/>
                <w:color w:val="auto"/>
              </w:rPr>
              <w:t>Commercial Metals Company</w:t>
            </w:r>
          </w:p>
        </w:tc>
        <w:tc>
          <w:tcPr>
            <w:tcW w:w="600" w:type="dxa"/>
            <w:vAlign w:val="bottom"/>
          </w:tcPr>
          <w:p>
            <w:pPr>
              <w:ind w:left="420"/>
              <w:spacing w:after="0"/>
              <w:rPr>
                <w:sz w:val="20"/>
                <w:szCs w:val="20"/>
                <w:color w:val="auto"/>
              </w:rPr>
            </w:pPr>
            <w:r>
              <w:rPr>
                <w:rFonts w:ascii="Arial" w:cs="Arial" w:eastAsia="Arial" w:hAnsi="Arial"/>
                <w:sz w:val="19"/>
                <w:szCs w:val="19"/>
                <w:color w:val="auto"/>
              </w:rPr>
              <w:t>•</w:t>
            </w:r>
          </w:p>
        </w:tc>
        <w:tc>
          <w:tcPr>
            <w:tcW w:w="2920" w:type="dxa"/>
            <w:vAlign w:val="bottom"/>
          </w:tcPr>
          <w:p>
            <w:pPr>
              <w:ind w:left="120"/>
              <w:spacing w:after="0"/>
              <w:rPr>
                <w:sz w:val="20"/>
                <w:szCs w:val="20"/>
                <w:color w:val="auto"/>
              </w:rPr>
            </w:pPr>
            <w:r>
              <w:rPr>
                <w:rFonts w:ascii="Arial" w:cs="Arial" w:eastAsia="Arial" w:hAnsi="Arial"/>
                <w:sz w:val="19"/>
                <w:szCs w:val="19"/>
                <w:color w:val="auto"/>
              </w:rPr>
              <w:t>GrafTech International Ltd.</w:t>
            </w:r>
          </w:p>
        </w:tc>
        <w:tc>
          <w:tcPr>
            <w:tcW w:w="720" w:type="dxa"/>
            <w:vAlign w:val="bottom"/>
          </w:tcPr>
          <w:p>
            <w:pPr>
              <w:ind w:left="520"/>
              <w:spacing w:after="0"/>
              <w:rPr>
                <w:sz w:val="20"/>
                <w:szCs w:val="20"/>
                <w:color w:val="auto"/>
              </w:rPr>
            </w:pPr>
            <w:r>
              <w:rPr>
                <w:rFonts w:ascii="Arial" w:cs="Arial" w:eastAsia="Arial" w:hAnsi="Arial"/>
                <w:sz w:val="19"/>
                <w:szCs w:val="19"/>
                <w:color w:val="auto"/>
              </w:rPr>
              <w:t>•</w:t>
            </w:r>
          </w:p>
        </w:tc>
        <w:tc>
          <w:tcPr>
            <w:tcW w:w="2700" w:type="dxa"/>
            <w:vAlign w:val="bottom"/>
          </w:tcPr>
          <w:p>
            <w:pPr>
              <w:ind w:left="100"/>
              <w:spacing w:after="0"/>
              <w:rPr>
                <w:sz w:val="20"/>
                <w:szCs w:val="20"/>
                <w:color w:val="auto"/>
              </w:rPr>
            </w:pPr>
            <w:r>
              <w:rPr>
                <w:rFonts w:ascii="Arial" w:cs="Arial" w:eastAsia="Arial" w:hAnsi="Arial"/>
                <w:sz w:val="19"/>
                <w:szCs w:val="19"/>
                <w:color w:val="auto"/>
              </w:rPr>
              <w:t>Haynes International Inc.</w:t>
            </w:r>
          </w:p>
        </w:tc>
      </w:tr>
      <w:tr>
        <w:trPr>
          <w:trHeight w:val="270"/>
        </w:trPr>
        <w:tc>
          <w:tcPr>
            <w:tcW w:w="180" w:type="dxa"/>
            <w:vAlign w:val="bottom"/>
          </w:tcPr>
          <w:p>
            <w:pPr>
              <w:spacing w:after="0"/>
              <w:rPr>
                <w:sz w:val="20"/>
                <w:szCs w:val="20"/>
                <w:color w:val="auto"/>
              </w:rPr>
            </w:pPr>
            <w:r>
              <w:rPr>
                <w:rFonts w:ascii="Arial" w:cs="Arial" w:eastAsia="Arial" w:hAnsi="Arial"/>
                <w:sz w:val="19"/>
                <w:szCs w:val="19"/>
                <w:color w:val="auto"/>
              </w:rPr>
              <w:t>•</w:t>
            </w:r>
          </w:p>
        </w:tc>
        <w:tc>
          <w:tcPr>
            <w:tcW w:w="3040" w:type="dxa"/>
            <w:vAlign w:val="bottom"/>
          </w:tcPr>
          <w:p>
            <w:pPr>
              <w:ind w:left="120"/>
              <w:spacing w:after="0"/>
              <w:rPr>
                <w:sz w:val="20"/>
                <w:szCs w:val="20"/>
                <w:color w:val="auto"/>
              </w:rPr>
            </w:pPr>
            <w:r>
              <w:rPr>
                <w:rFonts w:ascii="Arial" w:cs="Arial" w:eastAsia="Arial" w:hAnsi="Arial"/>
                <w:sz w:val="19"/>
                <w:szCs w:val="19"/>
                <w:color w:val="auto"/>
              </w:rPr>
              <w:t>Mattr Corp.</w:t>
            </w:r>
          </w:p>
        </w:tc>
        <w:tc>
          <w:tcPr>
            <w:tcW w:w="600" w:type="dxa"/>
            <w:vAlign w:val="bottom"/>
          </w:tcPr>
          <w:p>
            <w:pPr>
              <w:ind w:left="420"/>
              <w:spacing w:after="0"/>
              <w:rPr>
                <w:sz w:val="20"/>
                <w:szCs w:val="20"/>
                <w:color w:val="auto"/>
              </w:rPr>
            </w:pPr>
            <w:r>
              <w:rPr>
                <w:rFonts w:ascii="Arial" w:cs="Arial" w:eastAsia="Arial" w:hAnsi="Arial"/>
                <w:sz w:val="19"/>
                <w:szCs w:val="19"/>
                <w:color w:val="auto"/>
              </w:rPr>
              <w:t>•</w:t>
            </w:r>
          </w:p>
        </w:tc>
        <w:tc>
          <w:tcPr>
            <w:tcW w:w="2920" w:type="dxa"/>
            <w:vAlign w:val="bottom"/>
          </w:tcPr>
          <w:p>
            <w:pPr>
              <w:ind w:left="120"/>
              <w:spacing w:after="0"/>
              <w:rPr>
                <w:sz w:val="20"/>
                <w:szCs w:val="20"/>
                <w:color w:val="auto"/>
              </w:rPr>
            </w:pPr>
            <w:r>
              <w:rPr>
                <w:rFonts w:ascii="Arial" w:cs="Arial" w:eastAsia="Arial" w:hAnsi="Arial"/>
                <w:sz w:val="19"/>
                <w:szCs w:val="19"/>
                <w:color w:val="auto"/>
              </w:rPr>
              <w:t>Mettalus</w:t>
            </w:r>
          </w:p>
        </w:tc>
        <w:tc>
          <w:tcPr>
            <w:tcW w:w="720" w:type="dxa"/>
            <w:vAlign w:val="bottom"/>
          </w:tcPr>
          <w:p>
            <w:pPr>
              <w:ind w:left="520"/>
              <w:spacing w:after="0"/>
              <w:rPr>
                <w:sz w:val="20"/>
                <w:szCs w:val="20"/>
                <w:color w:val="auto"/>
              </w:rPr>
            </w:pPr>
            <w:r>
              <w:rPr>
                <w:rFonts w:ascii="Arial" w:cs="Arial" w:eastAsia="Arial" w:hAnsi="Arial"/>
                <w:sz w:val="19"/>
                <w:szCs w:val="19"/>
                <w:color w:val="auto"/>
              </w:rPr>
              <w:t>•</w:t>
            </w:r>
          </w:p>
        </w:tc>
        <w:tc>
          <w:tcPr>
            <w:tcW w:w="2700" w:type="dxa"/>
            <w:vAlign w:val="bottom"/>
          </w:tcPr>
          <w:p>
            <w:pPr>
              <w:ind w:left="100"/>
              <w:spacing w:after="0"/>
              <w:rPr>
                <w:sz w:val="20"/>
                <w:szCs w:val="20"/>
                <w:color w:val="auto"/>
              </w:rPr>
            </w:pPr>
            <w:r>
              <w:rPr>
                <w:rFonts w:ascii="Arial" w:cs="Arial" w:eastAsia="Arial" w:hAnsi="Arial"/>
                <w:sz w:val="19"/>
                <w:szCs w:val="19"/>
                <w:color w:val="auto"/>
              </w:rPr>
              <w:t>Olympic Steel, Inc.</w:t>
            </w:r>
          </w:p>
        </w:tc>
      </w:tr>
      <w:tr>
        <w:trPr>
          <w:trHeight w:val="254"/>
        </w:trPr>
        <w:tc>
          <w:tcPr>
            <w:tcW w:w="180" w:type="dxa"/>
            <w:vAlign w:val="bottom"/>
          </w:tcPr>
          <w:p>
            <w:pPr>
              <w:spacing w:after="0"/>
              <w:rPr>
                <w:sz w:val="22"/>
                <w:szCs w:val="22"/>
                <w:color w:val="auto"/>
              </w:rPr>
            </w:pPr>
          </w:p>
        </w:tc>
        <w:tc>
          <w:tcPr>
            <w:tcW w:w="3040" w:type="dxa"/>
            <w:vAlign w:val="bottom"/>
          </w:tcPr>
          <w:p>
            <w:pPr>
              <w:ind w:left="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formerly Shawcor</w:t>
            </w:r>
            <w:r>
              <w:rPr>
                <w:rFonts w:ascii="Arial" w:cs="Arial" w:eastAsia="Arial" w:hAnsi="Arial"/>
                <w:sz w:val="19"/>
                <w:szCs w:val="19"/>
                <w:color w:val="auto"/>
              </w:rPr>
              <w:t>)</w:t>
            </w:r>
          </w:p>
        </w:tc>
        <w:tc>
          <w:tcPr>
            <w:tcW w:w="600" w:type="dxa"/>
            <w:vAlign w:val="bottom"/>
          </w:tcPr>
          <w:p>
            <w:pPr>
              <w:spacing w:after="0"/>
              <w:rPr>
                <w:sz w:val="22"/>
                <w:szCs w:val="22"/>
                <w:color w:val="auto"/>
              </w:rPr>
            </w:pPr>
          </w:p>
        </w:tc>
        <w:tc>
          <w:tcPr>
            <w:tcW w:w="2920" w:type="dxa"/>
            <w:vAlign w:val="bottom"/>
          </w:tcPr>
          <w:p>
            <w:pPr>
              <w:ind w:left="1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formerly TimkenSteel</w:t>
            </w:r>
            <w:r>
              <w:rPr>
                <w:rFonts w:ascii="Arial" w:cs="Arial" w:eastAsia="Arial" w:hAnsi="Arial"/>
                <w:sz w:val="19"/>
                <w:szCs w:val="19"/>
                <w:color w:val="auto"/>
              </w:rPr>
              <w:t>)</w:t>
            </w:r>
          </w:p>
        </w:tc>
        <w:tc>
          <w:tcPr>
            <w:tcW w:w="72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314"/>
        </w:trPr>
        <w:tc>
          <w:tcPr>
            <w:tcW w:w="180" w:type="dxa"/>
            <w:vAlign w:val="bottom"/>
          </w:tcPr>
          <w:p>
            <w:pPr>
              <w:spacing w:after="0"/>
              <w:rPr>
                <w:sz w:val="20"/>
                <w:szCs w:val="20"/>
                <w:color w:val="auto"/>
              </w:rPr>
            </w:pPr>
            <w:r>
              <w:rPr>
                <w:rFonts w:ascii="Arial" w:cs="Arial" w:eastAsia="Arial" w:hAnsi="Arial"/>
                <w:sz w:val="19"/>
                <w:szCs w:val="19"/>
                <w:color w:val="auto"/>
              </w:rPr>
              <w:t>•</w:t>
            </w:r>
          </w:p>
        </w:tc>
        <w:tc>
          <w:tcPr>
            <w:tcW w:w="3040" w:type="dxa"/>
            <w:vAlign w:val="bottom"/>
          </w:tcPr>
          <w:p>
            <w:pPr>
              <w:ind w:left="120"/>
              <w:spacing w:after="0"/>
              <w:rPr>
                <w:sz w:val="20"/>
                <w:szCs w:val="20"/>
                <w:color w:val="auto"/>
              </w:rPr>
            </w:pPr>
            <w:r>
              <w:rPr>
                <w:rFonts w:ascii="Arial" w:cs="Arial" w:eastAsia="Arial" w:hAnsi="Arial"/>
                <w:sz w:val="19"/>
                <w:szCs w:val="19"/>
                <w:color w:val="auto"/>
              </w:rPr>
              <w:t>Peabody Energy Corporation</w:t>
            </w:r>
          </w:p>
        </w:tc>
        <w:tc>
          <w:tcPr>
            <w:tcW w:w="600" w:type="dxa"/>
            <w:vAlign w:val="bottom"/>
          </w:tcPr>
          <w:p>
            <w:pPr>
              <w:ind w:left="420"/>
              <w:spacing w:after="0"/>
              <w:rPr>
                <w:sz w:val="20"/>
                <w:szCs w:val="20"/>
                <w:color w:val="auto"/>
              </w:rPr>
            </w:pPr>
            <w:r>
              <w:rPr>
                <w:rFonts w:ascii="Arial" w:cs="Arial" w:eastAsia="Arial" w:hAnsi="Arial"/>
                <w:sz w:val="19"/>
                <w:szCs w:val="19"/>
                <w:color w:val="auto"/>
              </w:rPr>
              <w:t>•</w:t>
            </w:r>
          </w:p>
        </w:tc>
        <w:tc>
          <w:tcPr>
            <w:tcW w:w="2920" w:type="dxa"/>
            <w:vAlign w:val="bottom"/>
          </w:tcPr>
          <w:p>
            <w:pPr>
              <w:ind w:left="120"/>
              <w:spacing w:after="0"/>
              <w:rPr>
                <w:sz w:val="20"/>
                <w:szCs w:val="20"/>
                <w:color w:val="auto"/>
              </w:rPr>
            </w:pPr>
            <w:r>
              <w:rPr>
                <w:rFonts w:ascii="Arial" w:cs="Arial" w:eastAsia="Arial" w:hAnsi="Arial"/>
                <w:sz w:val="19"/>
                <w:szCs w:val="19"/>
                <w:color w:val="auto"/>
              </w:rPr>
              <w:t>Russel Metals Inc.</w:t>
            </w:r>
          </w:p>
        </w:tc>
        <w:tc>
          <w:tcPr>
            <w:tcW w:w="3420" w:type="dxa"/>
            <w:vAlign w:val="bottom"/>
            <w:gridSpan w:val="2"/>
          </w:tcPr>
          <w:p>
            <w:pPr>
              <w:ind w:left="520"/>
              <w:spacing w:after="0"/>
              <w:rPr>
                <w:sz w:val="20"/>
                <w:szCs w:val="20"/>
                <w:color w:val="auto"/>
              </w:rPr>
            </w:pPr>
            <w:r>
              <w:rPr>
                <w:rFonts w:ascii="Arial" w:cs="Arial" w:eastAsia="Arial" w:hAnsi="Arial"/>
                <w:sz w:val="19"/>
                <w:szCs w:val="19"/>
                <w:color w:val="auto"/>
              </w:rPr>
              <w:t>•  Schnitzer Steel Industries, Inc.</w:t>
            </w:r>
          </w:p>
        </w:tc>
      </w:tr>
      <w:tr>
        <w:trPr>
          <w:trHeight w:val="314"/>
        </w:trPr>
        <w:tc>
          <w:tcPr>
            <w:tcW w:w="180" w:type="dxa"/>
            <w:vAlign w:val="bottom"/>
          </w:tcPr>
          <w:p>
            <w:pPr>
              <w:spacing w:after="0"/>
              <w:rPr>
                <w:sz w:val="20"/>
                <w:szCs w:val="20"/>
                <w:color w:val="auto"/>
              </w:rPr>
            </w:pPr>
            <w:r>
              <w:rPr>
                <w:rFonts w:ascii="Arial" w:cs="Arial" w:eastAsia="Arial" w:hAnsi="Arial"/>
                <w:sz w:val="19"/>
                <w:szCs w:val="19"/>
                <w:color w:val="auto"/>
              </w:rPr>
              <w:t>•</w:t>
            </w:r>
          </w:p>
        </w:tc>
        <w:tc>
          <w:tcPr>
            <w:tcW w:w="3040" w:type="dxa"/>
            <w:vAlign w:val="bottom"/>
          </w:tcPr>
          <w:p>
            <w:pPr>
              <w:ind w:left="120"/>
              <w:spacing w:after="0"/>
              <w:rPr>
                <w:sz w:val="20"/>
                <w:szCs w:val="20"/>
                <w:color w:val="auto"/>
              </w:rPr>
            </w:pPr>
            <w:r>
              <w:rPr>
                <w:rFonts w:ascii="Arial" w:cs="Arial" w:eastAsia="Arial" w:hAnsi="Arial"/>
                <w:sz w:val="19"/>
                <w:szCs w:val="19"/>
                <w:color w:val="auto"/>
              </w:rPr>
              <w:t>Stelco Holdings Inc.</w:t>
            </w:r>
          </w:p>
        </w:tc>
        <w:tc>
          <w:tcPr>
            <w:tcW w:w="3520" w:type="dxa"/>
            <w:vAlign w:val="bottom"/>
            <w:gridSpan w:val="2"/>
          </w:tcPr>
          <w:p>
            <w:pPr>
              <w:ind w:left="420"/>
              <w:spacing w:after="0"/>
              <w:rPr>
                <w:sz w:val="20"/>
                <w:szCs w:val="20"/>
                <w:color w:val="auto"/>
              </w:rPr>
            </w:pPr>
            <w:r>
              <w:rPr>
                <w:rFonts w:ascii="Arial" w:cs="Arial" w:eastAsia="Arial" w:hAnsi="Arial"/>
                <w:sz w:val="19"/>
                <w:szCs w:val="19"/>
                <w:color w:val="auto"/>
              </w:rPr>
              <w:t>•  Warrior Met Coal, Inc.</w:t>
            </w:r>
          </w:p>
        </w:tc>
        <w:tc>
          <w:tcPr>
            <w:tcW w:w="3420" w:type="dxa"/>
            <w:vAlign w:val="bottom"/>
            <w:gridSpan w:val="2"/>
          </w:tcPr>
          <w:p>
            <w:pPr>
              <w:ind w:left="520"/>
              <w:spacing w:after="0"/>
              <w:rPr>
                <w:sz w:val="20"/>
                <w:szCs w:val="20"/>
                <w:color w:val="auto"/>
              </w:rPr>
            </w:pPr>
            <w:r>
              <w:rPr>
                <w:rFonts w:ascii="Arial" w:cs="Arial" w:eastAsia="Arial" w:hAnsi="Arial"/>
                <w:sz w:val="19"/>
                <w:szCs w:val="19"/>
                <w:color w:val="auto"/>
              </w:rPr>
              <w:t>•  Western Forest Products Inc.</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jc w:val="both"/>
        <w:spacing w:after="0" w:line="249" w:lineRule="auto"/>
        <w:rPr>
          <w:sz w:val="20"/>
          <w:szCs w:val="20"/>
          <w:color w:val="auto"/>
        </w:rPr>
      </w:pPr>
      <w:r>
        <w:rPr>
          <w:rFonts w:ascii="Arial" w:cs="Arial" w:eastAsia="Arial" w:hAnsi="Arial"/>
          <w:sz w:val="19"/>
          <w:szCs w:val="19"/>
          <w:color w:val="auto"/>
        </w:rPr>
        <w:t>The HRCC intends to continue to use both a compensation peer group and size- and industry-appropriate survey data to inform annual compensation decisions. In anticipation of the annual compensation review process for our NEOs, the peer group and survey data size ranges will be revisited annually to ensure alignment with our profile.</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Principal Elements of Compensation</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following discussion supplements the more detailed information concerning executive compensation provided below under “</w:t>
      </w:r>
      <w:r>
        <w:rPr>
          <w:rFonts w:ascii="Arial" w:cs="Arial" w:eastAsia="Arial" w:hAnsi="Arial"/>
          <w:sz w:val="19"/>
          <w:szCs w:val="19"/>
          <w:i w:val="1"/>
          <w:iCs w:val="1"/>
          <w:color w:val="auto"/>
        </w:rPr>
        <w:t>Compensation in Fiscal 2025</w:t>
      </w:r>
      <w:r>
        <w:rPr>
          <w:rFonts w:ascii="Arial" w:cs="Arial" w:eastAsia="Arial" w:hAnsi="Arial"/>
          <w:sz w:val="19"/>
          <w:szCs w:val="19"/>
          <w:color w:val="auto"/>
        </w:rPr>
        <w:t>” and “</w:t>
      </w:r>
      <w:r>
        <w:rPr>
          <w:rFonts w:ascii="Arial" w:cs="Arial" w:eastAsia="Arial" w:hAnsi="Arial"/>
          <w:sz w:val="19"/>
          <w:szCs w:val="19"/>
          <w:i w:val="1"/>
          <w:iCs w:val="1"/>
          <w:color w:val="auto"/>
        </w:rPr>
        <w:t>Summary Compensation Table – Named Executive Officers</w:t>
      </w:r>
      <w:r>
        <w:rPr>
          <w:rFonts w:ascii="Arial" w:cs="Arial" w:eastAsia="Arial" w:hAnsi="Arial"/>
          <w:sz w:val="19"/>
          <w:szCs w:val="19"/>
          <w:color w:val="auto"/>
        </w:rPr>
        <w:t>”.</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compensation of the NEOs includes three principal elements: (i) base salary; (ii) short-term incentives; and (iii) long-term incentives, which may consist of options, RSUs and PSUs granted under the Omnibus Incentive Plan (and currently consists of RSUs and PSUs), each as described in further detail below. Perquisites and personal benefits are generally not a significant element of compensation of our executive officers.</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Our target pay mix for senior executives is strongly performance-based and strongly at-risk (81% at-risk for the CEO and 67% at-risk for the other NEOs,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119380</wp:posOffset>
            </wp:positionV>
            <wp:extent cx="2853055" cy="2985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53055" cy="2985770"/>
                    </a:xfrm>
                    <a:prstGeom prst="rect">
                      <a:avLst/>
                    </a:prstGeom>
                    <a:noFill/>
                  </pic:spPr>
                </pic:pic>
              </a:graphicData>
            </a:graphic>
          </wp:anchor>
        </w:drawing>
      </w:r>
    </w:p>
    <w:p>
      <w:pPr>
        <w:spacing w:after="0" w:line="168" w:lineRule="exact"/>
        <w:rPr>
          <w:sz w:val="20"/>
          <w:szCs w:val="20"/>
          <w:color w:val="auto"/>
        </w:rPr>
      </w:pPr>
    </w:p>
    <w:p>
      <w:pPr>
        <w:ind w:left="780"/>
        <w:spacing w:after="0"/>
        <w:rPr>
          <w:sz w:val="20"/>
          <w:szCs w:val="20"/>
          <w:color w:val="auto"/>
        </w:rPr>
      </w:pPr>
      <w:r>
        <w:rPr>
          <w:sz w:val="1"/>
          <w:szCs w:val="1"/>
          <w:color w:val="auto"/>
        </w:rPr>
        <w:drawing>
          <wp:inline distT="0" distB="0" distL="0" distR="0">
            <wp:extent cx="2761615" cy="298577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61615" cy="29857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0680"/>
          </w:cols>
          <w:pgMar w:left="600" w:top="262" w:right="61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212"/>
        </w:trPr>
        <w:tc>
          <w:tcPr>
            <w:tcW w:w="1840" w:type="dxa"/>
            <w:vAlign w:val="bottom"/>
            <w:tcBorders>
              <w:top w:val="single" w:sz="8" w:color="auto"/>
              <w:left w:val="single" w:sz="8" w:color="auto"/>
              <w:right w:val="single" w:sz="8" w:color="auto"/>
            </w:tcBorders>
            <w:shd w:val="clear" w:color="auto" w:fill="003445"/>
          </w:tcPr>
          <w:p>
            <w:pPr>
              <w:ind w:left="320"/>
              <w:spacing w:after="0" w:line="213" w:lineRule="exact"/>
              <w:rPr>
                <w:sz w:val="20"/>
                <w:szCs w:val="20"/>
                <w:color w:val="auto"/>
              </w:rPr>
            </w:pPr>
            <w:r>
              <w:rPr>
                <w:rFonts w:ascii="Arial" w:cs="Arial" w:eastAsia="Arial" w:hAnsi="Arial"/>
                <w:sz w:val="19"/>
                <w:szCs w:val="19"/>
                <w:b w:val="1"/>
                <w:bCs w:val="1"/>
                <w:color w:val="FFFFFF"/>
              </w:rPr>
              <w:t>Compensation</w:t>
            </w:r>
          </w:p>
        </w:tc>
        <w:tc>
          <w:tcPr>
            <w:tcW w:w="1300" w:type="dxa"/>
            <w:vAlign w:val="bottom"/>
            <w:tcBorders>
              <w:top w:val="single" w:sz="8" w:color="auto"/>
              <w:right w:val="single" w:sz="8" w:color="auto"/>
            </w:tcBorders>
            <w:shd w:val="clear" w:color="auto" w:fill="003445"/>
          </w:tcPr>
          <w:p>
            <w:pPr>
              <w:ind w:left="140"/>
              <w:spacing w:after="0" w:line="213" w:lineRule="exact"/>
              <w:rPr>
                <w:sz w:val="20"/>
                <w:szCs w:val="20"/>
                <w:color w:val="auto"/>
              </w:rPr>
            </w:pPr>
            <w:r>
              <w:rPr>
                <w:rFonts w:ascii="Arial" w:cs="Arial" w:eastAsia="Arial" w:hAnsi="Arial"/>
                <w:sz w:val="19"/>
                <w:szCs w:val="19"/>
                <w:b w:val="1"/>
                <w:bCs w:val="1"/>
                <w:color w:val="FFFFFF"/>
              </w:rPr>
              <w:t>  How it is</w:t>
            </w:r>
          </w:p>
        </w:tc>
        <w:tc>
          <w:tcPr>
            <w:tcW w:w="260" w:type="dxa"/>
            <w:vAlign w:val="bottom"/>
            <w:tcBorders>
              <w:top w:val="single" w:sz="8" w:color="auto"/>
            </w:tcBorders>
            <w:shd w:val="clear" w:color="auto" w:fill="003445"/>
          </w:tcPr>
          <w:p>
            <w:pPr>
              <w:spacing w:after="0"/>
              <w:rPr>
                <w:sz w:val="18"/>
                <w:szCs w:val="18"/>
                <w:color w:val="auto"/>
              </w:rPr>
            </w:pPr>
          </w:p>
        </w:tc>
        <w:tc>
          <w:tcPr>
            <w:tcW w:w="3580" w:type="dxa"/>
            <w:vAlign w:val="bottom"/>
            <w:tcBorders>
              <w:top w:val="single" w:sz="8" w:color="auto"/>
              <w:right w:val="single" w:sz="8" w:color="auto"/>
            </w:tcBorders>
            <w:shd w:val="clear" w:color="auto" w:fill="003445"/>
          </w:tcPr>
          <w:p>
            <w:pPr>
              <w:ind w:left="660"/>
              <w:spacing w:after="0" w:line="213" w:lineRule="exact"/>
              <w:rPr>
                <w:sz w:val="20"/>
                <w:szCs w:val="20"/>
                <w:color w:val="auto"/>
              </w:rPr>
            </w:pPr>
            <w:r>
              <w:rPr>
                <w:rFonts w:ascii="Arial" w:cs="Arial" w:eastAsia="Arial" w:hAnsi="Arial"/>
                <w:sz w:val="19"/>
                <w:szCs w:val="19"/>
                <w:b w:val="1"/>
                <w:bCs w:val="1"/>
                <w:color w:val="FFFFFF"/>
              </w:rPr>
              <w:t>Purpose and What it is</w:t>
            </w:r>
          </w:p>
        </w:tc>
        <w:tc>
          <w:tcPr>
            <w:tcW w:w="260" w:type="dxa"/>
            <w:vAlign w:val="bottom"/>
            <w:tcBorders>
              <w:top w:val="single" w:sz="8" w:color="auto"/>
            </w:tcBorders>
            <w:shd w:val="clear" w:color="auto" w:fill="003445"/>
          </w:tcPr>
          <w:p>
            <w:pPr>
              <w:spacing w:after="0"/>
              <w:rPr>
                <w:sz w:val="18"/>
                <w:szCs w:val="18"/>
                <w:color w:val="auto"/>
              </w:rPr>
            </w:pPr>
          </w:p>
        </w:tc>
        <w:tc>
          <w:tcPr>
            <w:tcW w:w="3460" w:type="dxa"/>
            <w:vAlign w:val="bottom"/>
            <w:tcBorders>
              <w:top w:val="single" w:sz="8" w:color="auto"/>
              <w:right w:val="single" w:sz="8" w:color="auto"/>
            </w:tcBorders>
            <w:shd w:val="clear" w:color="auto" w:fill="003445"/>
          </w:tcPr>
          <w:p>
            <w:pPr>
              <w:ind w:left="1020"/>
              <w:spacing w:after="0" w:line="213" w:lineRule="exact"/>
              <w:rPr>
                <w:sz w:val="20"/>
                <w:szCs w:val="20"/>
                <w:color w:val="auto"/>
              </w:rPr>
            </w:pPr>
            <w:r>
              <w:rPr>
                <w:rFonts w:ascii="Arial" w:cs="Arial" w:eastAsia="Arial" w:hAnsi="Arial"/>
                <w:sz w:val="19"/>
                <w:szCs w:val="19"/>
                <w:b w:val="1"/>
                <w:bCs w:val="1"/>
                <w:color w:val="FFFFFF"/>
              </w:rPr>
              <w:t>Key Features</w:t>
            </w:r>
          </w:p>
        </w:tc>
        <w:tc>
          <w:tcPr>
            <w:tcW w:w="0" w:type="dxa"/>
            <w:vAlign w:val="bottom"/>
          </w:tcPr>
          <w:p>
            <w:pPr>
              <w:spacing w:after="0"/>
              <w:rPr>
                <w:sz w:val="1"/>
                <w:szCs w:val="1"/>
                <w:color w:val="auto"/>
              </w:rPr>
            </w:pPr>
          </w:p>
        </w:tc>
      </w:tr>
      <w:tr>
        <w:trPr>
          <w:trHeight w:val="272"/>
        </w:trPr>
        <w:tc>
          <w:tcPr>
            <w:tcW w:w="1840" w:type="dxa"/>
            <w:vAlign w:val="bottom"/>
            <w:tcBorders>
              <w:left w:val="single" w:sz="8" w:color="auto"/>
              <w:bottom w:val="single" w:sz="8" w:color="auto"/>
              <w:right w:val="single" w:sz="8" w:color="auto"/>
            </w:tcBorders>
            <w:shd w:val="clear" w:color="auto" w:fill="003445"/>
          </w:tcPr>
          <w:p>
            <w:pPr>
              <w:ind w:left="620"/>
              <w:spacing w:after="0"/>
              <w:rPr>
                <w:sz w:val="20"/>
                <w:szCs w:val="20"/>
                <w:color w:val="auto"/>
              </w:rPr>
            </w:pPr>
            <w:r>
              <w:rPr>
                <w:rFonts w:ascii="Arial" w:cs="Arial" w:eastAsia="Arial" w:hAnsi="Arial"/>
                <w:sz w:val="19"/>
                <w:szCs w:val="19"/>
                <w:b w:val="1"/>
                <w:bCs w:val="1"/>
                <w:color w:val="FFFFFF"/>
              </w:rPr>
              <w:t>Element</w:t>
            </w:r>
          </w:p>
        </w:tc>
        <w:tc>
          <w:tcPr>
            <w:tcW w:w="1300" w:type="dxa"/>
            <w:vAlign w:val="bottom"/>
            <w:tcBorders>
              <w:bottom w:val="single" w:sz="8" w:color="auto"/>
              <w:right w:val="single" w:sz="8" w:color="auto"/>
            </w:tcBorders>
            <w:shd w:val="clear" w:color="auto" w:fill="003445"/>
          </w:tcPr>
          <w:p>
            <w:pPr>
              <w:ind w:left="480"/>
              <w:spacing w:after="0"/>
              <w:rPr>
                <w:sz w:val="20"/>
                <w:szCs w:val="20"/>
                <w:color w:val="auto"/>
              </w:rPr>
            </w:pPr>
            <w:r>
              <w:rPr>
                <w:rFonts w:ascii="Arial" w:cs="Arial" w:eastAsia="Arial" w:hAnsi="Arial"/>
                <w:sz w:val="19"/>
                <w:szCs w:val="19"/>
                <w:b w:val="1"/>
                <w:bCs w:val="1"/>
                <w:color w:val="FFFFFF"/>
              </w:rPr>
              <w:t>Paid</w:t>
            </w:r>
          </w:p>
        </w:tc>
        <w:tc>
          <w:tcPr>
            <w:tcW w:w="260" w:type="dxa"/>
            <w:vAlign w:val="bottom"/>
            <w:tcBorders>
              <w:bottom w:val="single" w:sz="8" w:color="auto"/>
            </w:tcBorders>
            <w:shd w:val="clear" w:color="auto" w:fill="003445"/>
          </w:tcPr>
          <w:p>
            <w:pPr>
              <w:spacing w:after="0"/>
              <w:rPr>
                <w:sz w:val="23"/>
                <w:szCs w:val="23"/>
                <w:color w:val="auto"/>
              </w:rPr>
            </w:pPr>
          </w:p>
        </w:tc>
        <w:tc>
          <w:tcPr>
            <w:tcW w:w="3580" w:type="dxa"/>
            <w:vAlign w:val="bottom"/>
            <w:tcBorders>
              <w:bottom w:val="single" w:sz="8" w:color="auto"/>
              <w:right w:val="single" w:sz="8" w:color="auto"/>
            </w:tcBorders>
            <w:shd w:val="clear" w:color="auto" w:fill="003445"/>
          </w:tcPr>
          <w:p>
            <w:pPr>
              <w:ind w:left="760"/>
              <w:spacing w:after="0"/>
              <w:rPr>
                <w:sz w:val="20"/>
                <w:szCs w:val="20"/>
                <w:color w:val="auto"/>
              </w:rPr>
            </w:pPr>
            <w:r>
              <w:rPr>
                <w:rFonts w:ascii="Arial" w:cs="Arial" w:eastAsia="Arial" w:hAnsi="Arial"/>
                <w:sz w:val="19"/>
                <w:szCs w:val="19"/>
                <w:b w:val="1"/>
                <w:bCs w:val="1"/>
                <w:color w:val="FFFFFF"/>
              </w:rPr>
              <w:t>Designed to Reward</w:t>
            </w:r>
          </w:p>
        </w:tc>
        <w:tc>
          <w:tcPr>
            <w:tcW w:w="260" w:type="dxa"/>
            <w:vAlign w:val="bottom"/>
            <w:tcBorders>
              <w:bottom w:val="single" w:sz="8" w:color="auto"/>
            </w:tcBorders>
            <w:shd w:val="clear" w:color="auto" w:fill="003445"/>
          </w:tcPr>
          <w:p>
            <w:pPr>
              <w:spacing w:after="0"/>
              <w:rPr>
                <w:sz w:val="23"/>
                <w:szCs w:val="23"/>
                <w:color w:val="auto"/>
              </w:rPr>
            </w:pPr>
          </w:p>
        </w:tc>
        <w:tc>
          <w:tcPr>
            <w:tcW w:w="3460" w:type="dxa"/>
            <w:vAlign w:val="bottom"/>
            <w:tcBorders>
              <w:bottom w:val="single" w:sz="8" w:color="auto"/>
              <w:right w:val="single" w:sz="8" w:color="auto"/>
            </w:tcBorders>
            <w:shd w:val="clear" w:color="auto" w:fill="003445"/>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840" w:type="dxa"/>
            <w:vAlign w:val="bottom"/>
            <w:tcBorders>
              <w:left w:val="single" w:sz="8" w:color="auto"/>
              <w:right w:val="single" w:sz="8" w:color="auto"/>
            </w:tcBorders>
          </w:tcPr>
          <w:p>
            <w:pPr>
              <w:ind w:left="160"/>
              <w:spacing w:after="0" w:line="194" w:lineRule="exact"/>
              <w:rPr>
                <w:sz w:val="20"/>
                <w:szCs w:val="20"/>
                <w:color w:val="auto"/>
              </w:rPr>
            </w:pPr>
            <w:r>
              <w:rPr>
                <w:rFonts w:ascii="Arial" w:cs="Arial" w:eastAsia="Arial" w:hAnsi="Arial"/>
                <w:sz w:val="19"/>
                <w:szCs w:val="19"/>
                <w:b w:val="1"/>
                <w:bCs w:val="1"/>
                <w:color w:val="auto"/>
              </w:rPr>
              <w:t>Base Salary</w:t>
            </w:r>
          </w:p>
        </w:tc>
        <w:tc>
          <w:tcPr>
            <w:tcW w:w="1300" w:type="dxa"/>
            <w:vAlign w:val="bottom"/>
            <w:tcBorders>
              <w:right w:val="single" w:sz="8" w:color="auto"/>
            </w:tcBorders>
          </w:tcPr>
          <w:p>
            <w:pPr>
              <w:ind w:left="100"/>
              <w:spacing w:after="0" w:line="194" w:lineRule="exact"/>
              <w:rPr>
                <w:sz w:val="20"/>
                <w:szCs w:val="20"/>
                <w:color w:val="auto"/>
              </w:rPr>
            </w:pPr>
            <w:r>
              <w:rPr>
                <w:rFonts w:ascii="Arial" w:cs="Arial" w:eastAsia="Arial" w:hAnsi="Arial"/>
                <w:sz w:val="19"/>
                <w:szCs w:val="19"/>
                <w:color w:val="auto"/>
              </w:rPr>
              <w:t>Cash</w:t>
            </w:r>
          </w:p>
        </w:tc>
        <w:tc>
          <w:tcPr>
            <w:tcW w:w="260" w:type="dxa"/>
            <w:vAlign w:val="bottom"/>
          </w:tcPr>
          <w:p>
            <w:pPr>
              <w:ind w:left="80"/>
              <w:spacing w:after="0" w:line="194" w:lineRule="exact"/>
              <w:rPr>
                <w:sz w:val="20"/>
                <w:szCs w:val="20"/>
                <w:color w:val="auto"/>
              </w:rPr>
            </w:pPr>
            <w:r>
              <w:rPr>
                <w:rFonts w:ascii="Arial" w:cs="Arial" w:eastAsia="Arial" w:hAnsi="Arial"/>
                <w:sz w:val="19"/>
                <w:szCs w:val="19"/>
                <w:color w:val="auto"/>
              </w:rPr>
              <w:t>•</w:t>
            </w:r>
          </w:p>
        </w:tc>
        <w:tc>
          <w:tcPr>
            <w:tcW w:w="3580" w:type="dxa"/>
            <w:vAlign w:val="bottom"/>
            <w:tcBorders>
              <w:right w:val="single" w:sz="8" w:color="auto"/>
            </w:tcBorders>
          </w:tcPr>
          <w:p>
            <w:pPr>
              <w:ind w:left="120"/>
              <w:spacing w:after="0" w:line="194" w:lineRule="exact"/>
              <w:rPr>
                <w:sz w:val="20"/>
                <w:szCs w:val="20"/>
                <w:color w:val="auto"/>
              </w:rPr>
            </w:pPr>
            <w:r>
              <w:rPr>
                <w:rFonts w:ascii="Arial" w:cs="Arial" w:eastAsia="Arial" w:hAnsi="Arial"/>
                <w:sz w:val="19"/>
                <w:szCs w:val="19"/>
                <w:color w:val="auto"/>
              </w:rPr>
              <w:t>Provides appropriate fixed</w:t>
            </w:r>
          </w:p>
        </w:tc>
        <w:tc>
          <w:tcPr>
            <w:tcW w:w="260" w:type="dxa"/>
            <w:vAlign w:val="bottom"/>
          </w:tcPr>
          <w:p>
            <w:pPr>
              <w:ind w:left="80"/>
              <w:spacing w:after="0" w:line="194" w:lineRule="exact"/>
              <w:rPr>
                <w:sz w:val="20"/>
                <w:szCs w:val="20"/>
                <w:color w:val="auto"/>
              </w:rPr>
            </w:pPr>
            <w:r>
              <w:rPr>
                <w:rFonts w:ascii="Arial" w:cs="Arial" w:eastAsia="Arial" w:hAnsi="Arial"/>
                <w:sz w:val="19"/>
                <w:szCs w:val="19"/>
                <w:color w:val="auto"/>
              </w:rPr>
              <w:t>•</w:t>
            </w:r>
          </w:p>
        </w:tc>
        <w:tc>
          <w:tcPr>
            <w:tcW w:w="3460" w:type="dxa"/>
            <w:vAlign w:val="bottom"/>
            <w:tcBorders>
              <w:right w:val="single" w:sz="8" w:color="auto"/>
            </w:tcBorders>
          </w:tcPr>
          <w:p>
            <w:pPr>
              <w:ind w:left="120"/>
              <w:spacing w:after="0" w:line="194" w:lineRule="exact"/>
              <w:rPr>
                <w:sz w:val="20"/>
                <w:szCs w:val="20"/>
                <w:color w:val="auto"/>
              </w:rPr>
            </w:pPr>
            <w:r>
              <w:rPr>
                <w:rFonts w:ascii="Arial" w:cs="Arial" w:eastAsia="Arial" w:hAnsi="Arial"/>
                <w:sz w:val="19"/>
                <w:szCs w:val="19"/>
                <w:color w:val="auto"/>
              </w:rPr>
              <w:t>Determined by considering the total</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compensation to assist in retention and</w:t>
            </w: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individual compensation package and</w:t>
            </w:r>
          </w:p>
        </w:tc>
        <w:tc>
          <w:tcPr>
            <w:tcW w:w="0" w:type="dxa"/>
            <w:vAlign w:val="bottom"/>
          </w:tcPr>
          <w:p>
            <w:pPr>
              <w:spacing w:after="0"/>
              <w:rPr>
                <w:sz w:val="1"/>
                <w:szCs w:val="1"/>
                <w:color w:val="auto"/>
              </w:rPr>
            </w:pPr>
          </w:p>
        </w:tc>
      </w:tr>
      <w:tr>
        <w:trPr>
          <w:trHeight w:val="254"/>
        </w:trPr>
        <w:tc>
          <w:tcPr>
            <w:tcW w:w="1840" w:type="dxa"/>
            <w:vAlign w:val="bottom"/>
            <w:tcBorders>
              <w:left w:val="single" w:sz="8" w:color="auto"/>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5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recruitment</w:t>
            </w:r>
          </w:p>
        </w:tc>
        <w:tc>
          <w:tcPr>
            <w:tcW w:w="260" w:type="dxa"/>
            <w:vAlign w:val="bottom"/>
          </w:tcPr>
          <w:p>
            <w:pPr>
              <w:spacing w:after="0"/>
              <w:rPr>
                <w:sz w:val="22"/>
                <w:szCs w:val="22"/>
                <w:color w:val="auto"/>
              </w:rPr>
            </w:pP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our overall compensation philosophy</w:t>
            </w:r>
          </w:p>
        </w:tc>
        <w:tc>
          <w:tcPr>
            <w:tcW w:w="0" w:type="dxa"/>
            <w:vAlign w:val="bottom"/>
          </w:tcPr>
          <w:p>
            <w:pPr>
              <w:spacing w:after="0"/>
              <w:rPr>
                <w:sz w:val="1"/>
                <w:szCs w:val="1"/>
                <w:color w:val="auto"/>
              </w:rPr>
            </w:pPr>
          </w:p>
        </w:tc>
      </w:tr>
      <w:tr>
        <w:trPr>
          <w:trHeight w:val="244"/>
        </w:trPr>
        <w:tc>
          <w:tcPr>
            <w:tcW w:w="18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260" w:type="dxa"/>
            <w:vAlign w:val="bottom"/>
          </w:tcPr>
          <w:p>
            <w:pPr>
              <w:ind w:left="80"/>
              <w:spacing w:after="0"/>
              <w:rPr>
                <w:sz w:val="20"/>
                <w:szCs w:val="20"/>
                <w:color w:val="auto"/>
              </w:rPr>
            </w:pPr>
            <w:r>
              <w:rPr>
                <w:rFonts w:ascii="Arial" w:cs="Arial" w:eastAsia="Arial" w:hAnsi="Arial"/>
                <w:sz w:val="19"/>
                <w:szCs w:val="19"/>
                <w:color w:val="auto"/>
              </w:rPr>
              <w:t>•</w:t>
            </w:r>
          </w:p>
        </w:tc>
        <w:tc>
          <w:tcPr>
            <w:tcW w:w="358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Rewards skills, knowledge and</w:t>
            </w:r>
          </w:p>
        </w:tc>
        <w:tc>
          <w:tcPr>
            <w:tcW w:w="260" w:type="dxa"/>
            <w:vAlign w:val="bottom"/>
          </w:tcPr>
          <w:p>
            <w:pPr>
              <w:ind w:left="80"/>
              <w:spacing w:after="0"/>
              <w:rPr>
                <w:sz w:val="20"/>
                <w:szCs w:val="20"/>
                <w:color w:val="auto"/>
              </w:rPr>
            </w:pPr>
            <w:r>
              <w:rPr>
                <w:rFonts w:ascii="Arial" w:cs="Arial" w:eastAsia="Arial" w:hAnsi="Arial"/>
                <w:sz w:val="19"/>
                <w:szCs w:val="19"/>
                <w:color w:val="auto"/>
              </w:rPr>
              <w:t>•</w:t>
            </w: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Factors considered include scope or</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experience</w:t>
            </w: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breadth of responsibilities,</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competencies and prior relevant</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experience, market demand and</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compensation paid in the market for</w:t>
            </w:r>
          </w:p>
        </w:tc>
        <w:tc>
          <w:tcPr>
            <w:tcW w:w="0" w:type="dxa"/>
            <w:vAlign w:val="bottom"/>
          </w:tcPr>
          <w:p>
            <w:pPr>
              <w:spacing w:after="0"/>
              <w:rPr>
                <w:sz w:val="1"/>
                <w:szCs w:val="1"/>
                <w:color w:val="auto"/>
              </w:rPr>
            </w:pPr>
          </w:p>
        </w:tc>
      </w:tr>
      <w:tr>
        <w:trPr>
          <w:trHeight w:val="254"/>
        </w:trPr>
        <w:tc>
          <w:tcPr>
            <w:tcW w:w="1840" w:type="dxa"/>
            <w:vAlign w:val="bottom"/>
            <w:tcBorders>
              <w:left w:val="single" w:sz="8" w:color="auto"/>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58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similar positions</w:t>
            </w:r>
          </w:p>
        </w:tc>
        <w:tc>
          <w:tcPr>
            <w:tcW w:w="0" w:type="dxa"/>
            <w:vAlign w:val="bottom"/>
          </w:tcPr>
          <w:p>
            <w:pPr>
              <w:spacing w:after="0"/>
              <w:rPr>
                <w:sz w:val="1"/>
                <w:szCs w:val="1"/>
                <w:color w:val="auto"/>
              </w:rPr>
            </w:pPr>
          </w:p>
        </w:tc>
      </w:tr>
      <w:tr>
        <w:trPr>
          <w:trHeight w:val="244"/>
        </w:trPr>
        <w:tc>
          <w:tcPr>
            <w:tcW w:w="18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580" w:type="dxa"/>
            <w:vAlign w:val="bottom"/>
            <w:tcBorders>
              <w:right w:val="single" w:sz="8" w:color="auto"/>
            </w:tcBorders>
          </w:tcPr>
          <w:p>
            <w:pPr>
              <w:spacing w:after="0"/>
              <w:rPr>
                <w:sz w:val="21"/>
                <w:szCs w:val="21"/>
                <w:color w:val="auto"/>
              </w:rPr>
            </w:pPr>
          </w:p>
        </w:tc>
        <w:tc>
          <w:tcPr>
            <w:tcW w:w="260" w:type="dxa"/>
            <w:vAlign w:val="bottom"/>
          </w:tcPr>
          <w:p>
            <w:pPr>
              <w:ind w:left="80"/>
              <w:spacing w:after="0"/>
              <w:rPr>
                <w:sz w:val="20"/>
                <w:szCs w:val="20"/>
                <w:color w:val="auto"/>
              </w:rPr>
            </w:pPr>
            <w:r>
              <w:rPr>
                <w:rFonts w:ascii="Arial" w:cs="Arial" w:eastAsia="Arial" w:hAnsi="Arial"/>
                <w:sz w:val="19"/>
                <w:szCs w:val="19"/>
                <w:color w:val="auto"/>
              </w:rPr>
              <w:t>•</w:t>
            </w: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Adjustments determined annually</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based on success in meeting or</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exceeding individual objectives and</w:t>
            </w:r>
          </w:p>
        </w:tc>
        <w:tc>
          <w:tcPr>
            <w:tcW w:w="0" w:type="dxa"/>
            <w:vAlign w:val="bottom"/>
          </w:tcPr>
          <w:p>
            <w:pPr>
              <w:spacing w:after="0"/>
              <w:rPr>
                <w:sz w:val="1"/>
                <w:szCs w:val="1"/>
                <w:color w:val="auto"/>
              </w:rPr>
            </w:pPr>
          </w:p>
        </w:tc>
      </w:tr>
      <w:tr>
        <w:trPr>
          <w:trHeight w:val="254"/>
        </w:trPr>
        <w:tc>
          <w:tcPr>
            <w:tcW w:w="1840" w:type="dxa"/>
            <w:vAlign w:val="bottom"/>
            <w:tcBorders>
              <w:left w:val="single" w:sz="8" w:color="auto"/>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580" w:type="dxa"/>
            <w:vAlign w:val="bottom"/>
            <w:tcBorders>
              <w:right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market competitiveness</w:t>
            </w:r>
          </w:p>
        </w:tc>
        <w:tc>
          <w:tcPr>
            <w:tcW w:w="0" w:type="dxa"/>
            <w:vAlign w:val="bottom"/>
          </w:tcPr>
          <w:p>
            <w:pPr>
              <w:spacing w:after="0"/>
              <w:rPr>
                <w:sz w:val="1"/>
                <w:szCs w:val="1"/>
                <w:color w:val="auto"/>
              </w:rPr>
            </w:pPr>
          </w:p>
        </w:tc>
      </w:tr>
      <w:tr>
        <w:trPr>
          <w:trHeight w:val="244"/>
        </w:trPr>
        <w:tc>
          <w:tcPr>
            <w:tcW w:w="18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58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rPr>
              <w:t>•  Adjustments may be made throughout</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the year as warranted to reflect</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promotions, scope or breadth of role</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or responsibility and to maintain</w:t>
            </w:r>
          </w:p>
        </w:tc>
        <w:tc>
          <w:tcPr>
            <w:tcW w:w="0" w:type="dxa"/>
            <w:vAlign w:val="bottom"/>
          </w:tcPr>
          <w:p>
            <w:pPr>
              <w:spacing w:after="0"/>
              <w:rPr>
                <w:sz w:val="1"/>
                <w:szCs w:val="1"/>
                <w:color w:val="auto"/>
              </w:rPr>
            </w:pPr>
          </w:p>
        </w:tc>
      </w:tr>
      <w:tr>
        <w:trPr>
          <w:trHeight w:val="256"/>
        </w:trPr>
        <w:tc>
          <w:tcPr>
            <w:tcW w:w="1840" w:type="dxa"/>
            <w:vAlign w:val="bottom"/>
            <w:tcBorders>
              <w:left w:val="single" w:sz="8" w:color="auto"/>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58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4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market competitiveness</w:t>
            </w:r>
          </w:p>
        </w:tc>
        <w:tc>
          <w:tcPr>
            <w:tcW w:w="0" w:type="dxa"/>
            <w:vAlign w:val="bottom"/>
          </w:tcPr>
          <w:p>
            <w:pPr>
              <w:spacing w:after="0"/>
              <w:rPr>
                <w:sz w:val="1"/>
                <w:szCs w:val="1"/>
                <w:color w:val="auto"/>
              </w:rPr>
            </w:pPr>
          </w:p>
        </w:tc>
      </w:tr>
      <w:tr>
        <w:trPr>
          <w:trHeight w:val="194"/>
        </w:trPr>
        <w:tc>
          <w:tcPr>
            <w:tcW w:w="1840" w:type="dxa"/>
            <w:vAlign w:val="bottom"/>
            <w:tcBorders>
              <w:left w:val="single" w:sz="8" w:color="auto"/>
              <w:right w:val="single" w:sz="8" w:color="auto"/>
            </w:tcBorders>
          </w:tcPr>
          <w:p>
            <w:pPr>
              <w:ind w:left="160"/>
              <w:spacing w:after="0" w:line="194" w:lineRule="exact"/>
              <w:rPr>
                <w:sz w:val="20"/>
                <w:szCs w:val="20"/>
                <w:color w:val="auto"/>
              </w:rPr>
            </w:pPr>
            <w:r>
              <w:rPr>
                <w:rFonts w:ascii="Arial" w:cs="Arial" w:eastAsia="Arial" w:hAnsi="Arial"/>
                <w:sz w:val="19"/>
                <w:szCs w:val="19"/>
                <w:b w:val="1"/>
                <w:bCs w:val="1"/>
                <w:color w:val="auto"/>
              </w:rPr>
              <w:t>Short-Term</w:t>
            </w:r>
          </w:p>
        </w:tc>
        <w:tc>
          <w:tcPr>
            <w:tcW w:w="1300" w:type="dxa"/>
            <w:vAlign w:val="bottom"/>
            <w:tcBorders>
              <w:right w:val="single" w:sz="8" w:color="auto"/>
            </w:tcBorders>
          </w:tcPr>
          <w:p>
            <w:pPr>
              <w:ind w:left="100"/>
              <w:spacing w:after="0" w:line="194" w:lineRule="exact"/>
              <w:rPr>
                <w:sz w:val="20"/>
                <w:szCs w:val="20"/>
                <w:color w:val="auto"/>
              </w:rPr>
            </w:pPr>
            <w:r>
              <w:rPr>
                <w:rFonts w:ascii="Arial" w:cs="Arial" w:eastAsia="Arial" w:hAnsi="Arial"/>
                <w:sz w:val="19"/>
                <w:szCs w:val="19"/>
                <w:color w:val="auto"/>
              </w:rPr>
              <w:t>Cash</w:t>
            </w:r>
          </w:p>
        </w:tc>
        <w:tc>
          <w:tcPr>
            <w:tcW w:w="260" w:type="dxa"/>
            <w:vAlign w:val="bottom"/>
          </w:tcPr>
          <w:p>
            <w:pPr>
              <w:ind w:left="80"/>
              <w:spacing w:after="0" w:line="194" w:lineRule="exact"/>
              <w:rPr>
                <w:sz w:val="20"/>
                <w:szCs w:val="20"/>
                <w:color w:val="auto"/>
              </w:rPr>
            </w:pPr>
            <w:r>
              <w:rPr>
                <w:rFonts w:ascii="Arial" w:cs="Arial" w:eastAsia="Arial" w:hAnsi="Arial"/>
                <w:sz w:val="19"/>
                <w:szCs w:val="19"/>
                <w:color w:val="auto"/>
              </w:rPr>
              <w:t>•</w:t>
            </w:r>
          </w:p>
        </w:tc>
        <w:tc>
          <w:tcPr>
            <w:tcW w:w="3580" w:type="dxa"/>
            <w:vAlign w:val="bottom"/>
            <w:tcBorders>
              <w:right w:val="single" w:sz="8" w:color="auto"/>
            </w:tcBorders>
          </w:tcPr>
          <w:p>
            <w:pPr>
              <w:ind w:left="120"/>
              <w:spacing w:after="0" w:line="194" w:lineRule="exact"/>
              <w:rPr>
                <w:sz w:val="20"/>
                <w:szCs w:val="20"/>
                <w:color w:val="auto"/>
              </w:rPr>
            </w:pPr>
            <w:r>
              <w:rPr>
                <w:rFonts w:ascii="Arial" w:cs="Arial" w:eastAsia="Arial" w:hAnsi="Arial"/>
                <w:sz w:val="19"/>
                <w:szCs w:val="19"/>
                <w:color w:val="auto"/>
              </w:rPr>
              <w:t>Motivates executives to achieve</w:t>
            </w:r>
          </w:p>
        </w:tc>
        <w:tc>
          <w:tcPr>
            <w:tcW w:w="260" w:type="dxa"/>
            <w:vAlign w:val="bottom"/>
          </w:tcPr>
          <w:p>
            <w:pPr>
              <w:ind w:left="80"/>
              <w:spacing w:after="0" w:line="194" w:lineRule="exact"/>
              <w:rPr>
                <w:sz w:val="20"/>
                <w:szCs w:val="20"/>
                <w:color w:val="auto"/>
              </w:rPr>
            </w:pPr>
            <w:r>
              <w:rPr>
                <w:rFonts w:ascii="Arial" w:cs="Arial" w:eastAsia="Arial" w:hAnsi="Arial"/>
                <w:sz w:val="19"/>
                <w:szCs w:val="19"/>
                <w:color w:val="auto"/>
              </w:rPr>
              <w:t>•</w:t>
            </w:r>
          </w:p>
        </w:tc>
        <w:tc>
          <w:tcPr>
            <w:tcW w:w="3460" w:type="dxa"/>
            <w:vAlign w:val="bottom"/>
            <w:tcBorders>
              <w:right w:val="single" w:sz="8" w:color="auto"/>
            </w:tcBorders>
          </w:tcPr>
          <w:p>
            <w:pPr>
              <w:ind w:left="120"/>
              <w:spacing w:after="0" w:line="194" w:lineRule="exact"/>
              <w:rPr>
                <w:sz w:val="20"/>
                <w:szCs w:val="20"/>
                <w:color w:val="auto"/>
              </w:rPr>
            </w:pPr>
            <w:r>
              <w:rPr>
                <w:rFonts w:ascii="Arial" w:cs="Arial" w:eastAsia="Arial" w:hAnsi="Arial"/>
                <w:sz w:val="19"/>
                <w:szCs w:val="19"/>
                <w:color w:val="auto"/>
              </w:rPr>
              <w:t>Annual bonuses (or “VCIP” payments)</w:t>
            </w:r>
          </w:p>
        </w:tc>
        <w:tc>
          <w:tcPr>
            <w:tcW w:w="0" w:type="dxa"/>
            <w:vAlign w:val="bottom"/>
          </w:tcPr>
          <w:p>
            <w:pPr>
              <w:spacing w:after="0"/>
              <w:rPr>
                <w:sz w:val="1"/>
                <w:szCs w:val="1"/>
                <w:color w:val="auto"/>
              </w:rPr>
            </w:pPr>
          </w:p>
        </w:tc>
      </w:tr>
      <w:tr>
        <w:trPr>
          <w:trHeight w:val="212"/>
        </w:trPr>
        <w:tc>
          <w:tcPr>
            <w:tcW w:w="1840" w:type="dxa"/>
            <w:vAlign w:val="bottom"/>
            <w:tcBorders>
              <w:left w:val="single" w:sz="8" w:color="auto"/>
              <w:right w:val="single" w:sz="8" w:color="auto"/>
            </w:tcBorders>
          </w:tcPr>
          <w:p>
            <w:pPr>
              <w:ind w:left="160"/>
              <w:spacing w:after="0" w:line="212" w:lineRule="exact"/>
              <w:rPr>
                <w:sz w:val="20"/>
                <w:szCs w:val="20"/>
                <w:color w:val="auto"/>
              </w:rPr>
            </w:pPr>
            <w:r>
              <w:rPr>
                <w:rFonts w:ascii="Arial" w:cs="Arial" w:eastAsia="Arial" w:hAnsi="Arial"/>
                <w:sz w:val="19"/>
                <w:szCs w:val="19"/>
                <w:b w:val="1"/>
                <w:bCs w:val="1"/>
                <w:color w:val="auto"/>
              </w:rPr>
              <w:t>Incentives</w:t>
            </w: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ind w:left="120"/>
              <w:spacing w:after="0" w:line="212" w:lineRule="exact"/>
              <w:rPr>
                <w:sz w:val="20"/>
                <w:szCs w:val="20"/>
                <w:color w:val="auto"/>
              </w:rPr>
            </w:pPr>
            <w:r>
              <w:rPr>
                <w:rFonts w:ascii="Arial" w:cs="Arial" w:eastAsia="Arial" w:hAnsi="Arial"/>
                <w:sz w:val="19"/>
                <w:szCs w:val="19"/>
                <w:color w:val="auto"/>
              </w:rPr>
              <w:t>strategic business and financial</w:t>
            </w: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2" w:lineRule="exact"/>
              <w:rPr>
                <w:sz w:val="20"/>
                <w:szCs w:val="20"/>
                <w:color w:val="auto"/>
              </w:rPr>
            </w:pPr>
            <w:r>
              <w:rPr>
                <w:rFonts w:ascii="Arial" w:cs="Arial" w:eastAsia="Arial" w:hAnsi="Arial"/>
                <w:sz w:val="19"/>
                <w:szCs w:val="19"/>
                <w:color w:val="auto"/>
              </w:rPr>
              <w:t>determined in accordance with the</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objectives of the Company, particularly</w:t>
            </w: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VCIP (based on overall corporate</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annual financial performance targets</w:t>
            </w: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performance and performance of key</w:t>
            </w:r>
          </w:p>
        </w:tc>
        <w:tc>
          <w:tcPr>
            <w:tcW w:w="0" w:type="dxa"/>
            <w:vAlign w:val="bottom"/>
          </w:tcPr>
          <w:p>
            <w:pPr>
              <w:spacing w:after="0"/>
              <w:rPr>
                <w:sz w:val="1"/>
                <w:szCs w:val="1"/>
                <w:color w:val="auto"/>
              </w:rPr>
            </w:pPr>
          </w:p>
        </w:tc>
      </w:tr>
      <w:tr>
        <w:trPr>
          <w:trHeight w:val="288"/>
        </w:trPr>
        <w:tc>
          <w:tcPr>
            <w:tcW w:w="1840" w:type="dxa"/>
            <w:vAlign w:val="bottom"/>
            <w:tcBorders>
              <w:left w:val="single" w:sz="8" w:color="auto"/>
              <w:right w:val="single" w:sz="8" w:color="auto"/>
            </w:tcBorders>
          </w:tcPr>
          <w:p>
            <w:pPr>
              <w:spacing w:after="0"/>
              <w:rPr>
                <w:sz w:val="24"/>
                <w:szCs w:val="24"/>
                <w:color w:val="auto"/>
              </w:rPr>
            </w:pPr>
          </w:p>
        </w:tc>
        <w:tc>
          <w:tcPr>
            <w:tcW w:w="1300" w:type="dxa"/>
            <w:vAlign w:val="bottom"/>
            <w:tcBorders>
              <w:right w:val="single" w:sz="8" w:color="auto"/>
            </w:tcBorders>
          </w:tcPr>
          <w:p>
            <w:pPr>
              <w:spacing w:after="0"/>
              <w:rPr>
                <w:sz w:val="24"/>
                <w:szCs w:val="24"/>
                <w:color w:val="auto"/>
              </w:rPr>
            </w:pPr>
          </w:p>
        </w:tc>
        <w:tc>
          <w:tcPr>
            <w:tcW w:w="384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rPr>
              <w:t>•  Rewards financial and strategic</w:t>
            </w:r>
          </w:p>
        </w:tc>
        <w:tc>
          <w:tcPr>
            <w:tcW w:w="260" w:type="dxa"/>
            <w:vAlign w:val="bottom"/>
          </w:tcPr>
          <w:p>
            <w:pPr>
              <w:spacing w:after="0"/>
              <w:rPr>
                <w:sz w:val="24"/>
                <w:szCs w:val="24"/>
                <w:color w:val="auto"/>
              </w:rPr>
            </w:pP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strategic objectives)</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achievements of the Company as well</w:t>
            </w:r>
          </w:p>
        </w:tc>
        <w:tc>
          <w:tcPr>
            <w:tcW w:w="26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as, where applicable, the individual</w:t>
            </w:r>
          </w:p>
        </w:tc>
        <w:tc>
          <w:tcPr>
            <w:tcW w:w="26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58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contribution to the Company’s</w:t>
            </w:r>
          </w:p>
        </w:tc>
        <w:tc>
          <w:tcPr>
            <w:tcW w:w="260" w:type="dxa"/>
            <w:vAlign w:val="bottom"/>
          </w:tcPr>
          <w:p>
            <w:pPr>
              <w:spacing w:after="0"/>
              <w:rPr>
                <w:sz w:val="18"/>
                <w:szCs w:val="18"/>
                <w:color w:val="auto"/>
              </w:rPr>
            </w:pPr>
          </w:p>
        </w:tc>
        <w:tc>
          <w:tcPr>
            <w:tcW w:w="3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840" w:type="dxa"/>
            <w:vAlign w:val="bottom"/>
            <w:tcBorders>
              <w:left w:val="single" w:sz="8" w:color="auto"/>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5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performance</w:t>
            </w:r>
          </w:p>
        </w:tc>
        <w:tc>
          <w:tcPr>
            <w:tcW w:w="260" w:type="dxa"/>
            <w:vAlign w:val="bottom"/>
            <w:tcBorders>
              <w:bottom w:val="single" w:sz="8" w:color="auto"/>
            </w:tcBorders>
          </w:tcPr>
          <w:p>
            <w:pPr>
              <w:spacing w:after="0"/>
              <w:rPr>
                <w:sz w:val="22"/>
                <w:szCs w:val="22"/>
                <w:color w:val="auto"/>
              </w:rPr>
            </w:pPr>
          </w:p>
        </w:tc>
        <w:tc>
          <w:tcPr>
            <w:tcW w:w="34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1840" w:type="dxa"/>
            <w:vAlign w:val="bottom"/>
            <w:tcBorders>
              <w:left w:val="single" w:sz="8" w:color="auto"/>
              <w:right w:val="single" w:sz="8" w:color="auto"/>
            </w:tcBorders>
          </w:tcPr>
          <w:p>
            <w:pPr>
              <w:ind w:left="160"/>
              <w:spacing w:after="0" w:line="194" w:lineRule="exact"/>
              <w:rPr>
                <w:sz w:val="20"/>
                <w:szCs w:val="20"/>
                <w:color w:val="auto"/>
              </w:rPr>
            </w:pPr>
            <w:r>
              <w:rPr>
                <w:rFonts w:ascii="Arial" w:cs="Arial" w:eastAsia="Arial" w:hAnsi="Arial"/>
                <w:sz w:val="19"/>
                <w:szCs w:val="19"/>
                <w:b w:val="1"/>
                <w:bCs w:val="1"/>
                <w:color w:val="auto"/>
              </w:rPr>
              <w:t>Long-Term</w:t>
            </w:r>
          </w:p>
        </w:tc>
        <w:tc>
          <w:tcPr>
            <w:tcW w:w="1300" w:type="dxa"/>
            <w:vAlign w:val="bottom"/>
            <w:tcBorders>
              <w:right w:val="single" w:sz="8" w:color="auto"/>
            </w:tcBorders>
          </w:tcPr>
          <w:p>
            <w:pPr>
              <w:ind w:left="100"/>
              <w:spacing w:after="0" w:line="194" w:lineRule="exact"/>
              <w:rPr>
                <w:sz w:val="20"/>
                <w:szCs w:val="20"/>
                <w:color w:val="auto"/>
              </w:rPr>
            </w:pPr>
            <w:r>
              <w:rPr>
                <w:rFonts w:ascii="Arial" w:cs="Arial" w:eastAsia="Arial" w:hAnsi="Arial"/>
                <w:sz w:val="19"/>
                <w:szCs w:val="19"/>
                <w:color w:val="auto"/>
              </w:rPr>
              <w:t>40%</w:t>
            </w:r>
          </w:p>
        </w:tc>
        <w:tc>
          <w:tcPr>
            <w:tcW w:w="260" w:type="dxa"/>
            <w:vAlign w:val="bottom"/>
          </w:tcPr>
          <w:p>
            <w:pPr>
              <w:ind w:left="80"/>
              <w:spacing w:after="0" w:line="194" w:lineRule="exact"/>
              <w:rPr>
                <w:sz w:val="20"/>
                <w:szCs w:val="20"/>
                <w:color w:val="auto"/>
              </w:rPr>
            </w:pPr>
            <w:r>
              <w:rPr>
                <w:rFonts w:ascii="Arial" w:cs="Arial" w:eastAsia="Arial" w:hAnsi="Arial"/>
                <w:sz w:val="19"/>
                <w:szCs w:val="19"/>
                <w:color w:val="auto"/>
              </w:rPr>
              <w:t>•</w:t>
            </w:r>
          </w:p>
        </w:tc>
        <w:tc>
          <w:tcPr>
            <w:tcW w:w="3580" w:type="dxa"/>
            <w:vAlign w:val="bottom"/>
            <w:tcBorders>
              <w:right w:val="single" w:sz="8" w:color="auto"/>
            </w:tcBorders>
          </w:tcPr>
          <w:p>
            <w:pPr>
              <w:ind w:left="120"/>
              <w:spacing w:after="0" w:line="194" w:lineRule="exact"/>
              <w:rPr>
                <w:sz w:val="20"/>
                <w:szCs w:val="20"/>
                <w:color w:val="auto"/>
              </w:rPr>
            </w:pPr>
            <w:r>
              <w:rPr>
                <w:rFonts w:ascii="Arial" w:cs="Arial" w:eastAsia="Arial" w:hAnsi="Arial"/>
                <w:sz w:val="19"/>
                <w:szCs w:val="19"/>
                <w:color w:val="auto"/>
              </w:rPr>
              <w:t>Provides executive management with a</w:t>
            </w:r>
          </w:p>
        </w:tc>
        <w:tc>
          <w:tcPr>
            <w:tcW w:w="260" w:type="dxa"/>
            <w:vAlign w:val="bottom"/>
          </w:tcPr>
          <w:p>
            <w:pPr>
              <w:ind w:left="80"/>
              <w:spacing w:after="0" w:line="194" w:lineRule="exact"/>
              <w:rPr>
                <w:sz w:val="20"/>
                <w:szCs w:val="20"/>
                <w:color w:val="auto"/>
              </w:rPr>
            </w:pPr>
            <w:r>
              <w:rPr>
                <w:rFonts w:ascii="Arial" w:cs="Arial" w:eastAsia="Arial" w:hAnsi="Arial"/>
                <w:sz w:val="19"/>
                <w:szCs w:val="19"/>
                <w:color w:val="auto"/>
              </w:rPr>
              <w:t>•</w:t>
            </w:r>
          </w:p>
        </w:tc>
        <w:tc>
          <w:tcPr>
            <w:tcW w:w="3460" w:type="dxa"/>
            <w:vAlign w:val="bottom"/>
            <w:tcBorders>
              <w:right w:val="single" w:sz="8" w:color="auto"/>
            </w:tcBorders>
          </w:tcPr>
          <w:p>
            <w:pPr>
              <w:ind w:left="120"/>
              <w:spacing w:after="0" w:line="194" w:lineRule="exact"/>
              <w:rPr>
                <w:sz w:val="20"/>
                <w:szCs w:val="20"/>
                <w:color w:val="auto"/>
              </w:rPr>
            </w:pPr>
            <w:r>
              <w:rPr>
                <w:rFonts w:ascii="Arial" w:cs="Arial" w:eastAsia="Arial" w:hAnsi="Arial"/>
                <w:sz w:val="19"/>
                <w:szCs w:val="19"/>
                <w:color w:val="auto"/>
              </w:rPr>
              <w:t>Variable element of compensation</w:t>
            </w:r>
          </w:p>
        </w:tc>
        <w:tc>
          <w:tcPr>
            <w:tcW w:w="0" w:type="dxa"/>
            <w:vAlign w:val="bottom"/>
          </w:tcPr>
          <w:p>
            <w:pPr>
              <w:spacing w:after="0"/>
              <w:rPr>
                <w:sz w:val="1"/>
                <w:szCs w:val="1"/>
                <w:color w:val="auto"/>
              </w:rPr>
            </w:pPr>
          </w:p>
        </w:tc>
      </w:tr>
      <w:tr>
        <w:trPr>
          <w:trHeight w:val="212"/>
        </w:trPr>
        <w:tc>
          <w:tcPr>
            <w:tcW w:w="1840" w:type="dxa"/>
            <w:vAlign w:val="bottom"/>
            <w:tcBorders>
              <w:left w:val="single" w:sz="8" w:color="auto"/>
              <w:right w:val="single" w:sz="8" w:color="auto"/>
            </w:tcBorders>
          </w:tcPr>
          <w:p>
            <w:pPr>
              <w:ind w:left="160"/>
              <w:spacing w:after="0" w:line="212" w:lineRule="exact"/>
              <w:rPr>
                <w:sz w:val="20"/>
                <w:szCs w:val="20"/>
                <w:color w:val="auto"/>
              </w:rPr>
            </w:pPr>
            <w:r>
              <w:rPr>
                <w:rFonts w:ascii="Arial" w:cs="Arial" w:eastAsia="Arial" w:hAnsi="Arial"/>
                <w:sz w:val="19"/>
                <w:szCs w:val="19"/>
                <w:b w:val="1"/>
                <w:bCs w:val="1"/>
                <w:color w:val="auto"/>
              </w:rPr>
              <w:t>Incentives</w:t>
            </w:r>
          </w:p>
        </w:tc>
        <w:tc>
          <w:tcPr>
            <w:tcW w:w="1300" w:type="dxa"/>
            <w:vAlign w:val="bottom"/>
            <w:tcBorders>
              <w:right w:val="single" w:sz="8" w:color="auto"/>
            </w:tcBorders>
          </w:tcPr>
          <w:p>
            <w:pPr>
              <w:ind w:left="100"/>
              <w:spacing w:after="0" w:line="212" w:lineRule="exact"/>
              <w:rPr>
                <w:sz w:val="20"/>
                <w:szCs w:val="20"/>
                <w:color w:val="auto"/>
              </w:rPr>
            </w:pPr>
            <w:r>
              <w:rPr>
                <w:rFonts w:ascii="Arial" w:cs="Arial" w:eastAsia="Arial" w:hAnsi="Arial"/>
                <w:sz w:val="19"/>
                <w:szCs w:val="19"/>
                <w:color w:val="auto"/>
              </w:rPr>
              <w:t>RSUs and</w:t>
            </w:r>
          </w:p>
        </w:tc>
        <w:tc>
          <w:tcPr>
            <w:tcW w:w="260" w:type="dxa"/>
            <w:vAlign w:val="bottom"/>
          </w:tcPr>
          <w:p>
            <w:pPr>
              <w:spacing w:after="0"/>
              <w:rPr>
                <w:sz w:val="18"/>
                <w:szCs w:val="18"/>
                <w:color w:val="auto"/>
              </w:rPr>
            </w:pPr>
          </w:p>
        </w:tc>
        <w:tc>
          <w:tcPr>
            <w:tcW w:w="3580" w:type="dxa"/>
            <w:vAlign w:val="bottom"/>
            <w:tcBorders>
              <w:right w:val="single" w:sz="8" w:color="auto"/>
            </w:tcBorders>
          </w:tcPr>
          <w:p>
            <w:pPr>
              <w:ind w:left="120"/>
              <w:spacing w:after="0" w:line="212" w:lineRule="exact"/>
              <w:rPr>
                <w:sz w:val="20"/>
                <w:szCs w:val="20"/>
                <w:color w:val="auto"/>
              </w:rPr>
            </w:pPr>
            <w:r>
              <w:rPr>
                <w:rFonts w:ascii="Arial" w:cs="Arial" w:eastAsia="Arial" w:hAnsi="Arial"/>
                <w:sz w:val="19"/>
                <w:szCs w:val="19"/>
                <w:color w:val="auto"/>
              </w:rPr>
              <w:t>strong link to long-term corporate</w:t>
            </w:r>
          </w:p>
        </w:tc>
        <w:tc>
          <w:tcPr>
            <w:tcW w:w="372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9"/>
                <w:szCs w:val="19"/>
                <w:color w:val="auto"/>
              </w:rPr>
              <w:t>•  The HRCC determines the grant size</w:t>
            </w:r>
          </w:p>
        </w:tc>
        <w:tc>
          <w:tcPr>
            <w:tcW w:w="0" w:type="dxa"/>
            <w:vAlign w:val="bottom"/>
          </w:tcPr>
          <w:p>
            <w:pPr>
              <w:spacing w:after="0"/>
              <w:rPr>
                <w:sz w:val="1"/>
                <w:szCs w:val="1"/>
                <w:color w:val="auto"/>
              </w:rPr>
            </w:pPr>
          </w:p>
        </w:tc>
      </w:tr>
      <w:tr>
        <w:trPr>
          <w:trHeight w:val="79"/>
        </w:trPr>
        <w:tc>
          <w:tcPr>
            <w:tcW w:w="1840" w:type="dxa"/>
            <w:vAlign w:val="bottom"/>
            <w:tcBorders>
              <w:left w:val="single" w:sz="8" w:color="auto"/>
              <w:right w:val="single" w:sz="8" w:color="auto"/>
            </w:tcBorders>
          </w:tcPr>
          <w:p>
            <w:pPr>
              <w:spacing w:after="0"/>
              <w:rPr>
                <w:sz w:val="6"/>
                <w:szCs w:val="6"/>
                <w:color w:val="auto"/>
              </w:rPr>
            </w:pPr>
          </w:p>
        </w:tc>
        <w:tc>
          <w:tcPr>
            <w:tcW w:w="1300" w:type="dxa"/>
            <w:vAlign w:val="bottom"/>
            <w:tcBorders>
              <w:right w:val="single" w:sz="8" w:color="auto"/>
            </w:tcBorders>
            <w:vMerge w:val="restart"/>
          </w:tcPr>
          <w:p>
            <w:pPr>
              <w:ind w:left="100"/>
              <w:spacing w:after="0" w:line="210" w:lineRule="exact"/>
              <w:rPr>
                <w:sz w:val="20"/>
                <w:szCs w:val="20"/>
                <w:color w:val="auto"/>
              </w:rPr>
            </w:pPr>
            <w:r>
              <w:rPr>
                <w:rFonts w:ascii="Arial" w:cs="Arial" w:eastAsia="Arial" w:hAnsi="Arial"/>
                <w:sz w:val="19"/>
                <w:szCs w:val="19"/>
                <w:color w:val="auto"/>
              </w:rPr>
              <w:t>60%</w:t>
            </w:r>
          </w:p>
        </w:tc>
        <w:tc>
          <w:tcPr>
            <w:tcW w:w="260" w:type="dxa"/>
            <w:vAlign w:val="bottom"/>
          </w:tcPr>
          <w:p>
            <w:pPr>
              <w:spacing w:after="0"/>
              <w:rPr>
                <w:sz w:val="6"/>
                <w:szCs w:val="6"/>
                <w:color w:val="auto"/>
              </w:rPr>
            </w:pPr>
          </w:p>
        </w:tc>
        <w:tc>
          <w:tcPr>
            <w:tcW w:w="3580" w:type="dxa"/>
            <w:vAlign w:val="bottom"/>
            <w:tcBorders>
              <w:right w:val="single" w:sz="8" w:color="auto"/>
            </w:tcBorders>
            <w:vMerge w:val="restart"/>
          </w:tcPr>
          <w:p>
            <w:pPr>
              <w:ind w:left="120"/>
              <w:spacing w:after="0" w:line="210" w:lineRule="exact"/>
              <w:rPr>
                <w:sz w:val="20"/>
                <w:szCs w:val="20"/>
                <w:color w:val="auto"/>
              </w:rPr>
            </w:pPr>
            <w:r>
              <w:rPr>
                <w:rFonts w:ascii="Arial" w:cs="Arial" w:eastAsia="Arial" w:hAnsi="Arial"/>
                <w:sz w:val="19"/>
                <w:szCs w:val="19"/>
                <w:color w:val="auto"/>
              </w:rPr>
              <w:t>performance and the creation of</w:t>
            </w:r>
          </w:p>
        </w:tc>
        <w:tc>
          <w:tcPr>
            <w:tcW w:w="372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840" w:type="dxa"/>
            <w:vAlign w:val="bottom"/>
            <w:tcBorders>
              <w:left w:val="single" w:sz="8" w:color="auto"/>
              <w:right w:val="single" w:sz="8" w:color="auto"/>
            </w:tcBorders>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3580" w:type="dxa"/>
            <w:vAlign w:val="bottom"/>
            <w:tcBorders>
              <w:right w:val="single" w:sz="8" w:color="auto"/>
            </w:tcBorders>
            <w:vMerge w:val="continue"/>
          </w:tcPr>
          <w:p>
            <w:pPr>
              <w:spacing w:after="0"/>
              <w:rPr>
                <w:sz w:val="11"/>
                <w:szCs w:val="11"/>
                <w:color w:val="auto"/>
              </w:rPr>
            </w:pPr>
          </w:p>
        </w:tc>
        <w:tc>
          <w:tcPr>
            <w:tcW w:w="260" w:type="dxa"/>
            <w:vAlign w:val="bottom"/>
          </w:tcPr>
          <w:p>
            <w:pPr>
              <w:spacing w:after="0"/>
              <w:rPr>
                <w:sz w:val="11"/>
                <w:szCs w:val="11"/>
                <w:color w:val="auto"/>
              </w:rPr>
            </w:pPr>
          </w:p>
        </w:tc>
        <w:tc>
          <w:tcPr>
            <w:tcW w:w="3460" w:type="dxa"/>
            <w:vAlign w:val="bottom"/>
            <w:tcBorders>
              <w:right w:val="single" w:sz="8" w:color="auto"/>
            </w:tcBorders>
            <w:vMerge w:val="restart"/>
          </w:tcPr>
          <w:p>
            <w:pPr>
              <w:ind w:left="120"/>
              <w:spacing w:after="0" w:line="210" w:lineRule="exact"/>
              <w:rPr>
                <w:sz w:val="20"/>
                <w:szCs w:val="20"/>
                <w:color w:val="auto"/>
              </w:rPr>
            </w:pPr>
            <w:r>
              <w:rPr>
                <w:rFonts w:ascii="Arial" w:cs="Arial" w:eastAsia="Arial" w:hAnsi="Arial"/>
                <w:sz w:val="19"/>
                <w:szCs w:val="19"/>
                <w:color w:val="auto"/>
              </w:rPr>
              <w:t>and terms to be recommended to the</w:t>
            </w:r>
          </w:p>
        </w:tc>
        <w:tc>
          <w:tcPr>
            <w:tcW w:w="0" w:type="dxa"/>
            <w:vAlign w:val="bottom"/>
          </w:tcPr>
          <w:p>
            <w:pPr>
              <w:spacing w:after="0"/>
              <w:rPr>
                <w:sz w:val="1"/>
                <w:szCs w:val="1"/>
                <w:color w:val="auto"/>
              </w:rPr>
            </w:pPr>
          </w:p>
        </w:tc>
      </w:tr>
      <w:tr>
        <w:trPr>
          <w:trHeight w:val="79"/>
        </w:trPr>
        <w:tc>
          <w:tcPr>
            <w:tcW w:w="1840" w:type="dxa"/>
            <w:vAlign w:val="bottom"/>
            <w:tcBorders>
              <w:left w:val="single" w:sz="8" w:color="auto"/>
              <w:right w:val="single" w:sz="8" w:color="auto"/>
            </w:tcBorders>
          </w:tcPr>
          <w:p>
            <w:pPr>
              <w:spacing w:after="0"/>
              <w:rPr>
                <w:sz w:val="6"/>
                <w:szCs w:val="6"/>
                <w:color w:val="auto"/>
              </w:rPr>
            </w:pPr>
          </w:p>
        </w:tc>
        <w:tc>
          <w:tcPr>
            <w:tcW w:w="13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9"/>
                <w:szCs w:val="19"/>
                <w:color w:val="auto"/>
              </w:rPr>
              <w:t>PSUs</w:t>
            </w:r>
          </w:p>
        </w:tc>
        <w:tc>
          <w:tcPr>
            <w:tcW w:w="260" w:type="dxa"/>
            <w:vAlign w:val="bottom"/>
          </w:tcPr>
          <w:p>
            <w:pPr>
              <w:spacing w:after="0"/>
              <w:rPr>
                <w:sz w:val="6"/>
                <w:szCs w:val="6"/>
                <w:color w:val="auto"/>
              </w:rPr>
            </w:pPr>
          </w:p>
        </w:tc>
        <w:tc>
          <w:tcPr>
            <w:tcW w:w="35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Shareholder value,</w:t>
            </w:r>
          </w:p>
        </w:tc>
        <w:tc>
          <w:tcPr>
            <w:tcW w:w="260" w:type="dxa"/>
            <w:vAlign w:val="bottom"/>
          </w:tcPr>
          <w:p>
            <w:pPr>
              <w:spacing w:after="0"/>
              <w:rPr>
                <w:sz w:val="6"/>
                <w:szCs w:val="6"/>
                <w:color w:val="auto"/>
              </w:rPr>
            </w:pPr>
          </w:p>
        </w:tc>
        <w:tc>
          <w:tcPr>
            <w:tcW w:w="3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1840" w:type="dxa"/>
            <w:vAlign w:val="bottom"/>
            <w:tcBorders>
              <w:left w:val="single" w:sz="8" w:color="auto"/>
              <w:right w:val="single" w:sz="8" w:color="auto"/>
            </w:tcBorders>
          </w:tcPr>
          <w:p>
            <w:pPr>
              <w:spacing w:after="0"/>
              <w:rPr>
                <w:sz w:val="15"/>
                <w:szCs w:val="15"/>
                <w:color w:val="auto"/>
              </w:rPr>
            </w:pPr>
          </w:p>
        </w:tc>
        <w:tc>
          <w:tcPr>
            <w:tcW w:w="1300" w:type="dxa"/>
            <w:vAlign w:val="bottom"/>
            <w:tcBorders>
              <w:right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tcBorders>
              <w:right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3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9"/>
                <w:szCs w:val="19"/>
                <w:color w:val="auto"/>
              </w:rPr>
              <w:t>Board</w:t>
            </w:r>
          </w:p>
        </w:tc>
        <w:tc>
          <w:tcPr>
            <w:tcW w:w="0" w:type="dxa"/>
            <w:vAlign w:val="bottom"/>
          </w:tcPr>
          <w:p>
            <w:pPr>
              <w:spacing w:after="0"/>
              <w:rPr>
                <w:sz w:val="1"/>
                <w:szCs w:val="1"/>
                <w:color w:val="auto"/>
              </w:rPr>
            </w:pPr>
          </w:p>
        </w:tc>
      </w:tr>
      <w:tr>
        <w:trPr>
          <w:trHeight w:val="80"/>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30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580" w:type="dxa"/>
            <w:vAlign w:val="bottom"/>
            <w:tcBorders>
              <w:bottom w:val="single" w:sz="8" w:color="auto"/>
              <w:right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34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698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tc>
        <w:tc>
          <w:tcPr>
            <w:tcW w:w="260" w:type="dxa"/>
            <w:vAlign w:val="bottom"/>
          </w:tcPr>
          <w:p>
            <w:pPr>
              <w:spacing w:after="0"/>
              <w:rPr>
                <w:sz w:val="24"/>
                <w:szCs w:val="24"/>
                <w:color w:val="auto"/>
              </w:rPr>
            </w:pPr>
          </w:p>
        </w:tc>
        <w:tc>
          <w:tcPr>
            <w:tcW w:w="3460" w:type="dxa"/>
            <w:vAlign w:val="bottom"/>
            <w:vMerge w:val="restart"/>
          </w:tcPr>
          <w:p>
            <w:pPr>
              <w:ind w:left="3300"/>
              <w:spacing w:after="0"/>
              <w:rPr>
                <w:sz w:val="20"/>
                <w:szCs w:val="20"/>
                <w:color w:val="auto"/>
              </w:rPr>
            </w:pPr>
            <w:r>
              <w:rPr>
                <w:rFonts w:ascii="Arial" w:cs="Arial" w:eastAsia="Arial" w:hAnsi="Arial"/>
                <w:sz w:val="14"/>
                <w:szCs w:val="14"/>
                <w:color w:val="auto"/>
                <w:w w:val="76"/>
              </w:rPr>
              <w:t>39</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00"/>
          </w:cols>
          <w:pgMar w:left="600" w:top="264" w:right="5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48" w:name="page49"/>
    <w:bookmarkEnd w:id="48"/>
    <w:tbl>
      <w:tblPr>
        <w:tblLayout w:type="fixed"/>
        <w:tblInd w:w="10" w:type="dxa"/>
        <w:tblCellMar>
          <w:top w:w="0" w:type="dxa"/>
          <w:left w:w="0" w:type="dxa"/>
          <w:bottom w:w="0" w:type="dxa"/>
          <w:right w:w="0" w:type="dxa"/>
        </w:tblCellMar>
      </w:tblPr>
      <w:tr>
        <w:trPr>
          <w:trHeight w:val="212"/>
        </w:trPr>
        <w:tc>
          <w:tcPr>
            <w:tcW w:w="1840" w:type="dxa"/>
            <w:vAlign w:val="bottom"/>
            <w:tcBorders>
              <w:top w:val="single" w:sz="8" w:color="auto"/>
              <w:left w:val="single" w:sz="8" w:color="auto"/>
              <w:right w:val="single" w:sz="8" w:color="auto"/>
            </w:tcBorders>
            <w:shd w:val="clear" w:color="auto" w:fill="003445"/>
          </w:tcPr>
          <w:p>
            <w:pPr>
              <w:jc w:val="center"/>
              <w:ind w:left="53"/>
              <w:spacing w:after="0" w:line="213" w:lineRule="exact"/>
              <w:rPr>
                <w:sz w:val="20"/>
                <w:szCs w:val="20"/>
                <w:color w:val="auto"/>
              </w:rPr>
            </w:pPr>
            <w:r>
              <w:rPr>
                <w:rFonts w:ascii="Arial" w:cs="Arial" w:eastAsia="Arial" w:hAnsi="Arial"/>
                <w:sz w:val="19"/>
                <w:szCs w:val="19"/>
                <w:b w:val="1"/>
                <w:bCs w:val="1"/>
                <w:color w:val="FFFFFF"/>
              </w:rPr>
              <w:t>Compensation</w:t>
            </w:r>
          </w:p>
        </w:tc>
        <w:tc>
          <w:tcPr>
            <w:tcW w:w="1300" w:type="dxa"/>
            <w:vAlign w:val="bottom"/>
            <w:tcBorders>
              <w:top w:val="single" w:sz="8" w:color="auto"/>
              <w:right w:val="single" w:sz="8" w:color="auto"/>
            </w:tcBorders>
            <w:shd w:val="clear" w:color="auto" w:fill="003445"/>
          </w:tcPr>
          <w:p>
            <w:pPr>
              <w:ind w:left="140"/>
              <w:spacing w:after="0" w:line="213" w:lineRule="exact"/>
              <w:rPr>
                <w:sz w:val="20"/>
                <w:szCs w:val="20"/>
                <w:color w:val="auto"/>
              </w:rPr>
            </w:pPr>
            <w:r>
              <w:rPr>
                <w:rFonts w:ascii="Arial" w:cs="Arial" w:eastAsia="Arial" w:hAnsi="Arial"/>
                <w:sz w:val="19"/>
                <w:szCs w:val="19"/>
                <w:b w:val="1"/>
                <w:bCs w:val="1"/>
                <w:color w:val="FFFFFF"/>
              </w:rPr>
              <w:t>  How it is</w:t>
            </w:r>
          </w:p>
        </w:tc>
        <w:tc>
          <w:tcPr>
            <w:tcW w:w="240" w:type="dxa"/>
            <w:vAlign w:val="bottom"/>
            <w:tcBorders>
              <w:top w:val="single" w:sz="8" w:color="auto"/>
            </w:tcBorders>
            <w:shd w:val="clear" w:color="auto" w:fill="003445"/>
          </w:tcPr>
          <w:p>
            <w:pPr>
              <w:spacing w:after="0"/>
              <w:rPr>
                <w:sz w:val="18"/>
                <w:szCs w:val="18"/>
                <w:color w:val="auto"/>
              </w:rPr>
            </w:pPr>
          </w:p>
        </w:tc>
        <w:tc>
          <w:tcPr>
            <w:tcW w:w="3600" w:type="dxa"/>
            <w:vAlign w:val="bottom"/>
            <w:tcBorders>
              <w:top w:val="single" w:sz="8" w:color="auto"/>
              <w:right w:val="single" w:sz="8" w:color="auto"/>
            </w:tcBorders>
            <w:shd w:val="clear" w:color="auto" w:fill="003445"/>
          </w:tcPr>
          <w:p>
            <w:pPr>
              <w:ind w:left="680"/>
              <w:spacing w:after="0" w:line="213" w:lineRule="exact"/>
              <w:rPr>
                <w:sz w:val="20"/>
                <w:szCs w:val="20"/>
                <w:color w:val="auto"/>
              </w:rPr>
            </w:pPr>
            <w:r>
              <w:rPr>
                <w:rFonts w:ascii="Arial" w:cs="Arial" w:eastAsia="Arial" w:hAnsi="Arial"/>
                <w:sz w:val="19"/>
                <w:szCs w:val="19"/>
                <w:b w:val="1"/>
                <w:bCs w:val="1"/>
                <w:color w:val="FFFFFF"/>
              </w:rPr>
              <w:t>Purpose and What it is</w:t>
            </w:r>
          </w:p>
        </w:tc>
        <w:tc>
          <w:tcPr>
            <w:tcW w:w="260" w:type="dxa"/>
            <w:vAlign w:val="bottom"/>
            <w:tcBorders>
              <w:top w:val="single" w:sz="8" w:color="auto"/>
            </w:tcBorders>
            <w:shd w:val="clear" w:color="auto" w:fill="003445"/>
          </w:tcPr>
          <w:p>
            <w:pPr>
              <w:spacing w:after="0"/>
              <w:rPr>
                <w:sz w:val="18"/>
                <w:szCs w:val="18"/>
                <w:color w:val="auto"/>
              </w:rPr>
            </w:pPr>
          </w:p>
        </w:tc>
        <w:tc>
          <w:tcPr>
            <w:tcW w:w="3460" w:type="dxa"/>
            <w:vAlign w:val="bottom"/>
            <w:tcBorders>
              <w:top w:val="single" w:sz="8" w:color="auto"/>
              <w:right w:val="single" w:sz="8" w:color="auto"/>
            </w:tcBorders>
            <w:shd w:val="clear" w:color="auto" w:fill="003445"/>
          </w:tcPr>
          <w:p>
            <w:pPr>
              <w:ind w:left="1020"/>
              <w:spacing w:after="0" w:line="213" w:lineRule="exact"/>
              <w:rPr>
                <w:sz w:val="20"/>
                <w:szCs w:val="20"/>
                <w:color w:val="auto"/>
              </w:rPr>
            </w:pPr>
            <w:r>
              <w:rPr>
                <w:rFonts w:ascii="Arial" w:cs="Arial" w:eastAsia="Arial" w:hAnsi="Arial"/>
                <w:sz w:val="19"/>
                <w:szCs w:val="19"/>
                <w:b w:val="1"/>
                <w:bCs w:val="1"/>
                <w:color w:val="FFFFFF"/>
              </w:rPr>
              <w:t>Key Features</w:t>
            </w:r>
          </w:p>
        </w:tc>
        <w:tc>
          <w:tcPr>
            <w:tcW w:w="0" w:type="dxa"/>
            <w:vAlign w:val="bottom"/>
          </w:tcPr>
          <w:p>
            <w:pPr>
              <w:spacing w:after="0"/>
              <w:rPr>
                <w:sz w:val="1"/>
                <w:szCs w:val="1"/>
                <w:color w:val="auto"/>
              </w:rPr>
            </w:pPr>
          </w:p>
        </w:tc>
      </w:tr>
      <w:tr>
        <w:trPr>
          <w:trHeight w:val="272"/>
        </w:trPr>
        <w:tc>
          <w:tcPr>
            <w:tcW w:w="1840" w:type="dxa"/>
            <w:vAlign w:val="bottom"/>
            <w:tcBorders>
              <w:left w:val="single" w:sz="8" w:color="auto"/>
              <w:bottom w:val="single" w:sz="8" w:color="auto"/>
              <w:right w:val="single" w:sz="8" w:color="auto"/>
            </w:tcBorders>
            <w:shd w:val="clear" w:color="auto" w:fill="003445"/>
          </w:tcPr>
          <w:p>
            <w:pPr>
              <w:jc w:val="center"/>
              <w:ind w:left="53"/>
              <w:spacing w:after="0"/>
              <w:rPr>
                <w:sz w:val="20"/>
                <w:szCs w:val="20"/>
                <w:color w:val="auto"/>
              </w:rPr>
            </w:pPr>
            <w:r>
              <w:rPr>
                <w:rFonts w:ascii="Arial" w:cs="Arial" w:eastAsia="Arial" w:hAnsi="Arial"/>
                <w:sz w:val="19"/>
                <w:szCs w:val="19"/>
                <w:b w:val="1"/>
                <w:bCs w:val="1"/>
                <w:color w:val="FFFFFF"/>
              </w:rPr>
              <w:t>Element</w:t>
            </w:r>
          </w:p>
        </w:tc>
        <w:tc>
          <w:tcPr>
            <w:tcW w:w="1300" w:type="dxa"/>
            <w:vAlign w:val="bottom"/>
            <w:tcBorders>
              <w:bottom w:val="single" w:sz="8" w:color="auto"/>
              <w:right w:val="single" w:sz="8" w:color="auto"/>
            </w:tcBorders>
            <w:shd w:val="clear" w:color="auto" w:fill="003445"/>
          </w:tcPr>
          <w:p>
            <w:pPr>
              <w:ind w:left="480"/>
              <w:spacing w:after="0"/>
              <w:rPr>
                <w:sz w:val="20"/>
                <w:szCs w:val="20"/>
                <w:color w:val="auto"/>
              </w:rPr>
            </w:pPr>
            <w:r>
              <w:rPr>
                <w:rFonts w:ascii="Arial" w:cs="Arial" w:eastAsia="Arial" w:hAnsi="Arial"/>
                <w:sz w:val="19"/>
                <w:szCs w:val="19"/>
                <w:b w:val="1"/>
                <w:bCs w:val="1"/>
                <w:color w:val="FFFFFF"/>
              </w:rPr>
              <w:t>Paid</w:t>
            </w:r>
          </w:p>
        </w:tc>
        <w:tc>
          <w:tcPr>
            <w:tcW w:w="240" w:type="dxa"/>
            <w:vAlign w:val="bottom"/>
            <w:tcBorders>
              <w:bottom w:val="single" w:sz="8" w:color="auto"/>
            </w:tcBorders>
            <w:shd w:val="clear" w:color="auto" w:fill="003445"/>
          </w:tcPr>
          <w:p>
            <w:pPr>
              <w:spacing w:after="0"/>
              <w:rPr>
                <w:sz w:val="23"/>
                <w:szCs w:val="23"/>
                <w:color w:val="auto"/>
              </w:rPr>
            </w:pPr>
          </w:p>
        </w:tc>
        <w:tc>
          <w:tcPr>
            <w:tcW w:w="3600" w:type="dxa"/>
            <w:vAlign w:val="bottom"/>
            <w:tcBorders>
              <w:bottom w:val="single" w:sz="8" w:color="auto"/>
              <w:right w:val="single" w:sz="8" w:color="auto"/>
            </w:tcBorders>
            <w:shd w:val="clear" w:color="auto" w:fill="003445"/>
          </w:tcPr>
          <w:p>
            <w:pPr>
              <w:ind w:left="780"/>
              <w:spacing w:after="0"/>
              <w:rPr>
                <w:sz w:val="20"/>
                <w:szCs w:val="20"/>
                <w:color w:val="auto"/>
              </w:rPr>
            </w:pPr>
            <w:r>
              <w:rPr>
                <w:rFonts w:ascii="Arial" w:cs="Arial" w:eastAsia="Arial" w:hAnsi="Arial"/>
                <w:sz w:val="19"/>
                <w:szCs w:val="19"/>
                <w:b w:val="1"/>
                <w:bCs w:val="1"/>
                <w:color w:val="FFFFFF"/>
              </w:rPr>
              <w:t>Designed to Reward</w:t>
            </w:r>
          </w:p>
        </w:tc>
        <w:tc>
          <w:tcPr>
            <w:tcW w:w="260" w:type="dxa"/>
            <w:vAlign w:val="bottom"/>
            <w:tcBorders>
              <w:bottom w:val="single" w:sz="8" w:color="auto"/>
            </w:tcBorders>
            <w:shd w:val="clear" w:color="auto" w:fill="003445"/>
          </w:tcPr>
          <w:p>
            <w:pPr>
              <w:spacing w:after="0"/>
              <w:rPr>
                <w:sz w:val="23"/>
                <w:szCs w:val="23"/>
                <w:color w:val="auto"/>
              </w:rPr>
            </w:pPr>
          </w:p>
        </w:tc>
        <w:tc>
          <w:tcPr>
            <w:tcW w:w="3460" w:type="dxa"/>
            <w:vAlign w:val="bottom"/>
            <w:tcBorders>
              <w:bottom w:val="single" w:sz="8" w:color="auto"/>
              <w:right w:val="single" w:sz="8" w:color="auto"/>
            </w:tcBorders>
            <w:shd w:val="clear" w:color="auto" w:fill="003445"/>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840" w:type="dxa"/>
            <w:vAlign w:val="bottom"/>
            <w:tcBorders>
              <w:left w:val="single" w:sz="8" w:color="auto"/>
              <w:right w:val="single" w:sz="8" w:color="auto"/>
            </w:tcBorders>
          </w:tcPr>
          <w:p>
            <w:pPr>
              <w:spacing w:after="0"/>
              <w:rPr>
                <w:sz w:val="16"/>
                <w:szCs w:val="16"/>
                <w:color w:val="auto"/>
              </w:rPr>
            </w:pPr>
          </w:p>
        </w:tc>
        <w:tc>
          <w:tcPr>
            <w:tcW w:w="1300" w:type="dxa"/>
            <w:vAlign w:val="bottom"/>
            <w:tcBorders>
              <w:right w:val="single" w:sz="8" w:color="auto"/>
            </w:tcBorders>
          </w:tcPr>
          <w:p>
            <w:pPr>
              <w:spacing w:after="0"/>
              <w:rPr>
                <w:sz w:val="16"/>
                <w:szCs w:val="16"/>
                <w:color w:val="auto"/>
              </w:rPr>
            </w:pPr>
          </w:p>
        </w:tc>
        <w:tc>
          <w:tcPr>
            <w:tcW w:w="240" w:type="dxa"/>
            <w:vAlign w:val="bottom"/>
          </w:tcPr>
          <w:p>
            <w:pPr>
              <w:ind w:left="80"/>
              <w:spacing w:after="0"/>
              <w:rPr>
                <w:sz w:val="20"/>
                <w:szCs w:val="20"/>
                <w:color w:val="auto"/>
              </w:rPr>
            </w:pPr>
            <w:r>
              <w:rPr>
                <w:rFonts w:ascii="Arial" w:cs="Arial" w:eastAsia="Arial" w:hAnsi="Arial"/>
                <w:sz w:val="16"/>
                <w:szCs w:val="16"/>
                <w:color w:val="auto"/>
                <w:w w:val="72"/>
              </w:rPr>
              <w:t>  </w:t>
            </w:r>
          </w:p>
        </w:tc>
        <w:tc>
          <w:tcPr>
            <w:tcW w:w="3600" w:type="dxa"/>
            <w:vAlign w:val="bottom"/>
            <w:tcBorders>
              <w:right w:val="single" w:sz="8" w:color="auto"/>
            </w:tcBorders>
          </w:tcPr>
          <w:p>
            <w:pPr>
              <w:ind w:left="80"/>
              <w:spacing w:after="0" w:line="194" w:lineRule="exact"/>
              <w:rPr>
                <w:sz w:val="20"/>
                <w:szCs w:val="20"/>
                <w:color w:val="auto"/>
              </w:rPr>
            </w:pPr>
            <w:r>
              <w:rPr>
                <w:rFonts w:ascii="Arial" w:cs="Arial" w:eastAsia="Arial" w:hAnsi="Arial"/>
                <w:sz w:val="19"/>
                <w:szCs w:val="19"/>
                <w:color w:val="auto"/>
              </w:rPr>
              <w:t> both in the underlying share price and in</w:t>
            </w:r>
          </w:p>
        </w:tc>
        <w:tc>
          <w:tcPr>
            <w:tcW w:w="260" w:type="dxa"/>
            <w:vAlign w:val="bottom"/>
          </w:tcPr>
          <w:p>
            <w:pPr>
              <w:ind w:left="80"/>
              <w:spacing w:after="0" w:line="194" w:lineRule="exact"/>
              <w:rPr>
                <w:sz w:val="20"/>
                <w:szCs w:val="20"/>
                <w:color w:val="auto"/>
              </w:rPr>
            </w:pPr>
            <w:r>
              <w:rPr>
                <w:rFonts w:ascii="Arial" w:cs="Arial" w:eastAsia="Arial" w:hAnsi="Arial"/>
                <w:sz w:val="19"/>
                <w:szCs w:val="19"/>
                <w:color w:val="auto"/>
              </w:rPr>
              <w:t>•</w:t>
            </w:r>
          </w:p>
        </w:tc>
        <w:tc>
          <w:tcPr>
            <w:tcW w:w="3460" w:type="dxa"/>
            <w:vAlign w:val="bottom"/>
            <w:tcBorders>
              <w:right w:val="single" w:sz="8" w:color="auto"/>
            </w:tcBorders>
          </w:tcPr>
          <w:p>
            <w:pPr>
              <w:ind w:left="120"/>
              <w:spacing w:after="0" w:line="194" w:lineRule="exact"/>
              <w:rPr>
                <w:sz w:val="20"/>
                <w:szCs w:val="20"/>
                <w:color w:val="auto"/>
              </w:rPr>
            </w:pPr>
            <w:r>
              <w:rPr>
                <w:rFonts w:ascii="Arial" w:cs="Arial" w:eastAsia="Arial" w:hAnsi="Arial"/>
                <w:sz w:val="19"/>
                <w:szCs w:val="19"/>
                <w:color w:val="auto"/>
              </w:rPr>
              <w:t>The  HRCC  and  Board  determine</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ind w:left="140"/>
              <w:spacing w:after="0" w:line="210" w:lineRule="exact"/>
              <w:rPr>
                <w:sz w:val="20"/>
                <w:szCs w:val="20"/>
                <w:color w:val="auto"/>
              </w:rPr>
            </w:pPr>
            <w:r>
              <w:rPr>
                <w:rFonts w:ascii="Arial" w:cs="Arial" w:eastAsia="Arial" w:hAnsi="Arial"/>
                <w:sz w:val="19"/>
                <w:szCs w:val="19"/>
                <w:color w:val="auto"/>
              </w:rPr>
              <w:t>the  relative  total  shareholder  return</w:t>
            </w: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structure  in  terms  of  quantum  and</w:t>
            </w:r>
          </w:p>
        </w:tc>
        <w:tc>
          <w:tcPr>
            <w:tcW w:w="0" w:type="dxa"/>
            <w:vAlign w:val="bottom"/>
          </w:tcPr>
          <w:p>
            <w:pPr>
              <w:spacing w:after="0"/>
              <w:rPr>
                <w:sz w:val="1"/>
                <w:szCs w:val="1"/>
                <w:color w:val="auto"/>
              </w:rPr>
            </w:pPr>
          </w:p>
        </w:tc>
      </w:tr>
      <w:tr>
        <w:trPr>
          <w:trHeight w:val="254"/>
        </w:trPr>
        <w:tc>
          <w:tcPr>
            <w:tcW w:w="1840" w:type="dxa"/>
            <w:vAlign w:val="bottom"/>
            <w:tcBorders>
              <w:left w:val="single" w:sz="8" w:color="auto"/>
              <w:right w:val="single" w:sz="8" w:color="auto"/>
            </w:tcBorders>
          </w:tcPr>
          <w:p>
            <w:pPr>
              <w:spacing w:after="0"/>
              <w:rPr>
                <w:sz w:val="22"/>
                <w:szCs w:val="22"/>
                <w:color w:val="auto"/>
              </w:rPr>
            </w:pPr>
          </w:p>
        </w:tc>
        <w:tc>
          <w:tcPr>
            <w:tcW w:w="130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600" w:type="dxa"/>
            <w:vAlign w:val="bottom"/>
            <w:tcBorders>
              <w:right w:val="single" w:sz="8" w:color="auto"/>
            </w:tcBorders>
          </w:tcPr>
          <w:p>
            <w:pPr>
              <w:ind w:left="140"/>
              <w:spacing w:after="0"/>
              <w:rPr>
                <w:sz w:val="20"/>
                <w:szCs w:val="20"/>
                <w:color w:val="auto"/>
              </w:rPr>
            </w:pPr>
            <w:r>
              <w:rPr>
                <w:rFonts w:ascii="Arial" w:cs="Arial" w:eastAsia="Arial" w:hAnsi="Arial"/>
                <w:sz w:val="19"/>
                <w:szCs w:val="19"/>
                <w:color w:val="auto"/>
              </w:rPr>
              <w:t>metric of the PSUs</w:t>
            </w:r>
          </w:p>
        </w:tc>
        <w:tc>
          <w:tcPr>
            <w:tcW w:w="260" w:type="dxa"/>
            <w:vAlign w:val="bottom"/>
          </w:tcPr>
          <w:p>
            <w:pPr>
              <w:spacing w:after="0"/>
              <w:rPr>
                <w:sz w:val="22"/>
                <w:szCs w:val="22"/>
                <w:color w:val="auto"/>
              </w:rPr>
            </w:pP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instrument mix</w:t>
            </w:r>
          </w:p>
        </w:tc>
        <w:tc>
          <w:tcPr>
            <w:tcW w:w="0" w:type="dxa"/>
            <w:vAlign w:val="bottom"/>
          </w:tcPr>
          <w:p>
            <w:pPr>
              <w:spacing w:after="0"/>
              <w:rPr>
                <w:sz w:val="1"/>
                <w:szCs w:val="1"/>
                <w:color w:val="auto"/>
              </w:rPr>
            </w:pPr>
          </w:p>
        </w:tc>
      </w:tr>
      <w:tr>
        <w:trPr>
          <w:trHeight w:val="244"/>
        </w:trPr>
        <w:tc>
          <w:tcPr>
            <w:tcW w:w="1840" w:type="dxa"/>
            <w:vAlign w:val="bottom"/>
            <w:tcBorders>
              <w:left w:val="single" w:sz="8" w:color="auto"/>
              <w:right w:val="single" w:sz="8" w:color="auto"/>
            </w:tcBorders>
          </w:tcPr>
          <w:p>
            <w:pPr>
              <w:spacing w:after="0"/>
              <w:rPr>
                <w:sz w:val="21"/>
                <w:szCs w:val="21"/>
                <w:color w:val="auto"/>
              </w:rPr>
            </w:pPr>
          </w:p>
        </w:tc>
        <w:tc>
          <w:tcPr>
            <w:tcW w:w="1300" w:type="dxa"/>
            <w:vAlign w:val="bottom"/>
            <w:tcBorders>
              <w:right w:val="single" w:sz="8" w:color="auto"/>
            </w:tcBorders>
          </w:tcPr>
          <w:p>
            <w:pPr>
              <w:spacing w:after="0"/>
              <w:rPr>
                <w:sz w:val="21"/>
                <w:szCs w:val="21"/>
                <w:color w:val="auto"/>
              </w:rPr>
            </w:pPr>
          </w:p>
        </w:tc>
        <w:tc>
          <w:tcPr>
            <w:tcW w:w="240" w:type="dxa"/>
            <w:vAlign w:val="bottom"/>
          </w:tcPr>
          <w:p>
            <w:pPr>
              <w:ind w:left="80"/>
              <w:spacing w:after="0"/>
              <w:rPr>
                <w:sz w:val="20"/>
                <w:szCs w:val="20"/>
                <w:color w:val="auto"/>
              </w:rPr>
            </w:pPr>
            <w:r>
              <w:rPr>
                <w:rFonts w:ascii="Arial" w:cs="Arial" w:eastAsia="Arial" w:hAnsi="Arial"/>
                <w:sz w:val="19"/>
                <w:szCs w:val="19"/>
                <w:color w:val="auto"/>
              </w:rPr>
              <w:t>•</w:t>
            </w:r>
          </w:p>
        </w:tc>
        <w:tc>
          <w:tcPr>
            <w:tcW w:w="3600" w:type="dxa"/>
            <w:vAlign w:val="bottom"/>
            <w:tcBorders>
              <w:right w:val="single" w:sz="8" w:color="auto"/>
            </w:tcBorders>
          </w:tcPr>
          <w:p>
            <w:pPr>
              <w:ind w:left="140"/>
              <w:spacing w:after="0"/>
              <w:rPr>
                <w:sz w:val="20"/>
                <w:szCs w:val="20"/>
                <w:color w:val="auto"/>
              </w:rPr>
            </w:pPr>
            <w:r>
              <w:rPr>
                <w:rFonts w:ascii="Arial" w:cs="Arial" w:eastAsia="Arial" w:hAnsi="Arial"/>
                <w:sz w:val="19"/>
                <w:szCs w:val="19"/>
                <w:color w:val="auto"/>
              </w:rPr>
              <w:t>Assists in retention of successful</w:t>
            </w:r>
          </w:p>
        </w:tc>
        <w:tc>
          <w:tcPr>
            <w:tcW w:w="260" w:type="dxa"/>
            <w:vAlign w:val="bottom"/>
          </w:tcPr>
          <w:p>
            <w:pPr>
              <w:ind w:left="80"/>
              <w:spacing w:after="0"/>
              <w:rPr>
                <w:sz w:val="20"/>
                <w:szCs w:val="20"/>
                <w:color w:val="auto"/>
              </w:rPr>
            </w:pPr>
            <w:r>
              <w:rPr>
                <w:rFonts w:ascii="Arial" w:cs="Arial" w:eastAsia="Arial" w:hAnsi="Arial"/>
                <w:sz w:val="19"/>
                <w:szCs w:val="19"/>
                <w:color w:val="auto"/>
              </w:rPr>
              <w:t>•</w:t>
            </w:r>
          </w:p>
        </w:tc>
        <w:tc>
          <w:tcPr>
            <w:tcW w:w="3460" w:type="dxa"/>
            <w:vAlign w:val="bottom"/>
            <w:tcBorders>
              <w:right w:val="single" w:sz="8" w:color="auto"/>
            </w:tcBorders>
          </w:tcPr>
          <w:p>
            <w:pPr>
              <w:ind w:left="120"/>
              <w:spacing w:after="0"/>
              <w:rPr>
                <w:sz w:val="20"/>
                <w:szCs w:val="20"/>
                <w:color w:val="auto"/>
              </w:rPr>
            </w:pPr>
            <w:r>
              <w:rPr>
                <w:rFonts w:ascii="Arial" w:cs="Arial" w:eastAsia="Arial" w:hAnsi="Arial"/>
                <w:sz w:val="19"/>
                <w:szCs w:val="19"/>
                <w:color w:val="auto"/>
              </w:rPr>
              <w:t>The principal factor is based on</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ind w:left="140"/>
              <w:spacing w:after="0" w:line="210" w:lineRule="exact"/>
              <w:rPr>
                <w:sz w:val="20"/>
                <w:szCs w:val="20"/>
                <w:color w:val="auto"/>
              </w:rPr>
            </w:pPr>
            <w:r>
              <w:rPr>
                <w:rFonts w:ascii="Arial" w:cs="Arial" w:eastAsia="Arial" w:hAnsi="Arial"/>
                <w:sz w:val="19"/>
                <w:szCs w:val="19"/>
                <w:color w:val="auto"/>
              </w:rPr>
              <w:t>executives and recruitment of</w:t>
            </w: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relative TSR as a comprehensive</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ind w:left="140"/>
              <w:spacing w:after="0" w:line="210" w:lineRule="exact"/>
              <w:rPr>
                <w:sz w:val="20"/>
                <w:szCs w:val="20"/>
                <w:color w:val="auto"/>
              </w:rPr>
            </w:pPr>
            <w:r>
              <w:rPr>
                <w:rFonts w:ascii="Arial" w:cs="Arial" w:eastAsia="Arial" w:hAnsi="Arial"/>
                <w:sz w:val="19"/>
                <w:szCs w:val="19"/>
                <w:color w:val="auto"/>
              </w:rPr>
              <w:t>employees</w:t>
            </w: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performance measure for long-term</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executive incentives, aligning their</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interests with shareholder value</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through a combination of capital gains</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and dividends over a specified period.</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TSR is measured over a cumulative</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three year period relative to our peer</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group, ensuring that executive</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performance is benchmarked against</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industry standards and best practices,</w:t>
            </w:r>
          </w:p>
        </w:tc>
        <w:tc>
          <w:tcPr>
            <w:tcW w:w="0" w:type="dxa"/>
            <w:vAlign w:val="bottom"/>
          </w:tcPr>
          <w:p>
            <w:pPr>
              <w:spacing w:after="0"/>
              <w:rPr>
                <w:sz w:val="1"/>
                <w:szCs w:val="1"/>
                <w:color w:val="auto"/>
              </w:rPr>
            </w:pPr>
          </w:p>
        </w:tc>
      </w:tr>
      <w:tr>
        <w:trPr>
          <w:trHeight w:val="210"/>
        </w:trPr>
        <w:tc>
          <w:tcPr>
            <w:tcW w:w="1840" w:type="dxa"/>
            <w:vAlign w:val="bottom"/>
            <w:tcBorders>
              <w:left w:val="single" w:sz="8" w:color="auto"/>
              <w:right w:val="single" w:sz="8" w:color="auto"/>
            </w:tcBorders>
          </w:tcPr>
          <w:p>
            <w:pPr>
              <w:spacing w:after="0"/>
              <w:rPr>
                <w:sz w:val="18"/>
                <w:szCs w:val="18"/>
                <w:color w:val="auto"/>
              </w:rPr>
            </w:pPr>
          </w:p>
        </w:tc>
        <w:tc>
          <w:tcPr>
            <w:tcW w:w="13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tcBorders>
              <w:right w:val="single" w:sz="8" w:color="auto"/>
            </w:tcBorders>
          </w:tcPr>
          <w:p>
            <w:pPr>
              <w:ind w:left="120"/>
              <w:spacing w:after="0" w:line="210" w:lineRule="exact"/>
              <w:rPr>
                <w:sz w:val="20"/>
                <w:szCs w:val="20"/>
                <w:color w:val="auto"/>
              </w:rPr>
            </w:pPr>
            <w:r>
              <w:rPr>
                <w:rFonts w:ascii="Arial" w:cs="Arial" w:eastAsia="Arial" w:hAnsi="Arial"/>
                <w:sz w:val="19"/>
                <w:szCs w:val="19"/>
                <w:color w:val="auto"/>
              </w:rPr>
              <w:t>thereby driving competitive excellence</w:t>
            </w:r>
          </w:p>
        </w:tc>
        <w:tc>
          <w:tcPr>
            <w:tcW w:w="0" w:type="dxa"/>
            <w:vAlign w:val="bottom"/>
          </w:tcPr>
          <w:p>
            <w:pPr>
              <w:spacing w:after="0"/>
              <w:rPr>
                <w:sz w:val="1"/>
                <w:szCs w:val="1"/>
                <w:color w:val="auto"/>
              </w:rPr>
            </w:pPr>
          </w:p>
        </w:tc>
      </w:tr>
      <w:tr>
        <w:trPr>
          <w:trHeight w:val="256"/>
        </w:trPr>
        <w:tc>
          <w:tcPr>
            <w:tcW w:w="1840" w:type="dxa"/>
            <w:vAlign w:val="bottom"/>
            <w:tcBorders>
              <w:left w:val="single" w:sz="8" w:color="auto"/>
              <w:bottom w:val="single" w:sz="8" w:color="auto"/>
              <w:right w:val="single" w:sz="8" w:color="auto"/>
            </w:tcBorders>
          </w:tcPr>
          <w:p>
            <w:pPr>
              <w:spacing w:after="0"/>
              <w:rPr>
                <w:sz w:val="22"/>
                <w:szCs w:val="22"/>
                <w:color w:val="auto"/>
              </w:rPr>
            </w:pPr>
          </w:p>
        </w:tc>
        <w:tc>
          <w:tcPr>
            <w:tcW w:w="1300" w:type="dxa"/>
            <w:vAlign w:val="bottom"/>
            <w:tcBorders>
              <w:bottom w:val="single" w:sz="8" w:color="auto"/>
              <w:right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3600" w:type="dxa"/>
            <w:vAlign w:val="bottom"/>
            <w:tcBorders>
              <w:bottom w:val="single" w:sz="8" w:color="auto"/>
              <w:right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4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over the long term.</w:t>
            </w:r>
          </w:p>
        </w:tc>
        <w:tc>
          <w:tcPr>
            <w:tcW w:w="0" w:type="dxa"/>
            <w:vAlign w:val="bottom"/>
          </w:tcPr>
          <w:p>
            <w:pPr>
              <w:spacing w:after="0"/>
              <w:rPr>
                <w:sz w:val="1"/>
                <w:szCs w:val="1"/>
                <w:color w:val="auto"/>
              </w:rPr>
            </w:pPr>
          </w:p>
        </w:tc>
      </w:tr>
      <w:tr>
        <w:trPr>
          <w:trHeight w:val="322"/>
        </w:trPr>
        <w:tc>
          <w:tcPr>
            <w:tcW w:w="698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tc>
        <w:tc>
          <w:tcPr>
            <w:tcW w:w="260" w:type="dxa"/>
            <w:vAlign w:val="bottom"/>
          </w:tcPr>
          <w:p>
            <w:pPr>
              <w:spacing w:after="0"/>
              <w:rPr>
                <w:sz w:val="24"/>
                <w:szCs w:val="24"/>
                <w:color w:val="auto"/>
              </w:rPr>
            </w:pPr>
          </w:p>
        </w:tc>
        <w:tc>
          <w:tcPr>
            <w:tcW w:w="3460" w:type="dxa"/>
            <w:vAlign w:val="bottom"/>
            <w:vMerge w:val="restart"/>
          </w:tcPr>
          <w:p>
            <w:pPr>
              <w:ind w:left="3300"/>
              <w:spacing w:after="0"/>
              <w:rPr>
                <w:sz w:val="20"/>
                <w:szCs w:val="20"/>
                <w:color w:val="auto"/>
              </w:rPr>
            </w:pPr>
            <w:r>
              <w:rPr>
                <w:rFonts w:ascii="Arial" w:cs="Arial" w:eastAsia="Arial" w:hAnsi="Arial"/>
                <w:sz w:val="14"/>
                <w:szCs w:val="14"/>
                <w:color w:val="auto"/>
                <w:w w:val="76"/>
              </w:rPr>
              <w:t>40</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700"/>
          </w:cols>
          <w:pgMar w:left="600" w:top="264" w:right="59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bookmarkStart w:id="49" w:name="page50"/>
    <w:bookmarkEnd w:id="49"/>
    <w:p>
      <w:pPr>
        <w:spacing w:after="0"/>
        <w:rPr>
          <w:sz w:val="20"/>
          <w:szCs w:val="20"/>
          <w:color w:val="auto"/>
        </w:rPr>
      </w:pPr>
      <w:r>
        <w:rPr>
          <w:rFonts w:ascii="Arial" w:cs="Arial" w:eastAsia="Arial" w:hAnsi="Arial"/>
          <w:sz w:val="21"/>
          <w:szCs w:val="21"/>
          <w:b w:val="1"/>
          <w:bCs w:val="1"/>
          <w:i w:val="1"/>
          <w:iCs w:val="1"/>
          <w:color w:val="2E9947"/>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CEO Target vs. Realizable Pay (2023, 2024 and 2025)</w:t>
      </w:r>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 significant portion (81%) of Mr. Garcia’s CEO compensation consisted of fully at-risk short- and long-term incentives. In addition, 60% of CEO target compensation is denominated in long-term incentives (the mix is 60% PSUs and 40% RSUs), which are designed to focus the CEO on Algoma’s long-term success and align fully with the shareholder experience. The majority of long-term incentive compensation is directly affected by the performance of Algoma’s common share price as PSUs are impacted by share price, and PSUs are further subject to relative total shareholder return performance.</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table below is a look back comparing grant date total target direct pay for Mr. Garcia to the realized and realizable value of this compensation during the last three years, compared to shareholder return on investment (using Algoma’s trading price on Nasdaq). The analysis is based on the return of a $100 investment by a shareholder at the start of a period, and the reinvestment of dividends over the period, compared to $100 of total direct compensation for the CEO for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133985</wp:posOffset>
            </wp:positionV>
            <wp:extent cx="5198110" cy="2985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98110" cy="298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680"/>
          </w:cols>
          <w:pgMar w:left="600" w:top="259" w:right="619" w:bottom="1440" w:gutter="0" w:footer="0" w:header="0"/>
        </w:sectPr>
      </w:pPr>
    </w:p>
    <w:bookmarkStart w:id="50" w:name="page51"/>
    <w:bookmarkEnd w:id="50"/>
    <w:tbl>
      <w:tblPr>
        <w:tblLayout w:type="fixed"/>
        <w:tblInd w:w="10" w:type="dxa"/>
        <w:tblCellMar>
          <w:top w:w="0" w:type="dxa"/>
          <w:left w:w="0" w:type="dxa"/>
          <w:bottom w:w="0" w:type="dxa"/>
          <w:right w:w="0" w:type="dxa"/>
        </w:tblCellMar>
      </w:tblPr>
      <w:tr>
        <w:trPr>
          <w:trHeight w:val="385"/>
        </w:trPr>
        <w:tc>
          <w:tcPr>
            <w:tcW w:w="780" w:type="dxa"/>
            <w:vAlign w:val="bottom"/>
            <w:tcBorders>
              <w:top w:val="single" w:sz="8" w:color="auto"/>
              <w:left w:val="single" w:sz="8" w:color="auto"/>
              <w:bottom w:val="single" w:sz="8" w:color="003445"/>
              <w:right w:val="single" w:sz="8" w:color="auto"/>
            </w:tcBorders>
            <w:shd w:val="clear" w:color="auto" w:fill="003445"/>
          </w:tcPr>
          <w:p>
            <w:pPr>
              <w:spacing w:after="0"/>
              <w:rPr>
                <w:sz w:val="24"/>
                <w:szCs w:val="24"/>
                <w:color w:val="auto"/>
              </w:rPr>
            </w:pPr>
          </w:p>
        </w:tc>
        <w:tc>
          <w:tcPr>
            <w:tcW w:w="1780" w:type="dxa"/>
            <w:vAlign w:val="bottom"/>
            <w:tcBorders>
              <w:top w:val="single" w:sz="8" w:color="auto"/>
              <w:bottom w:val="single" w:sz="8" w:color="003445"/>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w w:val="99"/>
              </w:rPr>
              <w:t>Target</w:t>
            </w:r>
          </w:p>
        </w:tc>
        <w:tc>
          <w:tcPr>
            <w:tcW w:w="1780" w:type="dxa"/>
            <w:vAlign w:val="bottom"/>
            <w:tcBorders>
              <w:top w:val="single" w:sz="8" w:color="auto"/>
              <w:bottom w:val="single" w:sz="8" w:color="003445"/>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rPr>
              <w:t>Realized /</w:t>
            </w:r>
          </w:p>
        </w:tc>
        <w:tc>
          <w:tcPr>
            <w:tcW w:w="160" w:type="dxa"/>
            <w:vAlign w:val="bottom"/>
            <w:tcBorders>
              <w:top w:val="single" w:sz="8" w:color="auto"/>
              <w:bottom w:val="single" w:sz="8" w:color="003445"/>
            </w:tcBorders>
            <w:shd w:val="clear" w:color="auto" w:fill="003445"/>
          </w:tcPr>
          <w:p>
            <w:pPr>
              <w:spacing w:after="0"/>
              <w:rPr>
                <w:sz w:val="24"/>
                <w:szCs w:val="24"/>
                <w:color w:val="auto"/>
              </w:rPr>
            </w:pPr>
          </w:p>
        </w:tc>
        <w:tc>
          <w:tcPr>
            <w:tcW w:w="1640" w:type="dxa"/>
            <w:vAlign w:val="bottom"/>
            <w:tcBorders>
              <w:top w:val="single" w:sz="8" w:color="auto"/>
              <w:bottom w:val="single" w:sz="8" w:color="003445"/>
              <w:right w:val="single" w:sz="8" w:color="auto"/>
            </w:tcBorders>
            <w:shd w:val="clear" w:color="auto" w:fill="003445"/>
          </w:tcPr>
          <w:p>
            <w:pPr>
              <w:spacing w:after="0"/>
              <w:rPr>
                <w:sz w:val="24"/>
                <w:szCs w:val="24"/>
                <w:color w:val="auto"/>
              </w:rPr>
            </w:pPr>
          </w:p>
        </w:tc>
        <w:tc>
          <w:tcPr>
            <w:tcW w:w="1800" w:type="dxa"/>
            <w:vAlign w:val="bottom"/>
            <w:tcBorders>
              <w:top w:val="single" w:sz="8" w:color="auto"/>
              <w:bottom w:val="single" w:sz="8" w:color="003445"/>
              <w:right w:val="single" w:sz="8" w:color="auto"/>
            </w:tcBorders>
            <w:shd w:val="clear" w:color="auto" w:fill="003445"/>
          </w:tcPr>
          <w:p>
            <w:pPr>
              <w:spacing w:after="0"/>
              <w:rPr>
                <w:sz w:val="24"/>
                <w:szCs w:val="24"/>
                <w:color w:val="auto"/>
              </w:rPr>
            </w:pPr>
          </w:p>
        </w:tc>
        <w:tc>
          <w:tcPr>
            <w:tcW w:w="80" w:type="dxa"/>
            <w:vAlign w:val="bottom"/>
            <w:tcBorders>
              <w:top w:val="single" w:sz="8" w:color="auto"/>
              <w:bottom w:val="single" w:sz="8" w:color="003445"/>
            </w:tcBorders>
            <w:shd w:val="clear" w:color="auto" w:fill="003445"/>
          </w:tcPr>
          <w:p>
            <w:pPr>
              <w:spacing w:after="0"/>
              <w:rPr>
                <w:sz w:val="24"/>
                <w:szCs w:val="24"/>
                <w:color w:val="auto"/>
              </w:rPr>
            </w:pPr>
          </w:p>
        </w:tc>
        <w:tc>
          <w:tcPr>
            <w:tcW w:w="2680" w:type="dxa"/>
            <w:vAlign w:val="bottom"/>
            <w:tcBorders>
              <w:top w:val="single" w:sz="8" w:color="auto"/>
              <w:bottom w:val="single" w:sz="8" w:color="003445"/>
              <w:right w:val="single" w:sz="8" w:color="auto"/>
            </w:tcBorders>
            <w:gridSpan w:val="2"/>
            <w:shd w:val="clear" w:color="auto" w:fill="003445"/>
          </w:tcPr>
          <w:p>
            <w:pPr>
              <w:ind w:left="620"/>
              <w:spacing w:after="0"/>
              <w:rPr>
                <w:sz w:val="20"/>
                <w:szCs w:val="20"/>
                <w:color w:val="auto"/>
              </w:rPr>
            </w:pPr>
            <w:r>
              <w:rPr>
                <w:rFonts w:ascii="Arial" w:cs="Arial" w:eastAsia="Arial" w:hAnsi="Arial"/>
                <w:sz w:val="19"/>
                <w:szCs w:val="19"/>
                <w:b w:val="1"/>
                <w:bCs w:val="1"/>
                <w:color w:val="FFFFFF"/>
              </w:rPr>
              <w:t>Value of $100</w:t>
            </w:r>
            <w:r>
              <w:rPr>
                <w:rFonts w:ascii="Arial" w:cs="Arial" w:eastAsia="Arial" w:hAnsi="Arial"/>
                <w:sz w:val="28"/>
                <w:szCs w:val="28"/>
                <w:b w:val="1"/>
                <w:bCs w:val="1"/>
                <w:color w:val="FFFFFF"/>
                <w:vertAlign w:val="superscript"/>
              </w:rPr>
              <w:t>(3)</w:t>
            </w:r>
          </w:p>
        </w:tc>
        <w:tc>
          <w:tcPr>
            <w:tcW w:w="0" w:type="dxa"/>
            <w:vAlign w:val="bottom"/>
          </w:tcPr>
          <w:p>
            <w:pPr>
              <w:spacing w:after="0"/>
              <w:rPr>
                <w:sz w:val="1"/>
                <w:szCs w:val="1"/>
                <w:color w:val="auto"/>
              </w:rPr>
            </w:pPr>
          </w:p>
        </w:tc>
      </w:tr>
      <w:tr>
        <w:trPr>
          <w:trHeight w:val="48"/>
        </w:trPr>
        <w:tc>
          <w:tcPr>
            <w:tcW w:w="780" w:type="dxa"/>
            <w:vAlign w:val="bottom"/>
            <w:tcBorders>
              <w:top w:val="single" w:sz="8" w:color="003445"/>
              <w:left w:val="single" w:sz="8" w:color="auto"/>
              <w:right w:val="single" w:sz="8" w:color="auto"/>
            </w:tcBorders>
            <w:shd w:val="clear" w:color="auto" w:fill="003445"/>
          </w:tcPr>
          <w:p>
            <w:pPr>
              <w:ind w:left="160"/>
              <w:spacing w:after="0" w:line="49" w:lineRule="exact"/>
              <w:rPr>
                <w:sz w:val="20"/>
                <w:szCs w:val="20"/>
                <w:color w:val="auto"/>
              </w:rPr>
            </w:pPr>
            <w:r>
              <w:rPr>
                <w:rFonts w:ascii="Arial" w:cs="Arial" w:eastAsia="Arial" w:hAnsi="Arial"/>
                <w:sz w:val="5"/>
                <w:szCs w:val="5"/>
                <w:b w:val="1"/>
                <w:bCs w:val="1"/>
                <w:color w:val="FFFFFF"/>
              </w:rPr>
              <w:t>  Year</w:t>
            </w:r>
          </w:p>
        </w:tc>
        <w:tc>
          <w:tcPr>
            <w:tcW w:w="1780" w:type="dxa"/>
            <w:vAlign w:val="bottom"/>
            <w:tcBorders>
              <w:top w:val="single" w:sz="8" w:color="003445"/>
              <w:right w:val="single" w:sz="8" w:color="auto"/>
            </w:tcBorders>
            <w:vMerge w:val="restart"/>
            <w:shd w:val="clear" w:color="auto" w:fill="003445"/>
          </w:tcPr>
          <w:p>
            <w:pPr>
              <w:jc w:val="center"/>
              <w:spacing w:after="0" w:line="242" w:lineRule="exact"/>
              <w:rPr>
                <w:sz w:val="20"/>
                <w:szCs w:val="20"/>
                <w:color w:val="auto"/>
              </w:rPr>
            </w:pPr>
            <w:r>
              <w:rPr>
                <w:rFonts w:ascii="Arial" w:cs="Arial" w:eastAsia="Arial" w:hAnsi="Arial"/>
                <w:sz w:val="19"/>
                <w:szCs w:val="19"/>
                <w:b w:val="1"/>
                <w:bCs w:val="1"/>
                <w:color w:val="FFFFFF"/>
                <w:w w:val="96"/>
              </w:rPr>
              <w:t>Direct Pay</w:t>
            </w:r>
            <w:r>
              <w:rPr>
                <w:rFonts w:ascii="Arial" w:cs="Arial" w:eastAsia="Arial" w:hAnsi="Arial"/>
                <w:sz w:val="28"/>
                <w:szCs w:val="28"/>
                <w:b w:val="1"/>
                <w:bCs w:val="1"/>
                <w:color w:val="FFFFFF"/>
                <w:w w:val="96"/>
                <w:vertAlign w:val="superscript"/>
              </w:rPr>
              <w:t>(1)</w:t>
            </w:r>
          </w:p>
        </w:tc>
        <w:tc>
          <w:tcPr>
            <w:tcW w:w="1780" w:type="dxa"/>
            <w:vAlign w:val="bottom"/>
            <w:tcBorders>
              <w:top w:val="single" w:sz="8" w:color="003445"/>
              <w:right w:val="single" w:sz="8" w:color="auto"/>
            </w:tcBorders>
            <w:shd w:val="clear" w:color="auto" w:fill="003445"/>
          </w:tcPr>
          <w:p>
            <w:pPr>
              <w:jc w:val="center"/>
              <w:spacing w:after="0" w:line="49" w:lineRule="exact"/>
              <w:rPr>
                <w:sz w:val="20"/>
                <w:szCs w:val="20"/>
                <w:color w:val="auto"/>
              </w:rPr>
            </w:pPr>
            <w:r>
              <w:rPr>
                <w:rFonts w:ascii="Arial" w:cs="Arial" w:eastAsia="Arial" w:hAnsi="Arial"/>
                <w:sz w:val="5"/>
                <w:szCs w:val="5"/>
                <w:b w:val="1"/>
                <w:bCs w:val="1"/>
                <w:color w:val="FFFFFF"/>
              </w:rPr>
              <w:t>Realizable</w:t>
            </w:r>
          </w:p>
        </w:tc>
        <w:tc>
          <w:tcPr>
            <w:tcW w:w="160" w:type="dxa"/>
            <w:vAlign w:val="bottom"/>
            <w:tcBorders>
              <w:top w:val="single" w:sz="8" w:color="003445"/>
            </w:tcBorders>
            <w:shd w:val="clear" w:color="auto" w:fill="003445"/>
          </w:tcPr>
          <w:p>
            <w:pPr>
              <w:spacing w:after="0"/>
              <w:rPr>
                <w:sz w:val="4"/>
                <w:szCs w:val="4"/>
                <w:color w:val="auto"/>
              </w:rPr>
            </w:pPr>
          </w:p>
        </w:tc>
        <w:tc>
          <w:tcPr>
            <w:tcW w:w="1640" w:type="dxa"/>
            <w:vAlign w:val="bottom"/>
            <w:tcBorders>
              <w:top w:val="single" w:sz="8" w:color="003445"/>
              <w:right w:val="single" w:sz="8" w:color="auto"/>
            </w:tcBorders>
            <w:shd w:val="clear" w:color="auto" w:fill="003445"/>
          </w:tcPr>
          <w:p>
            <w:pPr>
              <w:jc w:val="center"/>
              <w:ind w:right="1"/>
              <w:spacing w:after="0" w:line="49" w:lineRule="exact"/>
              <w:rPr>
                <w:sz w:val="20"/>
                <w:szCs w:val="20"/>
                <w:color w:val="auto"/>
              </w:rPr>
            </w:pPr>
            <w:r>
              <w:rPr>
                <w:rFonts w:ascii="Arial" w:cs="Arial" w:eastAsia="Arial" w:hAnsi="Arial"/>
                <w:sz w:val="5"/>
                <w:szCs w:val="5"/>
                <w:b w:val="1"/>
                <w:bCs w:val="1"/>
                <w:color w:val="FFFFFF"/>
              </w:rPr>
              <w:t>From</w:t>
            </w:r>
          </w:p>
        </w:tc>
        <w:tc>
          <w:tcPr>
            <w:tcW w:w="1800" w:type="dxa"/>
            <w:vAlign w:val="bottom"/>
            <w:tcBorders>
              <w:top w:val="single" w:sz="8" w:color="003445"/>
              <w:right w:val="single" w:sz="8" w:color="auto"/>
            </w:tcBorders>
            <w:shd w:val="clear" w:color="auto" w:fill="003445"/>
          </w:tcPr>
          <w:p>
            <w:pPr>
              <w:jc w:val="center"/>
              <w:spacing w:after="0" w:line="49" w:lineRule="exact"/>
              <w:rPr>
                <w:sz w:val="20"/>
                <w:szCs w:val="20"/>
                <w:color w:val="auto"/>
              </w:rPr>
            </w:pPr>
            <w:r>
              <w:rPr>
                <w:rFonts w:ascii="Arial" w:cs="Arial" w:eastAsia="Arial" w:hAnsi="Arial"/>
                <w:sz w:val="5"/>
                <w:szCs w:val="5"/>
                <w:b w:val="1"/>
                <w:bCs w:val="1"/>
                <w:color w:val="FFFFFF"/>
              </w:rPr>
              <w:t>To</w:t>
            </w:r>
          </w:p>
        </w:tc>
        <w:tc>
          <w:tcPr>
            <w:tcW w:w="80" w:type="dxa"/>
            <w:vAlign w:val="bottom"/>
            <w:tcBorders>
              <w:top w:val="single" w:sz="8" w:color="auto"/>
            </w:tcBorders>
            <w:shd w:val="clear" w:color="auto" w:fill="003445"/>
          </w:tcPr>
          <w:p>
            <w:pPr>
              <w:spacing w:after="0"/>
              <w:rPr>
                <w:sz w:val="4"/>
                <w:szCs w:val="4"/>
                <w:color w:val="auto"/>
              </w:rPr>
            </w:pPr>
          </w:p>
        </w:tc>
        <w:tc>
          <w:tcPr>
            <w:tcW w:w="880" w:type="dxa"/>
            <w:vAlign w:val="bottom"/>
            <w:tcBorders>
              <w:top w:val="single" w:sz="8" w:color="auto"/>
              <w:right w:val="single" w:sz="8" w:color="auto"/>
            </w:tcBorders>
            <w:shd w:val="clear" w:color="auto" w:fill="003445"/>
          </w:tcPr>
          <w:p>
            <w:pPr>
              <w:spacing w:after="0"/>
              <w:rPr>
                <w:sz w:val="4"/>
                <w:szCs w:val="4"/>
                <w:color w:val="auto"/>
              </w:rPr>
            </w:pPr>
          </w:p>
        </w:tc>
        <w:tc>
          <w:tcPr>
            <w:tcW w:w="1800" w:type="dxa"/>
            <w:vAlign w:val="bottom"/>
            <w:tcBorders>
              <w:top w:val="single" w:sz="8" w:color="auto"/>
              <w:right w:val="single" w:sz="8" w:color="auto"/>
            </w:tcBorders>
            <w:shd w:val="clear" w:color="auto" w:fill="003445"/>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780" w:type="dxa"/>
            <w:vAlign w:val="bottom"/>
            <w:tcBorders>
              <w:left w:val="single" w:sz="8" w:color="auto"/>
              <w:right w:val="single" w:sz="8" w:color="auto"/>
            </w:tcBorders>
            <w:shd w:val="clear" w:color="auto" w:fill="003445"/>
          </w:tcPr>
          <w:p>
            <w:pPr>
              <w:spacing w:after="0"/>
              <w:rPr>
                <w:sz w:val="16"/>
                <w:szCs w:val="16"/>
                <w:color w:val="auto"/>
              </w:rPr>
            </w:pPr>
          </w:p>
        </w:tc>
        <w:tc>
          <w:tcPr>
            <w:tcW w:w="1780" w:type="dxa"/>
            <w:vAlign w:val="bottom"/>
            <w:tcBorders>
              <w:right w:val="single" w:sz="8" w:color="auto"/>
            </w:tcBorders>
            <w:vMerge w:val="continue"/>
            <w:shd w:val="clear" w:color="auto" w:fill="003445"/>
          </w:tcPr>
          <w:p>
            <w:pPr>
              <w:spacing w:after="0"/>
              <w:rPr>
                <w:sz w:val="16"/>
                <w:szCs w:val="16"/>
                <w:color w:val="auto"/>
              </w:rPr>
            </w:pPr>
          </w:p>
        </w:tc>
        <w:tc>
          <w:tcPr>
            <w:tcW w:w="1780" w:type="dxa"/>
            <w:vAlign w:val="bottom"/>
            <w:tcBorders>
              <w:right w:val="single" w:sz="8" w:color="auto"/>
            </w:tcBorders>
            <w:vMerge w:val="restart"/>
            <w:shd w:val="clear" w:color="auto" w:fill="003445"/>
          </w:tcPr>
          <w:p>
            <w:pPr>
              <w:jc w:val="center"/>
              <w:spacing w:after="0" w:line="285" w:lineRule="exact"/>
              <w:rPr>
                <w:sz w:val="20"/>
                <w:szCs w:val="20"/>
                <w:color w:val="auto"/>
              </w:rPr>
            </w:pPr>
            <w:r>
              <w:rPr>
                <w:rFonts w:ascii="Arial" w:cs="Arial" w:eastAsia="Arial" w:hAnsi="Arial"/>
                <w:sz w:val="19"/>
                <w:szCs w:val="19"/>
                <w:b w:val="1"/>
                <w:bCs w:val="1"/>
                <w:color w:val="FFFFFF"/>
                <w:w w:val="91"/>
              </w:rPr>
              <w:t>Pay</w:t>
            </w:r>
            <w:r>
              <w:rPr>
                <w:rFonts w:ascii="Arial" w:cs="Arial" w:eastAsia="Arial" w:hAnsi="Arial"/>
                <w:sz w:val="28"/>
                <w:szCs w:val="28"/>
                <w:b w:val="1"/>
                <w:bCs w:val="1"/>
                <w:color w:val="FFFFFF"/>
                <w:w w:val="91"/>
                <w:vertAlign w:val="superscript"/>
              </w:rPr>
              <w:t>(2)</w:t>
            </w:r>
          </w:p>
        </w:tc>
        <w:tc>
          <w:tcPr>
            <w:tcW w:w="160" w:type="dxa"/>
            <w:vAlign w:val="bottom"/>
            <w:shd w:val="clear" w:color="auto" w:fill="003445"/>
          </w:tcPr>
          <w:p>
            <w:pPr>
              <w:spacing w:after="0"/>
              <w:rPr>
                <w:sz w:val="16"/>
                <w:szCs w:val="16"/>
                <w:color w:val="auto"/>
              </w:rPr>
            </w:pPr>
          </w:p>
        </w:tc>
        <w:tc>
          <w:tcPr>
            <w:tcW w:w="1640" w:type="dxa"/>
            <w:vAlign w:val="bottom"/>
            <w:tcBorders>
              <w:right w:val="single" w:sz="8" w:color="auto"/>
            </w:tcBorders>
            <w:shd w:val="clear" w:color="auto" w:fill="003445"/>
          </w:tcPr>
          <w:p>
            <w:pPr>
              <w:spacing w:after="0"/>
              <w:rPr>
                <w:sz w:val="16"/>
                <w:szCs w:val="16"/>
                <w:color w:val="auto"/>
              </w:rPr>
            </w:pPr>
          </w:p>
        </w:tc>
        <w:tc>
          <w:tcPr>
            <w:tcW w:w="1800" w:type="dxa"/>
            <w:vAlign w:val="bottom"/>
            <w:tcBorders>
              <w:right w:val="single" w:sz="8" w:color="auto"/>
            </w:tcBorders>
            <w:shd w:val="clear" w:color="auto" w:fill="003445"/>
          </w:tcPr>
          <w:p>
            <w:pPr>
              <w:spacing w:after="0"/>
              <w:rPr>
                <w:sz w:val="16"/>
                <w:szCs w:val="16"/>
                <w:color w:val="auto"/>
              </w:rPr>
            </w:pPr>
          </w:p>
        </w:tc>
        <w:tc>
          <w:tcPr>
            <w:tcW w:w="80" w:type="dxa"/>
            <w:vAlign w:val="bottom"/>
            <w:shd w:val="clear" w:color="auto" w:fill="003445"/>
          </w:tcPr>
          <w:p>
            <w:pPr>
              <w:spacing w:after="0"/>
              <w:rPr>
                <w:sz w:val="16"/>
                <w:szCs w:val="16"/>
                <w:color w:val="auto"/>
              </w:rPr>
            </w:pPr>
          </w:p>
        </w:tc>
        <w:tc>
          <w:tcPr>
            <w:tcW w:w="880" w:type="dxa"/>
            <w:vAlign w:val="bottom"/>
            <w:tcBorders>
              <w:right w:val="single" w:sz="8" w:color="auto"/>
            </w:tcBorders>
            <w:vMerge w:val="restart"/>
            <w:shd w:val="clear" w:color="auto" w:fill="003445"/>
          </w:tcPr>
          <w:p>
            <w:pPr>
              <w:jc w:val="right"/>
              <w:ind w:right="144"/>
              <w:spacing w:after="0"/>
              <w:rPr>
                <w:sz w:val="20"/>
                <w:szCs w:val="20"/>
                <w:color w:val="auto"/>
              </w:rPr>
            </w:pPr>
            <w:r>
              <w:rPr>
                <w:rFonts w:ascii="Arial" w:cs="Arial" w:eastAsia="Arial" w:hAnsi="Arial"/>
                <w:sz w:val="19"/>
                <w:szCs w:val="19"/>
                <w:b w:val="1"/>
                <w:bCs w:val="1"/>
                <w:color w:val="FFFFFF"/>
                <w:w w:val="87"/>
              </w:rPr>
              <w:t>   CEO</w:t>
            </w:r>
          </w:p>
        </w:tc>
        <w:tc>
          <w:tcPr>
            <w:tcW w:w="18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9"/>
                <w:szCs w:val="19"/>
                <w:b w:val="1"/>
                <w:bCs w:val="1"/>
                <w:color w:val="FFFFFF"/>
              </w:rPr>
              <w:t>Shareholder</w:t>
            </w:r>
          </w:p>
        </w:tc>
        <w:tc>
          <w:tcPr>
            <w:tcW w:w="0" w:type="dxa"/>
            <w:vAlign w:val="bottom"/>
          </w:tcPr>
          <w:p>
            <w:pPr>
              <w:spacing w:after="0"/>
              <w:rPr>
                <w:sz w:val="1"/>
                <w:szCs w:val="1"/>
                <w:color w:val="auto"/>
              </w:rPr>
            </w:pPr>
          </w:p>
        </w:tc>
      </w:tr>
      <w:tr>
        <w:trPr>
          <w:trHeight w:val="92"/>
        </w:trPr>
        <w:tc>
          <w:tcPr>
            <w:tcW w:w="780" w:type="dxa"/>
            <w:vAlign w:val="bottom"/>
            <w:tcBorders>
              <w:left w:val="single" w:sz="8" w:color="auto"/>
              <w:bottom w:val="single" w:sz="8" w:color="auto"/>
              <w:right w:val="single" w:sz="8" w:color="auto"/>
            </w:tcBorders>
            <w:shd w:val="clear" w:color="auto" w:fill="003445"/>
          </w:tcPr>
          <w:p>
            <w:pPr>
              <w:spacing w:after="0"/>
              <w:rPr>
                <w:sz w:val="7"/>
                <w:szCs w:val="7"/>
                <w:color w:val="auto"/>
              </w:rPr>
            </w:pPr>
          </w:p>
        </w:tc>
        <w:tc>
          <w:tcPr>
            <w:tcW w:w="1780" w:type="dxa"/>
            <w:vAlign w:val="bottom"/>
            <w:tcBorders>
              <w:bottom w:val="single" w:sz="8" w:color="auto"/>
              <w:right w:val="single" w:sz="8" w:color="auto"/>
            </w:tcBorders>
            <w:shd w:val="clear" w:color="auto" w:fill="003445"/>
          </w:tcPr>
          <w:p>
            <w:pPr>
              <w:spacing w:after="0"/>
              <w:rPr>
                <w:sz w:val="7"/>
                <w:szCs w:val="7"/>
                <w:color w:val="auto"/>
              </w:rPr>
            </w:pPr>
          </w:p>
        </w:tc>
        <w:tc>
          <w:tcPr>
            <w:tcW w:w="1780" w:type="dxa"/>
            <w:vAlign w:val="bottom"/>
            <w:tcBorders>
              <w:bottom w:val="single" w:sz="8" w:color="auto"/>
              <w:right w:val="single" w:sz="8" w:color="auto"/>
            </w:tcBorders>
            <w:vMerge w:val="continue"/>
            <w:shd w:val="clear" w:color="auto" w:fill="003445"/>
          </w:tcPr>
          <w:p>
            <w:pPr>
              <w:spacing w:after="0"/>
              <w:rPr>
                <w:sz w:val="7"/>
                <w:szCs w:val="7"/>
                <w:color w:val="auto"/>
              </w:rPr>
            </w:pPr>
          </w:p>
        </w:tc>
        <w:tc>
          <w:tcPr>
            <w:tcW w:w="160" w:type="dxa"/>
            <w:vAlign w:val="bottom"/>
            <w:tcBorders>
              <w:bottom w:val="single" w:sz="8" w:color="auto"/>
            </w:tcBorders>
            <w:shd w:val="clear" w:color="auto" w:fill="003445"/>
          </w:tcPr>
          <w:p>
            <w:pPr>
              <w:spacing w:after="0"/>
              <w:rPr>
                <w:sz w:val="7"/>
                <w:szCs w:val="7"/>
                <w:color w:val="auto"/>
              </w:rPr>
            </w:pPr>
          </w:p>
        </w:tc>
        <w:tc>
          <w:tcPr>
            <w:tcW w:w="1640" w:type="dxa"/>
            <w:vAlign w:val="bottom"/>
            <w:tcBorders>
              <w:bottom w:val="single" w:sz="8" w:color="auto"/>
              <w:right w:val="single" w:sz="8" w:color="auto"/>
            </w:tcBorders>
            <w:shd w:val="clear" w:color="auto" w:fill="003445"/>
          </w:tcPr>
          <w:p>
            <w:pPr>
              <w:spacing w:after="0"/>
              <w:rPr>
                <w:sz w:val="7"/>
                <w:szCs w:val="7"/>
                <w:color w:val="auto"/>
              </w:rPr>
            </w:pPr>
          </w:p>
        </w:tc>
        <w:tc>
          <w:tcPr>
            <w:tcW w:w="1800" w:type="dxa"/>
            <w:vAlign w:val="bottom"/>
            <w:tcBorders>
              <w:bottom w:val="single" w:sz="8" w:color="auto"/>
              <w:right w:val="single" w:sz="8" w:color="auto"/>
            </w:tcBorders>
            <w:shd w:val="clear" w:color="auto" w:fill="003445"/>
          </w:tcPr>
          <w:p>
            <w:pPr>
              <w:spacing w:after="0"/>
              <w:rPr>
                <w:sz w:val="7"/>
                <w:szCs w:val="7"/>
                <w:color w:val="auto"/>
              </w:rPr>
            </w:pPr>
          </w:p>
        </w:tc>
        <w:tc>
          <w:tcPr>
            <w:tcW w:w="80" w:type="dxa"/>
            <w:vAlign w:val="bottom"/>
            <w:tcBorders>
              <w:bottom w:val="single" w:sz="8" w:color="auto"/>
            </w:tcBorders>
            <w:shd w:val="clear" w:color="auto" w:fill="003445"/>
          </w:tcPr>
          <w:p>
            <w:pPr>
              <w:spacing w:after="0"/>
              <w:rPr>
                <w:sz w:val="7"/>
                <w:szCs w:val="7"/>
                <w:color w:val="auto"/>
              </w:rPr>
            </w:pPr>
          </w:p>
        </w:tc>
        <w:tc>
          <w:tcPr>
            <w:tcW w:w="880" w:type="dxa"/>
            <w:vAlign w:val="bottom"/>
            <w:tcBorders>
              <w:bottom w:val="single" w:sz="8" w:color="auto"/>
              <w:right w:val="single" w:sz="8" w:color="auto"/>
            </w:tcBorders>
            <w:vMerge w:val="continue"/>
            <w:shd w:val="clear" w:color="auto" w:fill="003445"/>
          </w:tcPr>
          <w:p>
            <w:pPr>
              <w:spacing w:after="0"/>
              <w:rPr>
                <w:sz w:val="7"/>
                <w:szCs w:val="7"/>
                <w:color w:val="auto"/>
              </w:rPr>
            </w:pPr>
          </w:p>
        </w:tc>
        <w:tc>
          <w:tcPr>
            <w:tcW w:w="1800" w:type="dxa"/>
            <w:vAlign w:val="bottom"/>
            <w:tcBorders>
              <w:bottom w:val="single" w:sz="8" w:color="auto"/>
              <w:right w:val="single" w:sz="8" w:color="auto"/>
            </w:tcBorders>
            <w:vMerge w:val="continue"/>
            <w:shd w:val="clear" w:color="auto" w:fill="003445"/>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2023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$3,593,750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$2,089,052</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19"/>
                <w:szCs w:val="19"/>
                <w:color w:val="auto"/>
                <w:w w:val="99"/>
              </w:rPr>
              <w:t>January 1, 2023</w:t>
            </w:r>
          </w:p>
        </w:tc>
        <w:tc>
          <w:tcPr>
            <w:tcW w:w="18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9"/>
                <w:szCs w:val="19"/>
                <w:color w:val="auto"/>
              </w:rPr>
              <w:t>December 31,</w:t>
            </w:r>
          </w:p>
        </w:tc>
        <w:tc>
          <w:tcPr>
            <w:tcW w:w="960" w:type="dxa"/>
            <w:vAlign w:val="bottom"/>
            <w:tcBorders>
              <w:bottom w:val="single" w:sz="8" w:color="auto"/>
              <w:right w:val="single" w:sz="8" w:color="auto"/>
            </w:tcBorders>
            <w:gridSpan w:val="2"/>
          </w:tcPr>
          <w:p>
            <w:pPr>
              <w:jc w:val="right"/>
              <w:ind w:right="184"/>
              <w:spacing w:after="0"/>
              <w:rPr>
                <w:sz w:val="20"/>
                <w:szCs w:val="20"/>
                <w:color w:val="auto"/>
              </w:rPr>
            </w:pPr>
            <w:r>
              <w:rPr>
                <w:rFonts w:ascii="Arial" w:cs="Arial" w:eastAsia="Arial" w:hAnsi="Arial"/>
                <w:sz w:val="19"/>
                <w:szCs w:val="19"/>
                <w:color w:val="auto"/>
              </w:rPr>
              <w:t>$58</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$69</w:t>
            </w:r>
          </w:p>
        </w:tc>
        <w:tc>
          <w:tcPr>
            <w:tcW w:w="0" w:type="dxa"/>
            <w:vAlign w:val="bottom"/>
          </w:tcPr>
          <w:p>
            <w:pPr>
              <w:spacing w:after="0"/>
              <w:rPr>
                <w:sz w:val="1"/>
                <w:szCs w:val="1"/>
                <w:color w:val="auto"/>
              </w:rPr>
            </w:pPr>
          </w:p>
        </w:tc>
      </w:tr>
      <w:tr>
        <w:trPr>
          <w:trHeight w:val="63"/>
        </w:trPr>
        <w:tc>
          <w:tcPr>
            <w:tcW w:w="7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color w:val="auto"/>
              </w:rPr>
              <w:t>2024</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$4,035,750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$2,102,220</w:t>
            </w:r>
          </w:p>
        </w:tc>
        <w:tc>
          <w:tcPr>
            <w:tcW w:w="160" w:type="dxa"/>
            <w:vAlign w:val="bottom"/>
          </w:tcPr>
          <w:p>
            <w:pPr>
              <w:spacing w:after="0"/>
              <w:rPr>
                <w:sz w:val="5"/>
                <w:szCs w:val="5"/>
                <w:color w:val="auto"/>
              </w:rPr>
            </w:pPr>
          </w:p>
        </w:tc>
        <w:tc>
          <w:tcPr>
            <w:tcW w:w="1640" w:type="dxa"/>
            <w:vAlign w:val="bottom"/>
            <w:tcBorders>
              <w:right w:val="single" w:sz="8" w:color="auto"/>
            </w:tcBorders>
            <w:vMerge w:val="restart"/>
          </w:tcPr>
          <w:p>
            <w:pPr>
              <w:jc w:val="center"/>
              <w:ind w:right="1"/>
              <w:spacing w:after="0"/>
              <w:rPr>
                <w:sz w:val="20"/>
                <w:szCs w:val="20"/>
                <w:color w:val="auto"/>
              </w:rPr>
            </w:pPr>
            <w:r>
              <w:rPr>
                <w:rFonts w:ascii="Arial" w:cs="Arial" w:eastAsia="Arial" w:hAnsi="Arial"/>
                <w:sz w:val="19"/>
                <w:szCs w:val="19"/>
                <w:color w:val="auto"/>
                <w:w w:val="99"/>
              </w:rPr>
              <w:t>January 1, 2024</w:t>
            </w:r>
          </w:p>
        </w:tc>
        <w:tc>
          <w:tcPr>
            <w:tcW w:w="1800" w:type="dxa"/>
            <w:vAlign w:val="bottom"/>
            <w:tcBorders>
              <w:right w:val="single" w:sz="8" w:color="auto"/>
            </w:tcBorders>
            <w:vMerge w:val="continue"/>
          </w:tcPr>
          <w:p>
            <w:pPr>
              <w:spacing w:after="0"/>
              <w:rPr>
                <w:sz w:val="5"/>
                <w:szCs w:val="5"/>
                <w:color w:val="auto"/>
              </w:rPr>
            </w:pPr>
          </w:p>
        </w:tc>
        <w:tc>
          <w:tcPr>
            <w:tcW w:w="960" w:type="dxa"/>
            <w:vAlign w:val="bottom"/>
            <w:tcBorders>
              <w:right w:val="single" w:sz="8" w:color="auto"/>
            </w:tcBorders>
            <w:gridSpan w:val="2"/>
            <w:vMerge w:val="restart"/>
          </w:tcPr>
          <w:p>
            <w:pPr>
              <w:jc w:val="right"/>
              <w:ind w:right="184"/>
              <w:spacing w:after="0"/>
              <w:rPr>
                <w:sz w:val="20"/>
                <w:szCs w:val="20"/>
                <w:color w:val="auto"/>
              </w:rPr>
            </w:pPr>
            <w:r>
              <w:rPr>
                <w:rFonts w:ascii="Arial" w:cs="Arial" w:eastAsia="Arial" w:hAnsi="Arial"/>
                <w:sz w:val="19"/>
                <w:szCs w:val="19"/>
                <w:color w:val="auto"/>
              </w:rPr>
              <w:t>$52</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$42</w:t>
            </w:r>
          </w:p>
        </w:tc>
        <w:tc>
          <w:tcPr>
            <w:tcW w:w="0" w:type="dxa"/>
            <w:vAlign w:val="bottom"/>
          </w:tcPr>
          <w:p>
            <w:pPr>
              <w:spacing w:after="0"/>
              <w:rPr>
                <w:sz w:val="1"/>
                <w:szCs w:val="1"/>
                <w:color w:val="auto"/>
              </w:rPr>
            </w:pPr>
          </w:p>
        </w:tc>
      </w:tr>
      <w:tr>
        <w:trPr>
          <w:trHeight w:val="166"/>
        </w:trPr>
        <w:tc>
          <w:tcPr>
            <w:tcW w:w="78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1780" w:type="dxa"/>
            <w:vAlign w:val="bottom"/>
            <w:tcBorders>
              <w:bottom w:val="single" w:sz="8" w:color="auto"/>
              <w:right w:val="single" w:sz="8" w:color="auto"/>
            </w:tcBorders>
            <w:vMerge w:val="continue"/>
          </w:tcPr>
          <w:p>
            <w:pPr>
              <w:spacing w:after="0"/>
              <w:rPr>
                <w:sz w:val="14"/>
                <w:szCs w:val="14"/>
                <w:color w:val="auto"/>
              </w:rPr>
            </w:pPr>
          </w:p>
        </w:tc>
        <w:tc>
          <w:tcPr>
            <w:tcW w:w="1780" w:type="dxa"/>
            <w:vAlign w:val="bottom"/>
            <w:tcBorders>
              <w:bottom w:val="single" w:sz="8" w:color="auto"/>
              <w:right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vMerge w:val="continue"/>
          </w:tcPr>
          <w:p>
            <w:pPr>
              <w:spacing w:after="0"/>
              <w:rPr>
                <w:sz w:val="14"/>
                <w:szCs w:val="14"/>
                <w:color w:val="auto"/>
              </w:rPr>
            </w:pPr>
          </w:p>
        </w:tc>
        <w:tc>
          <w:tcPr>
            <w:tcW w:w="18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9"/>
                <w:szCs w:val="19"/>
                <w:color w:val="auto"/>
              </w:rPr>
              <w:t>2025</w:t>
            </w:r>
          </w:p>
        </w:tc>
        <w:tc>
          <w:tcPr>
            <w:tcW w:w="960" w:type="dxa"/>
            <w:vAlign w:val="bottom"/>
            <w:tcBorders>
              <w:bottom w:val="single" w:sz="8" w:color="auto"/>
              <w:right w:val="single" w:sz="8" w:color="auto"/>
            </w:tcBorders>
            <w:gridSpan w:val="2"/>
            <w:vMerge w:val="continue"/>
          </w:tcPr>
          <w:p>
            <w:pPr>
              <w:spacing w:after="0"/>
              <w:rPr>
                <w:sz w:val="14"/>
                <w:szCs w:val="14"/>
                <w:color w:val="auto"/>
              </w:rPr>
            </w:pPr>
          </w:p>
        </w:tc>
        <w:tc>
          <w:tcPr>
            <w:tcW w:w="18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7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color w:val="auto"/>
              </w:rPr>
              <w:t>2025</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$4,131,000</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$1,946,878</w:t>
            </w:r>
          </w:p>
        </w:tc>
        <w:tc>
          <w:tcPr>
            <w:tcW w:w="160" w:type="dxa"/>
            <w:vAlign w:val="bottom"/>
          </w:tcPr>
          <w:p>
            <w:pPr>
              <w:spacing w:after="0"/>
              <w:rPr>
                <w:sz w:val="5"/>
                <w:szCs w:val="5"/>
                <w:color w:val="auto"/>
              </w:rPr>
            </w:pPr>
          </w:p>
        </w:tc>
        <w:tc>
          <w:tcPr>
            <w:tcW w:w="1640" w:type="dxa"/>
            <w:vAlign w:val="bottom"/>
            <w:tcBorders>
              <w:right w:val="single" w:sz="8" w:color="auto"/>
            </w:tcBorders>
            <w:vMerge w:val="restart"/>
          </w:tcPr>
          <w:p>
            <w:pPr>
              <w:jc w:val="center"/>
              <w:ind w:right="1"/>
              <w:spacing w:after="0"/>
              <w:rPr>
                <w:sz w:val="20"/>
                <w:szCs w:val="20"/>
                <w:color w:val="auto"/>
              </w:rPr>
            </w:pPr>
            <w:r>
              <w:rPr>
                <w:rFonts w:ascii="Arial" w:cs="Arial" w:eastAsia="Arial" w:hAnsi="Arial"/>
                <w:sz w:val="19"/>
                <w:szCs w:val="19"/>
                <w:color w:val="auto"/>
                <w:w w:val="99"/>
              </w:rPr>
              <w:t>January 1, 2025</w:t>
            </w:r>
          </w:p>
        </w:tc>
        <w:tc>
          <w:tcPr>
            <w:tcW w:w="1800" w:type="dxa"/>
            <w:vAlign w:val="bottom"/>
            <w:tcBorders>
              <w:right w:val="single" w:sz="8" w:color="auto"/>
            </w:tcBorders>
            <w:vMerge w:val="continue"/>
          </w:tcPr>
          <w:p>
            <w:pPr>
              <w:spacing w:after="0"/>
              <w:rPr>
                <w:sz w:val="5"/>
                <w:szCs w:val="5"/>
                <w:color w:val="auto"/>
              </w:rPr>
            </w:pPr>
          </w:p>
        </w:tc>
        <w:tc>
          <w:tcPr>
            <w:tcW w:w="960" w:type="dxa"/>
            <w:vAlign w:val="bottom"/>
            <w:tcBorders>
              <w:right w:val="single" w:sz="8" w:color="auto"/>
            </w:tcBorders>
            <w:gridSpan w:val="2"/>
            <w:vMerge w:val="restart"/>
          </w:tcPr>
          <w:p>
            <w:pPr>
              <w:jc w:val="right"/>
              <w:ind w:right="184"/>
              <w:spacing w:after="0"/>
              <w:rPr>
                <w:sz w:val="20"/>
                <w:szCs w:val="20"/>
                <w:color w:val="auto"/>
              </w:rPr>
            </w:pPr>
            <w:r>
              <w:rPr>
                <w:rFonts w:ascii="Arial" w:cs="Arial" w:eastAsia="Arial" w:hAnsi="Arial"/>
                <w:sz w:val="19"/>
                <w:szCs w:val="19"/>
                <w:color w:val="auto"/>
              </w:rPr>
              <w:t>$47</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$43</w:t>
            </w:r>
          </w:p>
        </w:tc>
        <w:tc>
          <w:tcPr>
            <w:tcW w:w="0" w:type="dxa"/>
            <w:vAlign w:val="bottom"/>
          </w:tcPr>
          <w:p>
            <w:pPr>
              <w:spacing w:after="0"/>
              <w:rPr>
                <w:sz w:val="1"/>
                <w:szCs w:val="1"/>
                <w:color w:val="auto"/>
              </w:rPr>
            </w:pPr>
          </w:p>
        </w:tc>
      </w:tr>
      <w:tr>
        <w:trPr>
          <w:trHeight w:val="161"/>
        </w:trPr>
        <w:tc>
          <w:tcPr>
            <w:tcW w:w="780" w:type="dxa"/>
            <w:vAlign w:val="bottom"/>
            <w:tcBorders>
              <w:left w:val="single" w:sz="8" w:color="auto"/>
              <w:bottom w:val="single" w:sz="8" w:color="auto"/>
              <w:right w:val="single" w:sz="8" w:color="auto"/>
            </w:tcBorders>
            <w:vMerge w:val="continue"/>
          </w:tcPr>
          <w:p>
            <w:pPr>
              <w:spacing w:after="0"/>
              <w:rPr>
                <w:sz w:val="13"/>
                <w:szCs w:val="13"/>
                <w:color w:val="auto"/>
              </w:rPr>
            </w:pPr>
          </w:p>
        </w:tc>
        <w:tc>
          <w:tcPr>
            <w:tcW w:w="1780" w:type="dxa"/>
            <w:vAlign w:val="bottom"/>
            <w:tcBorders>
              <w:bottom w:val="single" w:sz="8" w:color="auto"/>
              <w:right w:val="single" w:sz="8" w:color="auto"/>
            </w:tcBorders>
            <w:vMerge w:val="continue"/>
          </w:tcPr>
          <w:p>
            <w:pPr>
              <w:spacing w:after="0"/>
              <w:rPr>
                <w:sz w:val="13"/>
                <w:szCs w:val="13"/>
                <w:color w:val="auto"/>
              </w:rPr>
            </w:pPr>
          </w:p>
        </w:tc>
        <w:tc>
          <w:tcPr>
            <w:tcW w:w="1780" w:type="dxa"/>
            <w:vAlign w:val="bottom"/>
            <w:tcBorders>
              <w:bottom w:val="single" w:sz="8" w:color="auto"/>
              <w:right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right w:val="single" w:sz="8" w:color="auto"/>
            </w:tcBorders>
            <w:vMerge w:val="continue"/>
          </w:tcPr>
          <w:p>
            <w:pPr>
              <w:spacing w:after="0"/>
              <w:rPr>
                <w:sz w:val="13"/>
                <w:szCs w:val="13"/>
                <w:color w:val="auto"/>
              </w:rPr>
            </w:pPr>
          </w:p>
        </w:tc>
        <w:tc>
          <w:tcPr>
            <w:tcW w:w="1800" w:type="dxa"/>
            <w:vAlign w:val="bottom"/>
            <w:tcBorders>
              <w:bottom w:val="single" w:sz="8" w:color="auto"/>
              <w:right w:val="single" w:sz="8" w:color="auto"/>
            </w:tcBorders>
          </w:tcPr>
          <w:p>
            <w:pPr>
              <w:spacing w:after="0"/>
              <w:rPr>
                <w:sz w:val="13"/>
                <w:szCs w:val="13"/>
                <w:color w:val="auto"/>
              </w:rPr>
            </w:pPr>
          </w:p>
        </w:tc>
        <w:tc>
          <w:tcPr>
            <w:tcW w:w="960" w:type="dxa"/>
            <w:vAlign w:val="bottom"/>
            <w:tcBorders>
              <w:bottom w:val="single" w:sz="8" w:color="auto"/>
              <w:right w:val="single" w:sz="8" w:color="auto"/>
            </w:tcBorders>
            <w:gridSpan w:val="2"/>
            <w:vMerge w:val="continue"/>
          </w:tcPr>
          <w:p>
            <w:pPr>
              <w:spacing w:after="0"/>
              <w:rPr>
                <w:sz w:val="13"/>
                <w:szCs w:val="13"/>
                <w:color w:val="auto"/>
              </w:rPr>
            </w:pPr>
          </w:p>
        </w:tc>
        <w:tc>
          <w:tcPr>
            <w:tcW w:w="1800" w:type="dxa"/>
            <w:vAlign w:val="bottom"/>
            <w:tcBorders>
              <w:bottom w:val="single" w:sz="8" w:color="auto"/>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780" w:type="dxa"/>
            <w:vAlign w:val="bottom"/>
            <w:tcBorders>
              <w:left w:val="single" w:sz="8" w:color="auto"/>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gridSpan w:val="2"/>
          </w:tcPr>
          <w:p>
            <w:pPr>
              <w:ind w:left="1100"/>
              <w:spacing w:after="0"/>
              <w:rPr>
                <w:sz w:val="20"/>
                <w:szCs w:val="20"/>
                <w:color w:val="auto"/>
              </w:rPr>
            </w:pPr>
            <w:r>
              <w:rPr>
                <w:rFonts w:ascii="Arial" w:cs="Arial" w:eastAsia="Arial" w:hAnsi="Arial"/>
                <w:sz w:val="19"/>
                <w:szCs w:val="19"/>
                <w:b w:val="1"/>
                <w:bCs w:val="1"/>
                <w:color w:val="auto"/>
              </w:rPr>
              <w:t>Average</w:t>
            </w:r>
          </w:p>
        </w:tc>
        <w:tc>
          <w:tcPr>
            <w:tcW w:w="1640" w:type="dxa"/>
            <w:vAlign w:val="bottom"/>
            <w:tcBorders>
              <w:bottom w:val="single" w:sz="8" w:color="auto"/>
            </w:tcBorders>
          </w:tcPr>
          <w:p>
            <w:pPr>
              <w:spacing w:after="0"/>
              <w:rPr>
                <w:sz w:val="21"/>
                <w:szCs w:val="21"/>
                <w:color w:val="auto"/>
              </w:rPr>
            </w:pPr>
          </w:p>
        </w:tc>
        <w:tc>
          <w:tcPr>
            <w:tcW w:w="1800" w:type="dxa"/>
            <w:vAlign w:val="bottom"/>
            <w:tcBorders>
              <w:bottom w:val="single" w:sz="8" w:color="auto"/>
              <w:right w:val="single" w:sz="8" w:color="auto"/>
            </w:tcBorders>
          </w:tcPr>
          <w:p>
            <w:pPr>
              <w:spacing w:after="0"/>
              <w:rPr>
                <w:sz w:val="21"/>
                <w:szCs w:val="21"/>
                <w:color w:val="auto"/>
              </w:rPr>
            </w:pPr>
          </w:p>
        </w:tc>
        <w:tc>
          <w:tcPr>
            <w:tcW w:w="960" w:type="dxa"/>
            <w:vAlign w:val="bottom"/>
            <w:tcBorders>
              <w:bottom w:val="single" w:sz="8" w:color="auto"/>
              <w:right w:val="single" w:sz="8" w:color="auto"/>
            </w:tcBorders>
            <w:gridSpan w:val="2"/>
          </w:tcPr>
          <w:p>
            <w:pPr>
              <w:jc w:val="right"/>
              <w:ind w:right="184"/>
              <w:spacing w:after="0"/>
              <w:rPr>
                <w:sz w:val="20"/>
                <w:szCs w:val="20"/>
                <w:color w:val="auto"/>
              </w:rPr>
            </w:pPr>
            <w:r>
              <w:rPr>
                <w:rFonts w:ascii="Arial" w:cs="Arial" w:eastAsia="Arial" w:hAnsi="Arial"/>
                <w:sz w:val="19"/>
                <w:szCs w:val="19"/>
                <w:b w:val="1"/>
                <w:bCs w:val="1"/>
                <w:color w:val="auto"/>
              </w:rPr>
              <w:t>$52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$51</w:t>
            </w:r>
          </w:p>
        </w:tc>
        <w:tc>
          <w:tcPr>
            <w:tcW w:w="0" w:type="dxa"/>
            <w:vAlign w:val="bottom"/>
          </w:tcPr>
          <w:p>
            <w:pPr>
              <w:spacing w:after="0"/>
              <w:rPr>
                <w:sz w:val="1"/>
                <w:szCs w:val="1"/>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003445"/>
        </w:rPr>
        <w:t>Notes:</w:t>
      </w:r>
    </w:p>
    <w:p>
      <w:pPr>
        <w:spacing w:after="0" w:line="235" w:lineRule="exact"/>
        <w:rPr>
          <w:sz w:val="20"/>
          <w:szCs w:val="20"/>
          <w:color w:val="auto"/>
        </w:rPr>
      </w:pPr>
    </w:p>
    <w:p>
      <w:pPr>
        <w:ind w:left="420" w:right="20" w:hanging="315"/>
        <w:spacing w:after="0" w:line="250" w:lineRule="auto"/>
        <w:tabs>
          <w:tab w:leader="none" w:pos="420" w:val="left"/>
        </w:tabs>
        <w:numPr>
          <w:ilvl w:val="0"/>
          <w:numId w:val="20"/>
        </w:numPr>
        <w:rPr>
          <w:rFonts w:ascii="Arial" w:cs="Arial" w:eastAsia="Arial" w:hAnsi="Arial"/>
          <w:sz w:val="16"/>
          <w:szCs w:val="16"/>
          <w:i w:val="1"/>
          <w:iCs w:val="1"/>
          <w:color w:val="003445"/>
        </w:rPr>
      </w:pPr>
      <w:r>
        <w:rPr>
          <w:rFonts w:ascii="Arial" w:cs="Arial" w:eastAsia="Arial" w:hAnsi="Arial"/>
          <w:sz w:val="16"/>
          <w:szCs w:val="16"/>
          <w:i w:val="1"/>
          <w:iCs w:val="1"/>
          <w:color w:val="003445"/>
        </w:rPr>
        <w:t>Total target direct pay includes salary, target VCIP, long-term incentive grant of PSUs, RSUs as reported in the Summary Compensation Table. Excludes pension and all other compensation value.</w:t>
      </w:r>
    </w:p>
    <w:p>
      <w:pPr>
        <w:jc w:val="both"/>
        <w:ind w:left="420" w:right="20" w:hanging="315"/>
        <w:spacing w:after="0" w:line="234" w:lineRule="auto"/>
        <w:tabs>
          <w:tab w:leader="none" w:pos="420" w:val="left"/>
        </w:tabs>
        <w:numPr>
          <w:ilvl w:val="0"/>
          <w:numId w:val="20"/>
        </w:numPr>
        <w:rPr>
          <w:rFonts w:ascii="Arial" w:cs="Arial" w:eastAsia="Arial" w:hAnsi="Arial"/>
          <w:sz w:val="14"/>
          <w:szCs w:val="14"/>
          <w:i w:val="1"/>
          <w:iCs w:val="1"/>
          <w:color w:val="003445"/>
        </w:rPr>
      </w:pPr>
      <w:r>
        <w:rPr>
          <w:rFonts w:ascii="Arial" w:cs="Arial" w:eastAsia="Arial" w:hAnsi="Arial"/>
          <w:sz w:val="14"/>
          <w:szCs w:val="14"/>
          <w:i w:val="1"/>
          <w:iCs w:val="1"/>
          <w:color w:val="003445"/>
        </w:rPr>
        <w:t>Realized and realizable pay includes salary, actual VCIP paid, and the market value of unvested PSUs and RSUs (assuming PSUs vest at threshold (50%) for 2024 and 2025 grants and actual of 19.5% for 2023 grant). Equity value calculated using the closing price of the Shares on the Nasdaq on December 31, 2025. Excludes pension and all other compensation value.</w:t>
      </w:r>
    </w:p>
    <w:p>
      <w:pPr>
        <w:ind w:left="420" w:right="20" w:hanging="315"/>
        <w:spacing w:after="0" w:line="248" w:lineRule="auto"/>
        <w:tabs>
          <w:tab w:leader="none" w:pos="420" w:val="left"/>
        </w:tabs>
        <w:numPr>
          <w:ilvl w:val="0"/>
          <w:numId w:val="20"/>
        </w:numPr>
        <w:rPr>
          <w:rFonts w:ascii="Arial" w:cs="Arial" w:eastAsia="Arial" w:hAnsi="Arial"/>
          <w:sz w:val="14"/>
          <w:szCs w:val="14"/>
          <w:i w:val="1"/>
          <w:iCs w:val="1"/>
          <w:color w:val="003445"/>
        </w:rPr>
      </w:pPr>
      <w:r>
        <w:rPr>
          <w:rFonts w:ascii="Arial" w:cs="Arial" w:eastAsia="Arial" w:hAnsi="Arial"/>
          <w:sz w:val="14"/>
          <w:szCs w:val="14"/>
          <w:i w:val="1"/>
          <w:iCs w:val="1"/>
          <w:color w:val="003445"/>
        </w:rPr>
        <w:t>All compensation and total shareholder return shown have been adjusted to align with calendar years from 2023 to 2025 for comparability (consistent with current fiscal year end).</w:t>
      </w:r>
    </w:p>
    <w:p>
      <w:pPr>
        <w:spacing w:after="0" w:line="165"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The HRCC assesses realizable pay outcomes regularly in assessing the alignment of compensation with Algoma’s shareholders and compensation outcomes with the performance of the business.</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Compensation Risk</w:t>
      </w:r>
    </w:p>
    <w:p>
      <w:pPr>
        <w:spacing w:after="0" w:line="207"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The HRCC and NGC are responsible for assisting the Board in fulfilling its governance and supervisory responsibilities, and overseeing our human resources, succession planning and compensation policies, processes and practices. The HRCC also ensures that compensation policies and practices provide an appropriate balance of risk and reward consistent with our risk profile. The HRCC’s oversight includes setting objectives, evaluating performance and ensuring that total compensation paid to our NEOs and various other key executive officers and key managers is fair, reasonable and consistent with the objectives of our philosophy and compensation program.</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We have certain policies and procedures in place to mitigate any risk associated with our compensation program, including the following:</w:t>
      </w:r>
    </w:p>
    <w:p>
      <w:pPr>
        <w:spacing w:after="0" w:line="165" w:lineRule="exact"/>
        <w:rPr>
          <w:sz w:val="20"/>
          <w:szCs w:val="20"/>
          <w:color w:val="auto"/>
        </w:rPr>
      </w:pPr>
    </w:p>
    <w:p>
      <w:pPr>
        <w:jc w:val="both"/>
        <w:ind w:left="1040" w:right="20" w:hanging="411"/>
        <w:spacing w:after="0" w:line="235" w:lineRule="auto"/>
        <w:tabs>
          <w:tab w:leader="none" w:pos="10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Company’s insider trading policy (the “</w:t>
      </w:r>
      <w:r>
        <w:rPr>
          <w:rFonts w:ascii="Arial" w:cs="Arial" w:eastAsia="Arial" w:hAnsi="Arial"/>
          <w:sz w:val="19"/>
          <w:szCs w:val="19"/>
          <w:b w:val="1"/>
          <w:bCs w:val="1"/>
          <w:color w:val="auto"/>
        </w:rPr>
        <w:t>Insider Trading Policy</w:t>
      </w:r>
      <w:r>
        <w:rPr>
          <w:rFonts w:ascii="Arial" w:cs="Arial" w:eastAsia="Arial" w:hAnsi="Arial"/>
          <w:sz w:val="19"/>
          <w:szCs w:val="19"/>
          <w:color w:val="auto"/>
        </w:rPr>
        <w:t>”) provides that all Directors, officers and employees of the Company and any of its subsidiaries, and their respective associates (including immediate family members who reside in the same home as that person) are prohibited from (i) selling “short” any of the Company’s securities; (ii) purchasing or selling puts, calls or other derivative securities, on an exchange or in any other organized market; (iii) engaging in hedging or monetization transactions that allow an individual to continue to own the covered securities, but without the full risks and rewards of ownership; or (iv) purchasing financial instruments, such as prepaid variable forward contracts, equity swaps, collars or common shares of exchange funds that are designed to hedge or offset a decrease in the market value of equity securities granted to such person as compensation or held directly or indirectly by such person.</w:t>
      </w:r>
    </w:p>
    <w:p>
      <w:pPr>
        <w:spacing w:after="0" w:line="198" w:lineRule="exact"/>
        <w:rPr>
          <w:rFonts w:ascii="Arial" w:cs="Arial" w:eastAsia="Arial" w:hAnsi="Arial"/>
          <w:sz w:val="19"/>
          <w:szCs w:val="19"/>
          <w:color w:val="auto"/>
        </w:rPr>
      </w:pPr>
    </w:p>
    <w:p>
      <w:pPr>
        <w:ind w:left="1040" w:right="20" w:hanging="411"/>
        <w:spacing w:after="0" w:line="268" w:lineRule="auto"/>
        <w:tabs>
          <w:tab w:leader="none" w:pos="10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 substantial portion of executive pay is delivered through long-term incentives, which focuses executives on sustained, long-term Shareholder value creation. Although</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0700"/>
          </w:cols>
          <w:pgMar w:left="600" w:top="264" w:right="599" w:bottom="1440" w:gutter="0" w:footer="0" w:header="0"/>
        </w:sectPr>
      </w:pPr>
    </w:p>
    <w:bookmarkStart w:id="51" w:name="page52"/>
    <w:bookmarkEnd w:id="51"/>
    <w:p>
      <w:pPr>
        <w:jc w:val="both"/>
        <w:ind w:left="1060"/>
        <w:spacing w:after="0" w:line="24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discretionary, long-term incentives are expected to be awarded annually, with overlapping vesting periods, ensuring that executives remain exposed to the longer-term risks of their decision making through unvested equity incentives.</w:t>
      </w:r>
    </w:p>
    <w:p>
      <w:pPr>
        <w:spacing w:after="0" w:line="184" w:lineRule="exact"/>
        <w:rPr>
          <w:sz w:val="20"/>
          <w:szCs w:val="20"/>
          <w:color w:val="auto"/>
        </w:rPr>
      </w:pPr>
    </w:p>
    <w:p>
      <w:pPr>
        <w:jc w:val="both"/>
        <w:ind w:left="1040" w:hanging="411"/>
        <w:spacing w:after="0" w:line="243" w:lineRule="auto"/>
        <w:tabs>
          <w:tab w:leader="none" w:pos="10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RSUs and PSUs typically vest over a period of time. In addition, RSUs and PSUs become eligible to vest based on the fulfillment of certain employment and, in the case of PSUs, performance metrics. One component of PSU vesting is based on three-year relative TSR goals, which further mitigates against the potential for inappropriate short-term risk-taking.</w:t>
      </w:r>
    </w:p>
    <w:p>
      <w:pPr>
        <w:spacing w:after="0" w:line="189"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HRCC has discretion over the incentive awards granted to the executive team, thereby providing oversight of the total value awarded. In addition, the Board evaluates and approves the compensation packages for each of the NEOs that are recommended by the HRCC each year, which provides a further level of oversight.</w:t>
      </w:r>
    </w:p>
    <w:p>
      <w:pPr>
        <w:spacing w:after="0" w:line="184"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HRCC reviews the compensation program currently in place to identify any risks related to compensation. This review is performed by the Committee’s consultant annually.</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HRCC has not identified any risks from the Company’s compensation practices or policies that are likely to have a material adverse effect on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Clawback Policy</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Company implemented a clawback policy in November 2023 (the “</w:t>
      </w:r>
      <w:r>
        <w:rPr>
          <w:rFonts w:ascii="Arial" w:cs="Arial" w:eastAsia="Arial" w:hAnsi="Arial"/>
          <w:sz w:val="19"/>
          <w:szCs w:val="19"/>
          <w:b w:val="1"/>
          <w:bCs w:val="1"/>
          <w:color w:val="auto"/>
        </w:rPr>
        <w:t>Clawback Policy</w:t>
      </w:r>
      <w:r>
        <w:rPr>
          <w:rFonts w:ascii="Arial" w:cs="Arial" w:eastAsia="Arial" w:hAnsi="Arial"/>
          <w:sz w:val="19"/>
          <w:szCs w:val="19"/>
          <w:color w:val="auto"/>
        </w:rPr>
        <w:t>”), which was subsequently amended November 12, 2025, compliant with the current requirements of Nasdaq, which applies to all of its executive officers, and extends to all incentive-based compensation received on or after October 2, 2023, excluding base annual salary.</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Under the terms of the Clawback Policy, in the event the Company is required to prepare an accounting restatement due to material non-compliance with any financial reporting requirement under applicable securities laws, the HRCC shall take reasonably prompt action to recover from each covered executive the amount of any incentive-based compensation that was granted, earned or paid during the three completed fiscal years preceding the date on which the Company is required to prepare the restatement, to the extent such compensation exceeds the amount that would have been granted, earned or vested had the financial statements been prepared in compliance with applicable financial reporting requirements.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addition, the Clawback Policy provides for the recovery of incentive-based compensation in circumstances where an executive officer engages in fraud, criminal misconduct, gross negligence or other intentional and serious misconduct that results in an accounting restatement.</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Each executive officer, including our NEOs and former executive officers, are considered “covered executives” for purposes of the Clawback Policy.</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Share Ownership Guidelines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Fiscal 2025, to align the interests of the Company’s Directors and executives with those of the Shareholders, the HRCC adopted share ownership guidelines applicable to Directors and executives. These guidelines are summarized in the table below:</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0680"/>
          </w:cols>
          <w:pgMar w:left="600" w:top="262" w:right="61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307"/>
        </w:trPr>
        <w:tc>
          <w:tcPr>
            <w:tcW w:w="5460" w:type="dxa"/>
            <w:vAlign w:val="bottom"/>
            <w:tcBorders>
              <w:top w:val="single" w:sz="8" w:color="auto"/>
              <w:left w:val="single" w:sz="8" w:color="auto"/>
              <w:bottom w:val="single" w:sz="8" w:color="auto"/>
              <w:right w:val="single" w:sz="8" w:color="auto"/>
            </w:tcBorders>
            <w:shd w:val="clear" w:color="auto" w:fill="003445"/>
          </w:tcPr>
          <w:p>
            <w:pPr>
              <w:ind w:left="2300"/>
              <w:spacing w:after="0"/>
              <w:rPr>
                <w:sz w:val="20"/>
                <w:szCs w:val="20"/>
                <w:color w:val="auto"/>
              </w:rPr>
            </w:pPr>
            <w:r>
              <w:rPr>
                <w:rFonts w:ascii="Arial" w:cs="Arial" w:eastAsia="Arial" w:hAnsi="Arial"/>
                <w:sz w:val="19"/>
                <w:szCs w:val="19"/>
                <w:b w:val="1"/>
                <w:bCs w:val="1"/>
                <w:color w:val="FFFFFF"/>
              </w:rPr>
              <w:t>Participant</w:t>
            </w:r>
          </w:p>
        </w:tc>
        <w:tc>
          <w:tcPr>
            <w:tcW w:w="5240" w:type="dxa"/>
            <w:vAlign w:val="bottom"/>
            <w:tcBorders>
              <w:top w:val="single" w:sz="8" w:color="auto"/>
              <w:bottom w:val="single" w:sz="8" w:color="auto"/>
              <w:right w:val="single" w:sz="8" w:color="auto"/>
            </w:tcBorders>
            <w:shd w:val="clear" w:color="auto" w:fill="003445"/>
          </w:tcPr>
          <w:p>
            <w:pPr>
              <w:ind w:left="2220"/>
              <w:spacing w:after="0"/>
              <w:rPr>
                <w:sz w:val="20"/>
                <w:szCs w:val="20"/>
                <w:color w:val="auto"/>
              </w:rPr>
            </w:pPr>
            <w:r>
              <w:rPr>
                <w:rFonts w:ascii="Arial" w:cs="Arial" w:eastAsia="Arial" w:hAnsi="Arial"/>
                <w:sz w:val="19"/>
                <w:szCs w:val="19"/>
                <w:b w:val="1"/>
                <w:bCs w:val="1"/>
                <w:color w:val="FFFFFF"/>
              </w:rPr>
              <w:t>Guideline</w:t>
            </w:r>
          </w:p>
        </w:tc>
      </w:tr>
      <w:tr>
        <w:trPr>
          <w:trHeight w:val="272"/>
        </w:trPr>
        <w:tc>
          <w:tcPr>
            <w:tcW w:w="54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Chief Executive Officer</w:t>
            </w:r>
          </w:p>
        </w:tc>
        <w:tc>
          <w:tcPr>
            <w:tcW w:w="52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5X base salary</w:t>
            </w:r>
          </w:p>
        </w:tc>
      </w:tr>
      <w:tr>
        <w:trPr>
          <w:trHeight w:val="30"/>
        </w:trPr>
        <w:tc>
          <w:tcPr>
            <w:tcW w:w="5460" w:type="dxa"/>
            <w:vAlign w:val="bottom"/>
            <w:tcBorders>
              <w:left w:val="single" w:sz="8" w:color="auto"/>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265"/>
        </w:trPr>
        <w:tc>
          <w:tcPr>
            <w:tcW w:w="54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Chief Financial Officer</w:t>
            </w:r>
          </w:p>
        </w:tc>
        <w:tc>
          <w:tcPr>
            <w:tcW w:w="5240" w:type="dxa"/>
            <w:vAlign w:val="bottom"/>
            <w:tcBorders>
              <w:right w:val="single" w:sz="8" w:color="auto"/>
            </w:tcBorders>
          </w:tcPr>
          <w:p>
            <w:pPr>
              <w:spacing w:after="0"/>
              <w:rPr>
                <w:sz w:val="23"/>
                <w:szCs w:val="23"/>
                <w:color w:val="auto"/>
              </w:rPr>
            </w:pPr>
          </w:p>
        </w:tc>
      </w:tr>
      <w:tr>
        <w:trPr>
          <w:trHeight w:val="314"/>
        </w:trPr>
        <w:tc>
          <w:tcPr>
            <w:tcW w:w="54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Chief Legal Officer</w:t>
            </w:r>
          </w:p>
        </w:tc>
        <w:tc>
          <w:tcPr>
            <w:tcW w:w="52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2X base salary</w:t>
            </w:r>
          </w:p>
        </w:tc>
      </w:tr>
      <w:tr>
        <w:trPr>
          <w:trHeight w:val="314"/>
        </w:trPr>
        <w:tc>
          <w:tcPr>
            <w:tcW w:w="54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Senior Vice-President, Production</w:t>
            </w:r>
          </w:p>
        </w:tc>
        <w:tc>
          <w:tcPr>
            <w:tcW w:w="5240" w:type="dxa"/>
            <w:vAlign w:val="bottom"/>
            <w:tcBorders>
              <w:right w:val="single" w:sz="8" w:color="auto"/>
            </w:tcBorders>
          </w:tcPr>
          <w:p>
            <w:pPr>
              <w:spacing w:after="0"/>
              <w:rPr>
                <w:sz w:val="24"/>
                <w:szCs w:val="24"/>
                <w:color w:val="auto"/>
              </w:rPr>
            </w:pPr>
          </w:p>
        </w:tc>
      </w:tr>
      <w:tr>
        <w:trPr>
          <w:trHeight w:val="30"/>
        </w:trPr>
        <w:tc>
          <w:tcPr>
            <w:tcW w:w="5460" w:type="dxa"/>
            <w:vAlign w:val="bottom"/>
            <w:tcBorders>
              <w:left w:val="single" w:sz="8" w:color="auto"/>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r>
        <w:trPr>
          <w:trHeight w:val="265"/>
        </w:trPr>
        <w:tc>
          <w:tcPr>
            <w:tcW w:w="54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Other Executives</w:t>
            </w:r>
          </w:p>
        </w:tc>
        <w:tc>
          <w:tcPr>
            <w:tcW w:w="52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1X base salary</w:t>
            </w:r>
          </w:p>
        </w:tc>
      </w:tr>
      <w:tr>
        <w:trPr>
          <w:trHeight w:val="314"/>
        </w:trPr>
        <w:tc>
          <w:tcPr>
            <w:tcW w:w="54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Non-Executive Directors</w:t>
            </w:r>
          </w:p>
        </w:tc>
        <w:tc>
          <w:tcPr>
            <w:tcW w:w="524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4X base annual cash retainer (US$440,000)</w:t>
            </w:r>
          </w:p>
        </w:tc>
      </w:tr>
      <w:tr>
        <w:trPr>
          <w:trHeight w:val="30"/>
        </w:trPr>
        <w:tc>
          <w:tcPr>
            <w:tcW w:w="5460" w:type="dxa"/>
            <w:vAlign w:val="bottom"/>
            <w:tcBorders>
              <w:left w:val="single" w:sz="8" w:color="auto"/>
              <w:bottom w:val="single" w:sz="8" w:color="auto"/>
              <w:right w:val="single" w:sz="8" w:color="auto"/>
            </w:tcBorders>
          </w:tcPr>
          <w:p>
            <w:pPr>
              <w:spacing w:after="0"/>
              <w:rPr>
                <w:sz w:val="2"/>
                <w:szCs w:val="2"/>
                <w:color w:val="auto"/>
              </w:rPr>
            </w:pPr>
          </w:p>
        </w:tc>
        <w:tc>
          <w:tcPr>
            <w:tcW w:w="5240" w:type="dxa"/>
            <w:vAlign w:val="bottom"/>
            <w:tcBorders>
              <w:bottom w:val="single" w:sz="8" w:color="auto"/>
              <w:right w:val="single" w:sz="8" w:color="auto"/>
            </w:tcBorders>
          </w:tcPr>
          <w:p>
            <w:pPr>
              <w:spacing w:after="0"/>
              <w:rPr>
                <w:sz w:val="2"/>
                <w:szCs w:val="2"/>
                <w:color w:val="auto"/>
              </w:rPr>
            </w:pP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jc w:val="both"/>
        <w:ind w:right="20"/>
        <w:spacing w:after="0" w:line="268" w:lineRule="auto"/>
        <w:rPr>
          <w:sz w:val="20"/>
          <w:szCs w:val="20"/>
          <w:color w:val="auto"/>
        </w:rPr>
      </w:pPr>
      <w:r>
        <w:rPr>
          <w:rFonts w:ascii="Arial" w:cs="Arial" w:eastAsia="Arial" w:hAnsi="Arial"/>
          <w:sz w:val="19"/>
          <w:szCs w:val="19"/>
          <w:color w:val="auto"/>
        </w:rPr>
        <w:t>The relative position of each executive officer and Director with respect to the share ownership guidelines as of December 31, 2025, is outlined in the following table:</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05"/>
        </w:trPr>
        <w:tc>
          <w:tcPr>
            <w:tcW w:w="1800" w:type="dxa"/>
            <w:vAlign w:val="bottom"/>
            <w:tcBorders>
              <w:left w:val="single" w:sz="8" w:color="auto"/>
              <w:right w:val="single" w:sz="8" w:color="003445"/>
            </w:tcBorders>
            <w:shd w:val="clear" w:color="auto" w:fill="003445"/>
          </w:tcPr>
          <w:p>
            <w:pPr>
              <w:spacing w:after="0"/>
              <w:rPr>
                <w:sz w:val="9"/>
                <w:szCs w:val="9"/>
                <w:color w:val="auto"/>
              </w:rPr>
            </w:pPr>
          </w:p>
        </w:tc>
        <w:tc>
          <w:tcPr>
            <w:tcW w:w="1500" w:type="dxa"/>
            <w:vAlign w:val="bottom"/>
            <w:tcBorders>
              <w:right w:val="single" w:sz="8" w:color="003445"/>
            </w:tcBorders>
            <w:shd w:val="clear" w:color="auto" w:fill="003445"/>
          </w:tcPr>
          <w:p>
            <w:pPr>
              <w:spacing w:after="0"/>
              <w:rPr>
                <w:sz w:val="9"/>
                <w:szCs w:val="9"/>
                <w:color w:val="auto"/>
              </w:rPr>
            </w:pPr>
          </w:p>
        </w:tc>
        <w:tc>
          <w:tcPr>
            <w:tcW w:w="1480" w:type="dxa"/>
            <w:vAlign w:val="bottom"/>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Equity</w:t>
            </w:r>
          </w:p>
        </w:tc>
        <w:tc>
          <w:tcPr>
            <w:tcW w:w="360" w:type="dxa"/>
            <w:vAlign w:val="bottom"/>
            <w:tcBorders>
              <w:left w:val="single" w:sz="8" w:color="003445"/>
            </w:tcBorders>
            <w:shd w:val="clear" w:color="auto" w:fill="003445"/>
          </w:tcPr>
          <w:p>
            <w:pPr>
              <w:spacing w:after="0"/>
              <w:rPr>
                <w:sz w:val="9"/>
                <w:szCs w:val="9"/>
                <w:color w:val="auto"/>
              </w:rPr>
            </w:pPr>
          </w:p>
        </w:tc>
        <w:tc>
          <w:tcPr>
            <w:tcW w:w="940" w:type="dxa"/>
            <w:vAlign w:val="bottom"/>
            <w:shd w:val="clear" w:color="auto" w:fill="003445"/>
          </w:tcPr>
          <w:p>
            <w:pPr>
              <w:spacing w:after="0"/>
              <w:rPr>
                <w:sz w:val="9"/>
                <w:szCs w:val="9"/>
                <w:color w:val="auto"/>
              </w:rPr>
            </w:pPr>
          </w:p>
        </w:tc>
        <w:tc>
          <w:tcPr>
            <w:tcW w:w="2040" w:type="dxa"/>
            <w:vAlign w:val="bottom"/>
            <w:gridSpan w:val="3"/>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Total Equity Ownership</w:t>
            </w:r>
          </w:p>
        </w:tc>
        <w:tc>
          <w:tcPr>
            <w:tcW w:w="1200" w:type="dxa"/>
            <w:vAlign w:val="bottom"/>
            <w:tcBorders>
              <w:right w:val="single" w:sz="8" w:color="003445"/>
            </w:tcBorders>
            <w:shd w:val="clear" w:color="auto" w:fill="003445"/>
          </w:tcPr>
          <w:p>
            <w:pPr>
              <w:spacing w:after="0"/>
              <w:rPr>
                <w:sz w:val="9"/>
                <w:szCs w:val="9"/>
                <w:color w:val="auto"/>
              </w:rPr>
            </w:pPr>
          </w:p>
        </w:tc>
        <w:tc>
          <w:tcPr>
            <w:tcW w:w="138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Value of</w:t>
            </w: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right w:val="single" w:sz="8" w:color="auto"/>
            </w:tcBorders>
            <w:shd w:val="clear" w:color="auto" w:fill="003445"/>
          </w:tcPr>
          <w:p>
            <w:pPr>
              <w:spacing w:after="0"/>
              <w:rPr>
                <w:sz w:val="21"/>
                <w:szCs w:val="21"/>
                <w:color w:val="auto"/>
              </w:rPr>
            </w:pPr>
          </w:p>
        </w:tc>
        <w:tc>
          <w:tcPr>
            <w:tcW w:w="1500" w:type="dxa"/>
            <w:vAlign w:val="bottom"/>
            <w:tcBorders>
              <w:right w:val="single" w:sz="8" w:color="auto"/>
            </w:tcBorders>
            <w:shd w:val="clear" w:color="auto" w:fill="003445"/>
          </w:tcPr>
          <w:p>
            <w:pPr>
              <w:spacing w:after="0"/>
              <w:rPr>
                <w:sz w:val="21"/>
                <w:szCs w:val="21"/>
                <w:color w:val="auto"/>
              </w:rPr>
            </w:pPr>
          </w:p>
        </w:tc>
        <w:tc>
          <w:tcPr>
            <w:tcW w:w="1480" w:type="dxa"/>
            <w:vAlign w:val="bottom"/>
            <w:vMerge w:val="continue"/>
            <w:shd w:val="clear" w:color="auto" w:fill="003445"/>
          </w:tcPr>
          <w:p>
            <w:pPr>
              <w:spacing w:after="0"/>
              <w:rPr>
                <w:sz w:val="21"/>
                <w:szCs w:val="21"/>
                <w:color w:val="auto"/>
              </w:rPr>
            </w:pPr>
          </w:p>
        </w:tc>
        <w:tc>
          <w:tcPr>
            <w:tcW w:w="360" w:type="dxa"/>
            <w:vAlign w:val="bottom"/>
            <w:tcBorders>
              <w:left w:val="single" w:sz="8" w:color="auto"/>
            </w:tcBorders>
            <w:shd w:val="clear" w:color="auto" w:fill="003445"/>
          </w:tcPr>
          <w:p>
            <w:pPr>
              <w:spacing w:after="0"/>
              <w:rPr>
                <w:sz w:val="21"/>
                <w:szCs w:val="21"/>
                <w:color w:val="auto"/>
              </w:rPr>
            </w:pPr>
          </w:p>
        </w:tc>
        <w:tc>
          <w:tcPr>
            <w:tcW w:w="940" w:type="dxa"/>
            <w:vAlign w:val="bottom"/>
            <w:shd w:val="clear" w:color="auto" w:fill="003445"/>
          </w:tcPr>
          <w:p>
            <w:pPr>
              <w:spacing w:after="0"/>
              <w:rPr>
                <w:sz w:val="21"/>
                <w:szCs w:val="21"/>
                <w:color w:val="auto"/>
              </w:rPr>
            </w:pPr>
          </w:p>
        </w:tc>
        <w:tc>
          <w:tcPr>
            <w:tcW w:w="2040" w:type="dxa"/>
            <w:vAlign w:val="bottom"/>
            <w:gridSpan w:val="3"/>
            <w:vMerge w:val="continue"/>
            <w:shd w:val="clear" w:color="auto" w:fill="003445"/>
          </w:tcPr>
          <w:p>
            <w:pPr>
              <w:spacing w:after="0"/>
              <w:rPr>
                <w:sz w:val="21"/>
                <w:szCs w:val="21"/>
                <w:color w:val="auto"/>
              </w:rPr>
            </w:pPr>
          </w:p>
        </w:tc>
        <w:tc>
          <w:tcPr>
            <w:tcW w:w="1200" w:type="dxa"/>
            <w:vAlign w:val="bottom"/>
            <w:tcBorders>
              <w:right w:val="single" w:sz="8" w:color="auto"/>
            </w:tcBorders>
            <w:shd w:val="clear" w:color="auto" w:fill="003445"/>
          </w:tcPr>
          <w:p>
            <w:pPr>
              <w:spacing w:after="0"/>
              <w:rPr>
                <w:sz w:val="21"/>
                <w:szCs w:val="21"/>
                <w:color w:val="auto"/>
              </w:rPr>
            </w:pPr>
          </w:p>
        </w:tc>
        <w:tc>
          <w:tcPr>
            <w:tcW w:w="1380" w:type="dxa"/>
            <w:vAlign w:val="bottom"/>
            <w:tcBorders>
              <w:right w:val="single" w:sz="8" w:color="auto"/>
            </w:tcBorders>
            <w:vMerge w:val="continue"/>
            <w:shd w:val="clear" w:color="auto" w:fill="003445"/>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800" w:type="dxa"/>
            <w:vAlign w:val="bottom"/>
            <w:tcBorders>
              <w:left w:val="single" w:sz="8" w:color="auto"/>
              <w:bottom w:val="single" w:sz="8" w:color="003445"/>
              <w:right w:val="single" w:sz="8" w:color="auto"/>
            </w:tcBorders>
            <w:shd w:val="clear" w:color="auto" w:fill="003445"/>
          </w:tcPr>
          <w:p>
            <w:pPr>
              <w:spacing w:after="0"/>
              <w:rPr>
                <w:sz w:val="12"/>
                <w:szCs w:val="12"/>
                <w:color w:val="auto"/>
              </w:rPr>
            </w:pPr>
          </w:p>
        </w:tc>
        <w:tc>
          <w:tcPr>
            <w:tcW w:w="1500" w:type="dxa"/>
            <w:vAlign w:val="bottom"/>
            <w:tcBorders>
              <w:bottom w:val="single" w:sz="8" w:color="003445"/>
              <w:right w:val="single" w:sz="8" w:color="auto"/>
            </w:tcBorders>
            <w:shd w:val="clear" w:color="auto" w:fill="003445"/>
          </w:tcPr>
          <w:p>
            <w:pPr>
              <w:spacing w:after="0"/>
              <w:rPr>
                <w:sz w:val="12"/>
                <w:szCs w:val="12"/>
                <w:color w:val="auto"/>
              </w:rPr>
            </w:pPr>
          </w:p>
        </w:tc>
        <w:tc>
          <w:tcPr>
            <w:tcW w:w="1480" w:type="dxa"/>
            <w:vAlign w:val="bottom"/>
            <w:tcBorders>
              <w:bottom w:val="single" w:sz="8" w:color="003445"/>
            </w:tcBorders>
            <w:vMerge w:val="continue"/>
            <w:shd w:val="clear" w:color="auto" w:fill="003445"/>
          </w:tcPr>
          <w:p>
            <w:pPr>
              <w:spacing w:after="0"/>
              <w:rPr>
                <w:sz w:val="12"/>
                <w:szCs w:val="12"/>
                <w:color w:val="auto"/>
              </w:rPr>
            </w:pPr>
          </w:p>
        </w:tc>
        <w:tc>
          <w:tcPr>
            <w:tcW w:w="360" w:type="dxa"/>
            <w:vAlign w:val="bottom"/>
            <w:tcBorders>
              <w:left w:val="single" w:sz="8" w:color="auto"/>
              <w:bottom w:val="single" w:sz="8" w:color="003445"/>
            </w:tcBorders>
            <w:shd w:val="clear" w:color="auto" w:fill="003445"/>
          </w:tcPr>
          <w:p>
            <w:pPr>
              <w:spacing w:after="0"/>
              <w:rPr>
                <w:sz w:val="12"/>
                <w:szCs w:val="12"/>
                <w:color w:val="auto"/>
              </w:rPr>
            </w:pPr>
          </w:p>
        </w:tc>
        <w:tc>
          <w:tcPr>
            <w:tcW w:w="940" w:type="dxa"/>
            <w:vAlign w:val="bottom"/>
            <w:tcBorders>
              <w:bottom w:val="single" w:sz="8" w:color="003445"/>
            </w:tcBorders>
            <w:shd w:val="clear" w:color="auto" w:fill="003445"/>
          </w:tcPr>
          <w:p>
            <w:pPr>
              <w:spacing w:after="0"/>
              <w:rPr>
                <w:sz w:val="12"/>
                <w:szCs w:val="12"/>
                <w:color w:val="auto"/>
              </w:rPr>
            </w:pPr>
          </w:p>
        </w:tc>
        <w:tc>
          <w:tcPr>
            <w:tcW w:w="220" w:type="dxa"/>
            <w:vAlign w:val="bottom"/>
            <w:tcBorders>
              <w:bottom w:val="single" w:sz="8" w:color="003445"/>
              <w:right w:val="single" w:sz="8" w:color="003445"/>
            </w:tcBorders>
            <w:shd w:val="clear" w:color="auto" w:fill="003445"/>
          </w:tcPr>
          <w:p>
            <w:pPr>
              <w:spacing w:after="0"/>
              <w:rPr>
                <w:sz w:val="12"/>
                <w:szCs w:val="12"/>
                <w:color w:val="auto"/>
              </w:rPr>
            </w:pPr>
          </w:p>
        </w:tc>
        <w:tc>
          <w:tcPr>
            <w:tcW w:w="1520" w:type="dxa"/>
            <w:vAlign w:val="bottom"/>
            <w:tcBorders>
              <w:bottom w:val="single" w:sz="8" w:color="003445"/>
              <w:right w:val="single" w:sz="8" w:color="003445"/>
            </w:tcBorders>
            <w:shd w:val="clear" w:color="auto" w:fill="003445"/>
          </w:tcPr>
          <w:p>
            <w:pPr>
              <w:spacing w:after="0"/>
              <w:rPr>
                <w:sz w:val="12"/>
                <w:szCs w:val="12"/>
                <w:color w:val="auto"/>
              </w:rPr>
            </w:pPr>
          </w:p>
        </w:tc>
        <w:tc>
          <w:tcPr>
            <w:tcW w:w="300" w:type="dxa"/>
            <w:vAlign w:val="bottom"/>
            <w:tcBorders>
              <w:bottom w:val="single" w:sz="8" w:color="003445"/>
            </w:tcBorders>
            <w:shd w:val="clear" w:color="auto" w:fill="003445"/>
          </w:tcPr>
          <w:p>
            <w:pPr>
              <w:spacing w:after="0"/>
              <w:rPr>
                <w:sz w:val="12"/>
                <w:szCs w:val="12"/>
                <w:color w:val="auto"/>
              </w:rPr>
            </w:pPr>
          </w:p>
        </w:tc>
        <w:tc>
          <w:tcPr>
            <w:tcW w:w="1200" w:type="dxa"/>
            <w:vAlign w:val="bottom"/>
            <w:tcBorders>
              <w:bottom w:val="single" w:sz="8" w:color="003445"/>
              <w:right w:val="single" w:sz="8" w:color="auto"/>
            </w:tcBorders>
            <w:shd w:val="clear" w:color="auto" w:fill="003445"/>
          </w:tcPr>
          <w:p>
            <w:pPr>
              <w:spacing w:after="0"/>
              <w:rPr>
                <w:sz w:val="12"/>
                <w:szCs w:val="12"/>
                <w:color w:val="auto"/>
              </w:rPr>
            </w:pPr>
          </w:p>
        </w:tc>
        <w:tc>
          <w:tcPr>
            <w:tcW w:w="1380" w:type="dxa"/>
            <w:vAlign w:val="bottom"/>
            <w:tcBorders>
              <w:bottom w:val="single" w:sz="8" w:color="003445"/>
              <w:right w:val="single" w:sz="8" w:color="auto"/>
            </w:tcBorders>
            <w:vMerge w:val="continue"/>
            <w:shd w:val="clear" w:color="auto" w:fill="003445"/>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800" w:type="dxa"/>
            <w:vAlign w:val="bottom"/>
            <w:tcBorders>
              <w:top w:val="single" w:sz="8" w:color="003445"/>
              <w:left w:val="single" w:sz="8" w:color="auto"/>
              <w:right w:val="single" w:sz="8" w:color="auto"/>
            </w:tcBorders>
            <w:shd w:val="clear" w:color="auto" w:fill="003445"/>
          </w:tcPr>
          <w:p>
            <w:pPr>
              <w:spacing w:after="0"/>
              <w:rPr>
                <w:sz w:val="7"/>
                <w:szCs w:val="7"/>
                <w:color w:val="auto"/>
              </w:rPr>
            </w:pPr>
          </w:p>
        </w:tc>
        <w:tc>
          <w:tcPr>
            <w:tcW w:w="1500" w:type="dxa"/>
            <w:vAlign w:val="bottom"/>
            <w:tcBorders>
              <w:top w:val="single" w:sz="8" w:color="003445"/>
              <w:right w:val="single" w:sz="8" w:color="auto"/>
            </w:tcBorders>
            <w:shd w:val="clear" w:color="auto" w:fill="003445"/>
          </w:tcPr>
          <w:p>
            <w:pPr>
              <w:jc w:val="center"/>
              <w:spacing w:after="0" w:line="85" w:lineRule="exact"/>
              <w:rPr>
                <w:sz w:val="20"/>
                <w:szCs w:val="20"/>
                <w:color w:val="auto"/>
              </w:rPr>
            </w:pPr>
            <w:r>
              <w:rPr>
                <w:rFonts w:ascii="Arial" w:cs="Arial" w:eastAsia="Arial" w:hAnsi="Arial"/>
                <w:sz w:val="9"/>
                <w:szCs w:val="9"/>
                <w:b w:val="1"/>
                <w:bCs w:val="1"/>
                <w:color w:val="FFFFFF"/>
              </w:rPr>
              <w:t>Share</w:t>
            </w:r>
          </w:p>
        </w:tc>
        <w:tc>
          <w:tcPr>
            <w:tcW w:w="1480" w:type="dxa"/>
            <w:vAlign w:val="bottom"/>
            <w:tcBorders>
              <w:top w:val="single" w:sz="8" w:color="003445"/>
            </w:tcBorders>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Ownership</w:t>
            </w:r>
          </w:p>
        </w:tc>
        <w:tc>
          <w:tcPr>
            <w:tcW w:w="360" w:type="dxa"/>
            <w:vAlign w:val="bottom"/>
            <w:tcBorders>
              <w:top w:val="single" w:sz="8" w:color="auto"/>
              <w:left w:val="single" w:sz="8" w:color="auto"/>
            </w:tcBorders>
            <w:shd w:val="clear" w:color="auto" w:fill="003445"/>
          </w:tcPr>
          <w:p>
            <w:pPr>
              <w:spacing w:after="0"/>
              <w:rPr>
                <w:sz w:val="7"/>
                <w:szCs w:val="7"/>
                <w:color w:val="auto"/>
              </w:rPr>
            </w:pPr>
          </w:p>
        </w:tc>
        <w:tc>
          <w:tcPr>
            <w:tcW w:w="940" w:type="dxa"/>
            <w:vAlign w:val="bottom"/>
            <w:tcBorders>
              <w:top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Share</w:t>
            </w:r>
          </w:p>
        </w:tc>
        <w:tc>
          <w:tcPr>
            <w:tcW w:w="220" w:type="dxa"/>
            <w:vAlign w:val="bottom"/>
            <w:tcBorders>
              <w:top w:val="single" w:sz="8" w:color="auto"/>
              <w:right w:val="single" w:sz="8" w:color="auto"/>
            </w:tcBorders>
            <w:shd w:val="clear" w:color="auto" w:fill="003445"/>
          </w:tcPr>
          <w:p>
            <w:pPr>
              <w:spacing w:after="0"/>
              <w:rPr>
                <w:sz w:val="7"/>
                <w:szCs w:val="7"/>
                <w:color w:val="auto"/>
              </w:rPr>
            </w:pPr>
          </w:p>
        </w:tc>
        <w:tc>
          <w:tcPr>
            <w:tcW w:w="1520" w:type="dxa"/>
            <w:vAlign w:val="bottom"/>
            <w:tcBorders>
              <w:top w:val="single" w:sz="8" w:color="auto"/>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w w:val="99"/>
              </w:rPr>
              <w:t>ASTL</w:t>
            </w:r>
          </w:p>
        </w:tc>
        <w:tc>
          <w:tcPr>
            <w:tcW w:w="300" w:type="dxa"/>
            <w:vAlign w:val="bottom"/>
            <w:tcBorders>
              <w:top w:val="single" w:sz="8" w:color="auto"/>
            </w:tcBorders>
            <w:shd w:val="clear" w:color="auto" w:fill="003445"/>
          </w:tcPr>
          <w:p>
            <w:pPr>
              <w:spacing w:after="0"/>
              <w:rPr>
                <w:sz w:val="7"/>
                <w:szCs w:val="7"/>
                <w:color w:val="auto"/>
              </w:rPr>
            </w:pPr>
          </w:p>
        </w:tc>
        <w:tc>
          <w:tcPr>
            <w:tcW w:w="1200" w:type="dxa"/>
            <w:vAlign w:val="bottom"/>
            <w:tcBorders>
              <w:top w:val="single" w:sz="8" w:color="auto"/>
              <w:right w:val="single" w:sz="8" w:color="auto"/>
            </w:tcBorders>
            <w:shd w:val="clear" w:color="auto" w:fill="003445"/>
          </w:tcPr>
          <w:p>
            <w:pPr>
              <w:spacing w:after="0"/>
              <w:rPr>
                <w:sz w:val="7"/>
                <w:szCs w:val="7"/>
                <w:color w:val="auto"/>
              </w:rPr>
            </w:pPr>
          </w:p>
        </w:tc>
        <w:tc>
          <w:tcPr>
            <w:tcW w:w="1380" w:type="dxa"/>
            <w:vAlign w:val="bottom"/>
            <w:tcBorders>
              <w:top w:val="single" w:sz="8" w:color="003445"/>
              <w:right w:val="single" w:sz="8" w:color="auto"/>
            </w:tcBorders>
            <w:shd w:val="clear" w:color="auto" w:fill="003445"/>
          </w:tcPr>
          <w:p>
            <w:pPr>
              <w:jc w:val="center"/>
              <w:spacing w:after="0" w:line="85" w:lineRule="exact"/>
              <w:rPr>
                <w:sz w:val="20"/>
                <w:szCs w:val="20"/>
                <w:color w:val="auto"/>
              </w:rPr>
            </w:pPr>
            <w:r>
              <w:rPr>
                <w:rFonts w:ascii="Arial" w:cs="Arial" w:eastAsia="Arial" w:hAnsi="Arial"/>
                <w:sz w:val="9"/>
                <w:szCs w:val="9"/>
                <w:b w:val="1"/>
                <w:bCs w:val="1"/>
                <w:color w:val="FFFFFF"/>
              </w:rPr>
              <w:t>Equity</w:t>
            </w:r>
          </w:p>
        </w:tc>
        <w:tc>
          <w:tcPr>
            <w:tcW w:w="0" w:type="dxa"/>
            <w:vAlign w:val="bottom"/>
          </w:tcPr>
          <w:p>
            <w:pPr>
              <w:spacing w:after="0"/>
              <w:rPr>
                <w:sz w:val="1"/>
                <w:szCs w:val="1"/>
                <w:color w:val="auto"/>
              </w:rPr>
            </w:pPr>
          </w:p>
        </w:tc>
      </w:tr>
      <w:tr>
        <w:trPr>
          <w:trHeight w:val="112"/>
        </w:trPr>
        <w:tc>
          <w:tcPr>
            <w:tcW w:w="1800" w:type="dxa"/>
            <w:vAlign w:val="bottom"/>
            <w:tcBorders>
              <w:left w:val="single" w:sz="8" w:color="auto"/>
              <w:right w:val="single" w:sz="8" w:color="auto"/>
            </w:tcBorders>
            <w:vMerge w:val="restart"/>
            <w:shd w:val="clear" w:color="auto" w:fill="003445"/>
          </w:tcPr>
          <w:p>
            <w:pPr>
              <w:ind w:left="720"/>
              <w:spacing w:after="0"/>
              <w:rPr>
                <w:sz w:val="20"/>
                <w:szCs w:val="20"/>
                <w:color w:val="auto"/>
              </w:rPr>
            </w:pPr>
            <w:r>
              <w:rPr>
                <w:rFonts w:ascii="Arial" w:cs="Arial" w:eastAsia="Arial" w:hAnsi="Arial"/>
                <w:sz w:val="17"/>
                <w:szCs w:val="17"/>
                <w:b w:val="1"/>
                <w:bCs w:val="1"/>
                <w:color w:val="FFFFFF"/>
              </w:rPr>
              <w:t>Name</w:t>
            </w:r>
          </w:p>
        </w:tc>
        <w:tc>
          <w:tcPr>
            <w:tcW w:w="15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Ownership</w:t>
            </w:r>
          </w:p>
        </w:tc>
        <w:tc>
          <w:tcPr>
            <w:tcW w:w="1480" w:type="dxa"/>
            <w:vAlign w:val="bottom"/>
            <w:vMerge w:val="continue"/>
            <w:shd w:val="clear" w:color="auto" w:fill="003445"/>
          </w:tcPr>
          <w:p>
            <w:pPr>
              <w:spacing w:after="0"/>
              <w:rPr>
                <w:sz w:val="9"/>
                <w:szCs w:val="9"/>
                <w:color w:val="auto"/>
              </w:rPr>
            </w:pPr>
          </w:p>
        </w:tc>
        <w:tc>
          <w:tcPr>
            <w:tcW w:w="360" w:type="dxa"/>
            <w:vAlign w:val="bottom"/>
            <w:tcBorders>
              <w:left w:val="single" w:sz="8" w:color="auto"/>
            </w:tcBorders>
            <w:shd w:val="clear" w:color="auto" w:fill="003445"/>
          </w:tcPr>
          <w:p>
            <w:pPr>
              <w:spacing w:after="0"/>
              <w:rPr>
                <w:sz w:val="9"/>
                <w:szCs w:val="9"/>
                <w:color w:val="auto"/>
              </w:rPr>
            </w:pPr>
          </w:p>
        </w:tc>
        <w:tc>
          <w:tcPr>
            <w:tcW w:w="940" w:type="dxa"/>
            <w:vAlign w:val="bottom"/>
            <w:vMerge w:val="continue"/>
            <w:shd w:val="clear" w:color="auto" w:fill="003445"/>
          </w:tcPr>
          <w:p>
            <w:pPr>
              <w:spacing w:after="0"/>
              <w:rPr>
                <w:sz w:val="9"/>
                <w:szCs w:val="9"/>
                <w:color w:val="auto"/>
              </w:rPr>
            </w:pPr>
          </w:p>
        </w:tc>
        <w:tc>
          <w:tcPr>
            <w:tcW w:w="220" w:type="dxa"/>
            <w:vAlign w:val="bottom"/>
            <w:tcBorders>
              <w:right w:val="single" w:sz="8" w:color="auto"/>
            </w:tcBorders>
            <w:shd w:val="clear" w:color="auto" w:fill="003445"/>
          </w:tcPr>
          <w:p>
            <w:pPr>
              <w:spacing w:after="0"/>
              <w:rPr>
                <w:sz w:val="9"/>
                <w:szCs w:val="9"/>
                <w:color w:val="auto"/>
              </w:rPr>
            </w:pP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300" w:type="dxa"/>
            <w:vAlign w:val="bottom"/>
            <w:shd w:val="clear" w:color="auto" w:fill="003445"/>
          </w:tcPr>
          <w:p>
            <w:pPr>
              <w:spacing w:after="0"/>
              <w:rPr>
                <w:sz w:val="9"/>
                <w:szCs w:val="9"/>
                <w:color w:val="auto"/>
              </w:rPr>
            </w:pPr>
          </w:p>
        </w:tc>
        <w:tc>
          <w:tcPr>
            <w:tcW w:w="1200" w:type="dxa"/>
            <w:vAlign w:val="bottom"/>
            <w:tcBorders>
              <w:right w:val="single" w:sz="8" w:color="auto"/>
            </w:tcBorders>
            <w:vMerge w:val="restart"/>
            <w:shd w:val="clear" w:color="auto" w:fill="003445"/>
          </w:tcPr>
          <w:p>
            <w:pPr>
              <w:jc w:val="center"/>
              <w:ind w:right="153"/>
              <w:spacing w:after="0"/>
              <w:rPr>
                <w:sz w:val="20"/>
                <w:szCs w:val="20"/>
                <w:color w:val="auto"/>
              </w:rPr>
            </w:pPr>
            <w:r>
              <w:rPr>
                <w:rFonts w:ascii="Arial" w:cs="Arial" w:eastAsia="Arial" w:hAnsi="Arial"/>
                <w:sz w:val="17"/>
                <w:szCs w:val="17"/>
                <w:b w:val="1"/>
                <w:bCs w:val="1"/>
                <w:color w:val="FFFFFF"/>
                <w:w w:val="98"/>
              </w:rPr>
              <w:t>Total</w:t>
            </w:r>
          </w:p>
        </w:tc>
        <w:tc>
          <w:tcPr>
            <w:tcW w:w="138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Ownership,</w:t>
            </w:r>
          </w:p>
        </w:tc>
        <w:tc>
          <w:tcPr>
            <w:tcW w:w="0" w:type="dxa"/>
            <w:vAlign w:val="bottom"/>
          </w:tcPr>
          <w:p>
            <w:pPr>
              <w:spacing w:after="0"/>
              <w:rPr>
                <w:sz w:val="1"/>
                <w:szCs w:val="1"/>
                <w:color w:val="auto"/>
              </w:rPr>
            </w:pPr>
          </w:p>
        </w:tc>
      </w:tr>
      <w:tr>
        <w:trPr>
          <w:trHeight w:val="111"/>
        </w:trPr>
        <w:tc>
          <w:tcPr>
            <w:tcW w:w="1800" w:type="dxa"/>
            <w:vAlign w:val="bottom"/>
            <w:tcBorders>
              <w:left w:val="single" w:sz="8" w:color="auto"/>
              <w:right w:val="single" w:sz="8" w:color="auto"/>
            </w:tcBorders>
            <w:vMerge w:val="continue"/>
            <w:shd w:val="clear" w:color="auto" w:fill="003445"/>
          </w:tcPr>
          <w:p>
            <w:pPr>
              <w:spacing w:after="0"/>
              <w:rPr>
                <w:sz w:val="9"/>
                <w:szCs w:val="9"/>
                <w:color w:val="auto"/>
              </w:rPr>
            </w:pPr>
          </w:p>
        </w:tc>
        <w:tc>
          <w:tcPr>
            <w:tcW w:w="1500" w:type="dxa"/>
            <w:vAlign w:val="bottom"/>
            <w:tcBorders>
              <w:right w:val="single" w:sz="8" w:color="auto"/>
            </w:tcBorders>
            <w:vMerge w:val="continue"/>
            <w:shd w:val="clear" w:color="auto" w:fill="003445"/>
          </w:tcPr>
          <w:p>
            <w:pPr>
              <w:spacing w:after="0"/>
              <w:rPr>
                <w:sz w:val="9"/>
                <w:szCs w:val="9"/>
                <w:color w:val="auto"/>
              </w:rPr>
            </w:pPr>
          </w:p>
        </w:tc>
        <w:tc>
          <w:tcPr>
            <w:tcW w:w="1480" w:type="dxa"/>
            <w:vAlign w:val="bottom"/>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Requirement</w:t>
            </w:r>
          </w:p>
        </w:tc>
        <w:tc>
          <w:tcPr>
            <w:tcW w:w="360" w:type="dxa"/>
            <w:vAlign w:val="bottom"/>
            <w:tcBorders>
              <w:left w:val="single" w:sz="8" w:color="auto"/>
            </w:tcBorders>
            <w:shd w:val="clear" w:color="auto" w:fill="003445"/>
          </w:tcPr>
          <w:p>
            <w:pPr>
              <w:spacing w:after="0"/>
              <w:rPr>
                <w:sz w:val="9"/>
                <w:szCs w:val="9"/>
                <w:color w:val="auto"/>
              </w:rPr>
            </w:pPr>
          </w:p>
        </w:tc>
        <w:tc>
          <w:tcPr>
            <w:tcW w:w="940" w:type="dxa"/>
            <w:vAlign w:val="bottom"/>
            <w:vMerge w:val="continue"/>
            <w:shd w:val="clear" w:color="auto" w:fill="003445"/>
          </w:tcPr>
          <w:p>
            <w:pPr>
              <w:spacing w:after="0"/>
              <w:rPr>
                <w:sz w:val="9"/>
                <w:szCs w:val="9"/>
                <w:color w:val="auto"/>
              </w:rPr>
            </w:pPr>
          </w:p>
        </w:tc>
        <w:tc>
          <w:tcPr>
            <w:tcW w:w="220" w:type="dxa"/>
            <w:vAlign w:val="bottom"/>
            <w:tcBorders>
              <w:right w:val="single" w:sz="8" w:color="auto"/>
            </w:tcBorders>
            <w:shd w:val="clear" w:color="auto" w:fill="003445"/>
          </w:tcPr>
          <w:p>
            <w:pPr>
              <w:spacing w:after="0"/>
              <w:rPr>
                <w:sz w:val="9"/>
                <w:szCs w:val="9"/>
                <w:color w:val="auto"/>
              </w:rPr>
            </w:pP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300" w:type="dxa"/>
            <w:vAlign w:val="bottom"/>
            <w:shd w:val="clear" w:color="auto" w:fill="003445"/>
          </w:tcPr>
          <w:p>
            <w:pPr>
              <w:spacing w:after="0"/>
              <w:rPr>
                <w:sz w:val="9"/>
                <w:szCs w:val="9"/>
                <w:color w:val="auto"/>
              </w:rPr>
            </w:pPr>
          </w:p>
        </w:tc>
        <w:tc>
          <w:tcPr>
            <w:tcW w:w="1200" w:type="dxa"/>
            <w:vAlign w:val="bottom"/>
            <w:tcBorders>
              <w:right w:val="single" w:sz="8" w:color="auto"/>
            </w:tcBorders>
            <w:vMerge w:val="continue"/>
            <w:shd w:val="clear" w:color="auto" w:fill="003445"/>
          </w:tcPr>
          <w:p>
            <w:pPr>
              <w:spacing w:after="0"/>
              <w:rPr>
                <w:sz w:val="9"/>
                <w:szCs w:val="9"/>
                <w:color w:val="auto"/>
              </w:rPr>
            </w:pPr>
          </w:p>
        </w:tc>
        <w:tc>
          <w:tcPr>
            <w:tcW w:w="138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800" w:type="dxa"/>
            <w:vAlign w:val="bottom"/>
            <w:tcBorders>
              <w:left w:val="single" w:sz="8" w:color="auto"/>
              <w:right w:val="single" w:sz="8" w:color="auto"/>
            </w:tcBorders>
            <w:shd w:val="clear" w:color="auto" w:fill="003445"/>
          </w:tcPr>
          <w:p>
            <w:pPr>
              <w:spacing w:after="0"/>
              <w:rPr>
                <w:sz w:val="7"/>
                <w:szCs w:val="7"/>
                <w:color w:val="auto"/>
              </w:rPr>
            </w:pPr>
          </w:p>
        </w:tc>
        <w:tc>
          <w:tcPr>
            <w:tcW w:w="15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Guideline</w:t>
            </w:r>
          </w:p>
        </w:tc>
        <w:tc>
          <w:tcPr>
            <w:tcW w:w="1480" w:type="dxa"/>
            <w:vAlign w:val="bottom"/>
            <w:vMerge w:val="continue"/>
            <w:shd w:val="clear" w:color="auto" w:fill="003445"/>
          </w:tcPr>
          <w:p>
            <w:pPr>
              <w:spacing w:after="0"/>
              <w:rPr>
                <w:sz w:val="7"/>
                <w:szCs w:val="7"/>
                <w:color w:val="auto"/>
              </w:rPr>
            </w:pPr>
          </w:p>
        </w:tc>
        <w:tc>
          <w:tcPr>
            <w:tcW w:w="360" w:type="dxa"/>
            <w:vAlign w:val="bottom"/>
            <w:tcBorders>
              <w:left w:val="single" w:sz="8" w:color="auto"/>
            </w:tcBorders>
            <w:shd w:val="clear" w:color="auto" w:fill="003445"/>
          </w:tcPr>
          <w:p>
            <w:pPr>
              <w:spacing w:after="0"/>
              <w:rPr>
                <w:sz w:val="7"/>
                <w:szCs w:val="7"/>
                <w:color w:val="auto"/>
              </w:rPr>
            </w:pPr>
          </w:p>
        </w:tc>
        <w:tc>
          <w:tcPr>
            <w:tcW w:w="940" w:type="dxa"/>
            <w:vAlign w:val="bottom"/>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Units ($)</w:t>
            </w:r>
          </w:p>
        </w:tc>
        <w:tc>
          <w:tcPr>
            <w:tcW w:w="220" w:type="dxa"/>
            <w:vAlign w:val="bottom"/>
            <w:tcBorders>
              <w:right w:val="single" w:sz="8" w:color="auto"/>
            </w:tcBorders>
            <w:shd w:val="clear" w:color="auto" w:fill="003445"/>
          </w:tcPr>
          <w:p>
            <w:pPr>
              <w:spacing w:after="0"/>
              <w:rPr>
                <w:sz w:val="7"/>
                <w:szCs w:val="7"/>
                <w:color w:val="auto"/>
              </w:rPr>
            </w:pPr>
          </w:p>
        </w:tc>
        <w:tc>
          <w:tcPr>
            <w:tcW w:w="15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Shares ($)</w:t>
            </w:r>
          </w:p>
        </w:tc>
        <w:tc>
          <w:tcPr>
            <w:tcW w:w="300" w:type="dxa"/>
            <w:vAlign w:val="bottom"/>
            <w:shd w:val="clear" w:color="auto" w:fill="003445"/>
          </w:tcPr>
          <w:p>
            <w:pPr>
              <w:spacing w:after="0"/>
              <w:rPr>
                <w:sz w:val="7"/>
                <w:szCs w:val="7"/>
                <w:color w:val="auto"/>
              </w:rPr>
            </w:pPr>
          </w:p>
        </w:tc>
        <w:tc>
          <w:tcPr>
            <w:tcW w:w="1200" w:type="dxa"/>
            <w:vAlign w:val="bottom"/>
            <w:tcBorders>
              <w:right w:val="single" w:sz="8" w:color="auto"/>
            </w:tcBorders>
            <w:vMerge w:val="restart"/>
            <w:shd w:val="clear" w:color="auto" w:fill="003445"/>
          </w:tcPr>
          <w:p>
            <w:pPr>
              <w:jc w:val="center"/>
              <w:ind w:right="133"/>
              <w:spacing w:after="0"/>
              <w:rPr>
                <w:sz w:val="20"/>
                <w:szCs w:val="20"/>
                <w:color w:val="auto"/>
              </w:rPr>
            </w:pPr>
            <w:r>
              <w:rPr>
                <w:rFonts w:ascii="Arial" w:cs="Arial" w:eastAsia="Arial" w:hAnsi="Arial"/>
                <w:sz w:val="17"/>
                <w:szCs w:val="17"/>
                <w:b w:val="1"/>
                <w:bCs w:val="1"/>
                <w:color w:val="FFFFFF"/>
              </w:rPr>
              <w:t>(a)+(b)</w:t>
            </w:r>
          </w:p>
        </w:tc>
        <w:tc>
          <w:tcPr>
            <w:tcW w:w="138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Relative to</w:t>
            </w:r>
          </w:p>
        </w:tc>
        <w:tc>
          <w:tcPr>
            <w:tcW w:w="0" w:type="dxa"/>
            <w:vAlign w:val="bottom"/>
          </w:tcPr>
          <w:p>
            <w:pPr>
              <w:spacing w:after="0"/>
              <w:rPr>
                <w:sz w:val="1"/>
                <w:szCs w:val="1"/>
                <w:color w:val="auto"/>
              </w:rPr>
            </w:pPr>
          </w:p>
        </w:tc>
      </w:tr>
      <w:tr>
        <w:trPr>
          <w:trHeight w:val="111"/>
        </w:trPr>
        <w:tc>
          <w:tcPr>
            <w:tcW w:w="1800" w:type="dxa"/>
            <w:vAlign w:val="bottom"/>
            <w:tcBorders>
              <w:left w:val="single" w:sz="8" w:color="auto"/>
              <w:right w:val="single" w:sz="8" w:color="auto"/>
            </w:tcBorders>
            <w:shd w:val="clear" w:color="auto" w:fill="003445"/>
          </w:tcPr>
          <w:p>
            <w:pPr>
              <w:spacing w:after="0"/>
              <w:rPr>
                <w:sz w:val="9"/>
                <w:szCs w:val="9"/>
                <w:color w:val="auto"/>
              </w:rPr>
            </w:pPr>
          </w:p>
        </w:tc>
        <w:tc>
          <w:tcPr>
            <w:tcW w:w="1500" w:type="dxa"/>
            <w:vAlign w:val="bottom"/>
            <w:tcBorders>
              <w:right w:val="single" w:sz="8" w:color="auto"/>
            </w:tcBorders>
            <w:vMerge w:val="continue"/>
            <w:shd w:val="clear" w:color="auto" w:fill="003445"/>
          </w:tcPr>
          <w:p>
            <w:pPr>
              <w:spacing w:after="0"/>
              <w:rPr>
                <w:sz w:val="9"/>
                <w:szCs w:val="9"/>
                <w:color w:val="auto"/>
              </w:rPr>
            </w:pPr>
          </w:p>
        </w:tc>
        <w:tc>
          <w:tcPr>
            <w:tcW w:w="1480" w:type="dxa"/>
            <w:vAlign w:val="bottom"/>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w:t>
            </w:r>
          </w:p>
        </w:tc>
        <w:tc>
          <w:tcPr>
            <w:tcW w:w="360" w:type="dxa"/>
            <w:vAlign w:val="bottom"/>
            <w:tcBorders>
              <w:left w:val="single" w:sz="8" w:color="auto"/>
            </w:tcBorders>
            <w:shd w:val="clear" w:color="auto" w:fill="003445"/>
          </w:tcPr>
          <w:p>
            <w:pPr>
              <w:spacing w:after="0"/>
              <w:rPr>
                <w:sz w:val="9"/>
                <w:szCs w:val="9"/>
                <w:color w:val="auto"/>
              </w:rPr>
            </w:pPr>
          </w:p>
        </w:tc>
        <w:tc>
          <w:tcPr>
            <w:tcW w:w="940" w:type="dxa"/>
            <w:vAlign w:val="bottom"/>
            <w:vMerge w:val="continue"/>
            <w:shd w:val="clear" w:color="auto" w:fill="003445"/>
          </w:tcPr>
          <w:p>
            <w:pPr>
              <w:spacing w:after="0"/>
              <w:rPr>
                <w:sz w:val="9"/>
                <w:szCs w:val="9"/>
                <w:color w:val="auto"/>
              </w:rPr>
            </w:pPr>
          </w:p>
        </w:tc>
        <w:tc>
          <w:tcPr>
            <w:tcW w:w="220" w:type="dxa"/>
            <w:vAlign w:val="bottom"/>
            <w:tcBorders>
              <w:right w:val="single" w:sz="8" w:color="auto"/>
            </w:tcBorders>
            <w:shd w:val="clear" w:color="auto" w:fill="003445"/>
          </w:tcPr>
          <w:p>
            <w:pPr>
              <w:spacing w:after="0"/>
              <w:rPr>
                <w:sz w:val="9"/>
                <w:szCs w:val="9"/>
                <w:color w:val="auto"/>
              </w:rPr>
            </w:pP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300" w:type="dxa"/>
            <w:vAlign w:val="bottom"/>
            <w:shd w:val="clear" w:color="auto" w:fill="003445"/>
          </w:tcPr>
          <w:p>
            <w:pPr>
              <w:spacing w:after="0"/>
              <w:rPr>
                <w:sz w:val="9"/>
                <w:szCs w:val="9"/>
                <w:color w:val="auto"/>
              </w:rPr>
            </w:pPr>
          </w:p>
        </w:tc>
        <w:tc>
          <w:tcPr>
            <w:tcW w:w="1200" w:type="dxa"/>
            <w:vAlign w:val="bottom"/>
            <w:tcBorders>
              <w:right w:val="single" w:sz="8" w:color="auto"/>
            </w:tcBorders>
            <w:vMerge w:val="continue"/>
            <w:shd w:val="clear" w:color="auto" w:fill="003445"/>
          </w:tcPr>
          <w:p>
            <w:pPr>
              <w:spacing w:after="0"/>
              <w:rPr>
                <w:sz w:val="9"/>
                <w:szCs w:val="9"/>
                <w:color w:val="auto"/>
              </w:rPr>
            </w:pPr>
          </w:p>
        </w:tc>
        <w:tc>
          <w:tcPr>
            <w:tcW w:w="138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800" w:type="dxa"/>
            <w:vAlign w:val="bottom"/>
            <w:tcBorders>
              <w:left w:val="single" w:sz="8" w:color="auto"/>
              <w:right w:val="single" w:sz="8" w:color="auto"/>
            </w:tcBorders>
            <w:shd w:val="clear" w:color="auto" w:fill="003445"/>
          </w:tcPr>
          <w:p>
            <w:pPr>
              <w:spacing w:after="0"/>
              <w:rPr>
                <w:sz w:val="20"/>
                <w:szCs w:val="20"/>
                <w:color w:val="auto"/>
              </w:rPr>
            </w:pPr>
          </w:p>
        </w:tc>
        <w:tc>
          <w:tcPr>
            <w:tcW w:w="1500" w:type="dxa"/>
            <w:vAlign w:val="bottom"/>
            <w:tcBorders>
              <w:right w:val="single" w:sz="8" w:color="auto"/>
            </w:tcBorders>
            <w:shd w:val="clear" w:color="auto" w:fill="003445"/>
          </w:tcPr>
          <w:p>
            <w:pPr>
              <w:spacing w:after="0"/>
              <w:rPr>
                <w:sz w:val="20"/>
                <w:szCs w:val="20"/>
                <w:color w:val="auto"/>
              </w:rPr>
            </w:pPr>
          </w:p>
        </w:tc>
        <w:tc>
          <w:tcPr>
            <w:tcW w:w="1480" w:type="dxa"/>
            <w:vAlign w:val="bottom"/>
            <w:vMerge w:val="continue"/>
            <w:shd w:val="clear" w:color="auto" w:fill="003445"/>
          </w:tcPr>
          <w:p>
            <w:pPr>
              <w:spacing w:after="0"/>
              <w:rPr>
                <w:sz w:val="20"/>
                <w:szCs w:val="20"/>
                <w:color w:val="auto"/>
              </w:rPr>
            </w:pPr>
          </w:p>
        </w:tc>
        <w:tc>
          <w:tcPr>
            <w:tcW w:w="360" w:type="dxa"/>
            <w:vAlign w:val="bottom"/>
            <w:tcBorders>
              <w:left w:val="single" w:sz="8" w:color="auto"/>
            </w:tcBorders>
            <w:shd w:val="clear" w:color="auto" w:fill="003445"/>
          </w:tcPr>
          <w:p>
            <w:pPr>
              <w:spacing w:after="0"/>
              <w:rPr>
                <w:sz w:val="20"/>
                <w:szCs w:val="20"/>
                <w:color w:val="auto"/>
              </w:rPr>
            </w:pPr>
          </w:p>
        </w:tc>
        <w:tc>
          <w:tcPr>
            <w:tcW w:w="940" w:type="dxa"/>
            <w:vAlign w:val="bottom"/>
            <w:shd w:val="clear" w:color="auto" w:fill="003445"/>
          </w:tcPr>
          <w:p>
            <w:pPr>
              <w:jc w:val="center"/>
              <w:spacing w:after="0"/>
              <w:rPr>
                <w:sz w:val="20"/>
                <w:szCs w:val="20"/>
                <w:color w:val="auto"/>
              </w:rPr>
            </w:pPr>
            <w:r>
              <w:rPr>
                <w:rFonts w:ascii="Arial" w:cs="Arial" w:eastAsia="Arial" w:hAnsi="Arial"/>
                <w:sz w:val="17"/>
                <w:szCs w:val="17"/>
                <w:b w:val="1"/>
                <w:bCs w:val="1"/>
                <w:color w:val="FFFFFF"/>
              </w:rPr>
              <w:t>(a)</w:t>
            </w:r>
          </w:p>
        </w:tc>
        <w:tc>
          <w:tcPr>
            <w:tcW w:w="220" w:type="dxa"/>
            <w:vAlign w:val="bottom"/>
            <w:tcBorders>
              <w:right w:val="single" w:sz="8" w:color="auto"/>
            </w:tcBorders>
            <w:shd w:val="clear" w:color="auto" w:fill="003445"/>
          </w:tcPr>
          <w:p>
            <w:pPr>
              <w:spacing w:after="0"/>
              <w:rPr>
                <w:sz w:val="20"/>
                <w:szCs w:val="20"/>
                <w:color w:val="auto"/>
              </w:rPr>
            </w:pPr>
          </w:p>
        </w:tc>
        <w:tc>
          <w:tcPr>
            <w:tcW w:w="152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(b)</w:t>
            </w:r>
          </w:p>
        </w:tc>
        <w:tc>
          <w:tcPr>
            <w:tcW w:w="300" w:type="dxa"/>
            <w:vAlign w:val="bottom"/>
            <w:shd w:val="clear" w:color="auto" w:fill="003445"/>
          </w:tcPr>
          <w:p>
            <w:pPr>
              <w:spacing w:after="0"/>
              <w:rPr>
                <w:sz w:val="20"/>
                <w:szCs w:val="20"/>
                <w:color w:val="auto"/>
              </w:rPr>
            </w:pPr>
          </w:p>
        </w:tc>
        <w:tc>
          <w:tcPr>
            <w:tcW w:w="1200" w:type="dxa"/>
            <w:vAlign w:val="bottom"/>
            <w:tcBorders>
              <w:right w:val="single" w:sz="8" w:color="auto"/>
            </w:tcBorders>
            <w:shd w:val="clear" w:color="auto" w:fill="003445"/>
          </w:tcPr>
          <w:p>
            <w:pPr>
              <w:spacing w:after="0"/>
              <w:rPr>
                <w:sz w:val="20"/>
                <w:szCs w:val="20"/>
                <w:color w:val="auto"/>
              </w:rPr>
            </w:pPr>
          </w:p>
        </w:tc>
        <w:tc>
          <w:tcPr>
            <w:tcW w:w="138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Requirement</w:t>
            </w:r>
          </w:p>
        </w:tc>
        <w:tc>
          <w:tcPr>
            <w:tcW w:w="0" w:type="dxa"/>
            <w:vAlign w:val="bottom"/>
          </w:tcPr>
          <w:p>
            <w:pPr>
              <w:spacing w:after="0"/>
              <w:rPr>
                <w:sz w:val="1"/>
                <w:szCs w:val="1"/>
                <w:color w:val="auto"/>
              </w:rPr>
            </w:pPr>
          </w:p>
        </w:tc>
      </w:tr>
      <w:tr>
        <w:trPr>
          <w:trHeight w:val="114"/>
        </w:trPr>
        <w:tc>
          <w:tcPr>
            <w:tcW w:w="1800" w:type="dxa"/>
            <w:vAlign w:val="bottom"/>
            <w:tcBorders>
              <w:left w:val="single" w:sz="8" w:color="auto"/>
              <w:bottom w:val="single" w:sz="8" w:color="auto"/>
              <w:right w:val="single" w:sz="8" w:color="auto"/>
            </w:tcBorders>
            <w:shd w:val="clear" w:color="auto" w:fill="003445"/>
          </w:tcPr>
          <w:p>
            <w:pPr>
              <w:spacing w:after="0"/>
              <w:rPr>
                <w:sz w:val="9"/>
                <w:szCs w:val="9"/>
                <w:color w:val="auto"/>
              </w:rPr>
            </w:pPr>
          </w:p>
        </w:tc>
        <w:tc>
          <w:tcPr>
            <w:tcW w:w="1500" w:type="dxa"/>
            <w:vAlign w:val="bottom"/>
            <w:tcBorders>
              <w:bottom w:val="single" w:sz="8" w:color="auto"/>
              <w:right w:val="single" w:sz="8" w:color="auto"/>
            </w:tcBorders>
            <w:shd w:val="clear" w:color="auto" w:fill="003445"/>
          </w:tcPr>
          <w:p>
            <w:pPr>
              <w:spacing w:after="0"/>
              <w:rPr>
                <w:sz w:val="9"/>
                <w:szCs w:val="9"/>
                <w:color w:val="auto"/>
              </w:rPr>
            </w:pPr>
          </w:p>
        </w:tc>
        <w:tc>
          <w:tcPr>
            <w:tcW w:w="1480" w:type="dxa"/>
            <w:vAlign w:val="bottom"/>
            <w:tcBorders>
              <w:bottom w:val="single" w:sz="8" w:color="auto"/>
            </w:tcBorders>
            <w:shd w:val="clear" w:color="auto" w:fill="003445"/>
          </w:tcPr>
          <w:p>
            <w:pPr>
              <w:spacing w:after="0"/>
              <w:rPr>
                <w:sz w:val="9"/>
                <w:szCs w:val="9"/>
                <w:color w:val="auto"/>
              </w:rPr>
            </w:pPr>
          </w:p>
        </w:tc>
        <w:tc>
          <w:tcPr>
            <w:tcW w:w="360" w:type="dxa"/>
            <w:vAlign w:val="bottom"/>
            <w:tcBorders>
              <w:left w:val="single" w:sz="8" w:color="auto"/>
              <w:bottom w:val="single" w:sz="8" w:color="auto"/>
            </w:tcBorders>
            <w:shd w:val="clear" w:color="auto" w:fill="003445"/>
          </w:tcPr>
          <w:p>
            <w:pPr>
              <w:spacing w:after="0"/>
              <w:rPr>
                <w:sz w:val="9"/>
                <w:szCs w:val="9"/>
                <w:color w:val="auto"/>
              </w:rPr>
            </w:pPr>
          </w:p>
        </w:tc>
        <w:tc>
          <w:tcPr>
            <w:tcW w:w="940" w:type="dxa"/>
            <w:vAlign w:val="bottom"/>
            <w:tcBorders>
              <w:bottom w:val="single" w:sz="8" w:color="auto"/>
            </w:tcBorders>
            <w:shd w:val="clear" w:color="auto" w:fill="003445"/>
          </w:tcPr>
          <w:p>
            <w:pPr>
              <w:spacing w:after="0"/>
              <w:rPr>
                <w:sz w:val="9"/>
                <w:szCs w:val="9"/>
                <w:color w:val="auto"/>
              </w:rPr>
            </w:pPr>
          </w:p>
        </w:tc>
        <w:tc>
          <w:tcPr>
            <w:tcW w:w="220" w:type="dxa"/>
            <w:vAlign w:val="bottom"/>
            <w:tcBorders>
              <w:bottom w:val="single" w:sz="8" w:color="auto"/>
              <w:right w:val="single" w:sz="8" w:color="auto"/>
            </w:tcBorders>
            <w:shd w:val="clear" w:color="auto" w:fill="003445"/>
          </w:tcPr>
          <w:p>
            <w:pPr>
              <w:spacing w:after="0"/>
              <w:rPr>
                <w:sz w:val="9"/>
                <w:szCs w:val="9"/>
                <w:color w:val="auto"/>
              </w:rPr>
            </w:pPr>
          </w:p>
        </w:tc>
        <w:tc>
          <w:tcPr>
            <w:tcW w:w="1520" w:type="dxa"/>
            <w:vAlign w:val="bottom"/>
            <w:tcBorders>
              <w:bottom w:val="single" w:sz="8" w:color="auto"/>
              <w:right w:val="single" w:sz="8" w:color="auto"/>
            </w:tcBorders>
            <w:shd w:val="clear" w:color="auto" w:fill="003445"/>
          </w:tcPr>
          <w:p>
            <w:pPr>
              <w:spacing w:after="0"/>
              <w:rPr>
                <w:sz w:val="9"/>
                <w:szCs w:val="9"/>
                <w:color w:val="auto"/>
              </w:rPr>
            </w:pPr>
          </w:p>
        </w:tc>
        <w:tc>
          <w:tcPr>
            <w:tcW w:w="300" w:type="dxa"/>
            <w:vAlign w:val="bottom"/>
            <w:tcBorders>
              <w:bottom w:val="single" w:sz="8" w:color="auto"/>
            </w:tcBorders>
            <w:shd w:val="clear" w:color="auto" w:fill="003445"/>
          </w:tcPr>
          <w:p>
            <w:pPr>
              <w:spacing w:after="0"/>
              <w:rPr>
                <w:sz w:val="9"/>
                <w:szCs w:val="9"/>
                <w:color w:val="auto"/>
              </w:rPr>
            </w:pPr>
          </w:p>
        </w:tc>
        <w:tc>
          <w:tcPr>
            <w:tcW w:w="1200" w:type="dxa"/>
            <w:vAlign w:val="bottom"/>
            <w:tcBorders>
              <w:bottom w:val="single" w:sz="8" w:color="auto"/>
              <w:right w:val="single" w:sz="8" w:color="auto"/>
            </w:tcBorders>
            <w:shd w:val="clear" w:color="auto" w:fill="003445"/>
          </w:tcPr>
          <w:p>
            <w:pPr>
              <w:spacing w:after="0"/>
              <w:rPr>
                <w:sz w:val="9"/>
                <w:szCs w:val="9"/>
                <w:color w:val="auto"/>
              </w:rPr>
            </w:pPr>
          </w:p>
        </w:tc>
        <w:tc>
          <w:tcPr>
            <w:tcW w:w="1380" w:type="dxa"/>
            <w:vAlign w:val="bottom"/>
            <w:tcBorders>
              <w:bottom w:val="single" w:sz="8" w:color="auto"/>
              <w:right w:val="single" w:sz="8" w:color="auto"/>
            </w:tcBorders>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Michael Garcia</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5X</w:t>
            </w:r>
          </w:p>
        </w:tc>
        <w:tc>
          <w:tcPr>
            <w:tcW w:w="1480" w:type="dxa"/>
            <w:vAlign w:val="bottom"/>
          </w:tcPr>
          <w:p>
            <w:pPr>
              <w:jc w:val="center"/>
              <w:spacing w:after="0"/>
              <w:rPr>
                <w:sz w:val="20"/>
                <w:szCs w:val="20"/>
                <w:color w:val="auto"/>
              </w:rPr>
            </w:pPr>
            <w:r>
              <w:rPr>
                <w:rFonts w:ascii="Arial" w:cs="Arial" w:eastAsia="Arial" w:hAnsi="Arial"/>
                <w:sz w:val="17"/>
                <w:szCs w:val="17"/>
                <w:color w:val="auto"/>
              </w:rPr>
              <w:t>$5,242,545</w:t>
            </w:r>
          </w:p>
        </w:tc>
        <w:tc>
          <w:tcPr>
            <w:tcW w:w="360" w:type="dxa"/>
            <w:vAlign w:val="bottom"/>
            <w:tcBorders>
              <w:left w:val="single" w:sz="8" w:color="auto"/>
            </w:tcBorders>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rPr>
              <w:t>$2,615,180</w:t>
            </w:r>
          </w:p>
        </w:tc>
        <w:tc>
          <w:tcPr>
            <w:tcW w:w="2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$236,533</w:t>
            </w:r>
          </w:p>
        </w:tc>
        <w:tc>
          <w:tcPr>
            <w:tcW w:w="300" w:type="dxa"/>
            <w:vAlign w:val="bottom"/>
          </w:tcPr>
          <w:p>
            <w:pPr>
              <w:spacing w:after="0"/>
              <w:rPr>
                <w:sz w:val="18"/>
                <w:szCs w:val="18"/>
                <w:color w:val="auto"/>
              </w:rPr>
            </w:pPr>
          </w:p>
        </w:tc>
        <w:tc>
          <w:tcPr>
            <w:tcW w:w="1200" w:type="dxa"/>
            <w:vAlign w:val="bottom"/>
            <w:tcBorders>
              <w:right w:val="single" w:sz="8" w:color="auto"/>
            </w:tcBorders>
          </w:tcPr>
          <w:p>
            <w:pPr>
              <w:jc w:val="center"/>
              <w:ind w:right="153"/>
              <w:spacing w:after="0"/>
              <w:rPr>
                <w:sz w:val="20"/>
                <w:szCs w:val="20"/>
                <w:color w:val="auto"/>
              </w:rPr>
            </w:pPr>
            <w:r>
              <w:rPr>
                <w:rFonts w:ascii="Arial" w:cs="Arial" w:eastAsia="Arial" w:hAnsi="Arial"/>
                <w:sz w:val="17"/>
                <w:szCs w:val="17"/>
                <w:color w:val="auto"/>
              </w:rPr>
              <w:t>$2,851,713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Former Chief</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Executive Officer</w:t>
            </w:r>
          </w:p>
        </w:tc>
        <w:tc>
          <w:tcPr>
            <w:tcW w:w="15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left w:val="single" w:sz="8" w:color="auto"/>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Rajat Marwah</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2X</w:t>
            </w:r>
          </w:p>
        </w:tc>
        <w:tc>
          <w:tcPr>
            <w:tcW w:w="1480" w:type="dxa"/>
            <w:vAlign w:val="bottom"/>
          </w:tcPr>
          <w:p>
            <w:pPr>
              <w:jc w:val="center"/>
              <w:spacing w:after="0"/>
              <w:rPr>
                <w:sz w:val="20"/>
                <w:szCs w:val="20"/>
                <w:color w:val="auto"/>
              </w:rPr>
            </w:pPr>
            <w:r>
              <w:rPr>
                <w:rFonts w:ascii="Arial" w:cs="Arial" w:eastAsia="Arial" w:hAnsi="Arial"/>
                <w:sz w:val="17"/>
                <w:szCs w:val="17"/>
                <w:color w:val="auto"/>
              </w:rPr>
              <w:t>$1,087,524</w:t>
            </w:r>
          </w:p>
        </w:tc>
        <w:tc>
          <w:tcPr>
            <w:tcW w:w="360" w:type="dxa"/>
            <w:vAlign w:val="bottom"/>
            <w:tcBorders>
              <w:left w:val="single" w:sz="8" w:color="auto"/>
            </w:tcBorders>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rPr>
              <w:t>$3,959,145</w:t>
            </w:r>
          </w:p>
        </w:tc>
        <w:tc>
          <w:tcPr>
            <w:tcW w:w="2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$29,147</w:t>
            </w:r>
          </w:p>
        </w:tc>
        <w:tc>
          <w:tcPr>
            <w:tcW w:w="300" w:type="dxa"/>
            <w:vAlign w:val="bottom"/>
          </w:tcPr>
          <w:p>
            <w:pPr>
              <w:spacing w:after="0"/>
              <w:rPr>
                <w:sz w:val="18"/>
                <w:szCs w:val="18"/>
                <w:color w:val="auto"/>
              </w:rPr>
            </w:pPr>
          </w:p>
        </w:tc>
        <w:tc>
          <w:tcPr>
            <w:tcW w:w="1200" w:type="dxa"/>
            <w:vAlign w:val="bottom"/>
            <w:tcBorders>
              <w:right w:val="single" w:sz="8" w:color="auto"/>
            </w:tcBorders>
          </w:tcPr>
          <w:p>
            <w:pPr>
              <w:jc w:val="center"/>
              <w:ind w:right="153"/>
              <w:spacing w:after="0"/>
              <w:rPr>
                <w:sz w:val="20"/>
                <w:szCs w:val="20"/>
                <w:color w:val="auto"/>
              </w:rPr>
            </w:pPr>
            <w:r>
              <w:rPr>
                <w:rFonts w:ascii="Arial" w:cs="Arial" w:eastAsia="Arial" w:hAnsi="Arial"/>
                <w:sz w:val="17"/>
                <w:szCs w:val="17"/>
                <w:color w:val="auto"/>
              </w:rPr>
              <w:t>$3,988,292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Chief Executive</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Officer / Former</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President and Chief</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Financial Officer</w:t>
            </w:r>
          </w:p>
        </w:tc>
        <w:tc>
          <w:tcPr>
            <w:tcW w:w="15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left w:val="single" w:sz="8" w:color="auto"/>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John Naccarato</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2X</w:t>
            </w:r>
          </w:p>
        </w:tc>
        <w:tc>
          <w:tcPr>
            <w:tcW w:w="1480" w:type="dxa"/>
            <w:vAlign w:val="bottom"/>
          </w:tcPr>
          <w:p>
            <w:pPr>
              <w:jc w:val="center"/>
              <w:spacing w:after="0"/>
              <w:rPr>
                <w:sz w:val="20"/>
                <w:szCs w:val="20"/>
                <w:color w:val="auto"/>
              </w:rPr>
            </w:pPr>
            <w:r>
              <w:rPr>
                <w:rFonts w:ascii="Arial" w:cs="Arial" w:eastAsia="Arial" w:hAnsi="Arial"/>
                <w:sz w:val="17"/>
                <w:szCs w:val="17"/>
                <w:color w:val="auto"/>
              </w:rPr>
              <w:t>$1,009,800</w:t>
            </w:r>
          </w:p>
        </w:tc>
        <w:tc>
          <w:tcPr>
            <w:tcW w:w="360" w:type="dxa"/>
            <w:vAlign w:val="bottom"/>
            <w:tcBorders>
              <w:left w:val="single" w:sz="8" w:color="auto"/>
            </w:tcBorders>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rPr>
              <w:t>$3,924,639</w:t>
            </w:r>
          </w:p>
        </w:tc>
        <w:tc>
          <w:tcPr>
            <w:tcW w:w="2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$110,945</w:t>
            </w:r>
          </w:p>
        </w:tc>
        <w:tc>
          <w:tcPr>
            <w:tcW w:w="300" w:type="dxa"/>
            <w:vAlign w:val="bottom"/>
          </w:tcPr>
          <w:p>
            <w:pPr>
              <w:spacing w:after="0"/>
              <w:rPr>
                <w:sz w:val="18"/>
                <w:szCs w:val="18"/>
                <w:color w:val="auto"/>
              </w:rPr>
            </w:pPr>
          </w:p>
        </w:tc>
        <w:tc>
          <w:tcPr>
            <w:tcW w:w="1200" w:type="dxa"/>
            <w:vAlign w:val="bottom"/>
            <w:tcBorders>
              <w:right w:val="single" w:sz="8" w:color="auto"/>
            </w:tcBorders>
          </w:tcPr>
          <w:p>
            <w:pPr>
              <w:jc w:val="center"/>
              <w:ind w:right="153"/>
              <w:spacing w:after="0"/>
              <w:rPr>
                <w:sz w:val="20"/>
                <w:szCs w:val="20"/>
                <w:color w:val="auto"/>
              </w:rPr>
            </w:pPr>
            <w:r>
              <w:rPr>
                <w:rFonts w:ascii="Arial" w:cs="Arial" w:eastAsia="Arial" w:hAnsi="Arial"/>
                <w:sz w:val="17"/>
                <w:szCs w:val="17"/>
                <w:color w:val="auto"/>
              </w:rPr>
              <w:t>$4,035,584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Vice-President,</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Strategy and Chief</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Legal Officer</w:t>
            </w:r>
          </w:p>
        </w:tc>
        <w:tc>
          <w:tcPr>
            <w:tcW w:w="15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left w:val="single" w:sz="8" w:color="auto"/>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Michael Panzeri</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2X</w:t>
            </w:r>
          </w:p>
        </w:tc>
        <w:tc>
          <w:tcPr>
            <w:tcW w:w="1480" w:type="dxa"/>
            <w:vAlign w:val="bottom"/>
          </w:tcPr>
          <w:p>
            <w:pPr>
              <w:jc w:val="center"/>
              <w:spacing w:after="0"/>
              <w:rPr>
                <w:sz w:val="20"/>
                <w:szCs w:val="20"/>
                <w:color w:val="auto"/>
              </w:rPr>
            </w:pPr>
            <w:r>
              <w:rPr>
                <w:rFonts w:ascii="Arial" w:cs="Arial" w:eastAsia="Arial" w:hAnsi="Arial"/>
                <w:sz w:val="17"/>
                <w:szCs w:val="17"/>
                <w:color w:val="auto"/>
              </w:rPr>
              <w:t>$1,193,400</w:t>
            </w:r>
          </w:p>
        </w:tc>
        <w:tc>
          <w:tcPr>
            <w:tcW w:w="360" w:type="dxa"/>
            <w:vAlign w:val="bottom"/>
            <w:tcBorders>
              <w:left w:val="single" w:sz="8" w:color="auto"/>
            </w:tcBorders>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rPr>
              <w:t>$509,802</w:t>
            </w:r>
          </w:p>
        </w:tc>
        <w:tc>
          <w:tcPr>
            <w:tcW w:w="2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w:t>
            </w:r>
          </w:p>
        </w:tc>
        <w:tc>
          <w:tcPr>
            <w:tcW w:w="300" w:type="dxa"/>
            <w:vAlign w:val="bottom"/>
          </w:tcPr>
          <w:p>
            <w:pPr>
              <w:spacing w:after="0"/>
              <w:rPr>
                <w:sz w:val="18"/>
                <w:szCs w:val="18"/>
                <w:color w:val="auto"/>
              </w:rPr>
            </w:pPr>
          </w:p>
        </w:tc>
        <w:tc>
          <w:tcPr>
            <w:tcW w:w="1200" w:type="dxa"/>
            <w:vAlign w:val="bottom"/>
            <w:tcBorders>
              <w:right w:val="single" w:sz="8" w:color="auto"/>
            </w:tcBorders>
          </w:tcPr>
          <w:p>
            <w:pPr>
              <w:jc w:val="center"/>
              <w:ind w:right="153"/>
              <w:spacing w:after="0"/>
              <w:rPr>
                <w:sz w:val="20"/>
                <w:szCs w:val="20"/>
                <w:color w:val="auto"/>
              </w:rPr>
            </w:pPr>
            <w:r>
              <w:rPr>
                <w:rFonts w:ascii="Arial" w:cs="Arial" w:eastAsia="Arial" w:hAnsi="Arial"/>
                <w:sz w:val="17"/>
                <w:szCs w:val="17"/>
                <w:color w:val="auto"/>
              </w:rPr>
              <w:t>$509,802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Senior Vice-</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President,</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Production</w:t>
            </w:r>
          </w:p>
        </w:tc>
        <w:tc>
          <w:tcPr>
            <w:tcW w:w="15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left w:val="single" w:sz="8" w:color="auto"/>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line="212" w:lineRule="exact"/>
              <w:rPr>
                <w:sz w:val="20"/>
                <w:szCs w:val="20"/>
                <w:color w:val="auto"/>
              </w:rPr>
            </w:pPr>
            <w:r>
              <w:rPr>
                <w:rFonts w:ascii="Arial" w:cs="Arial" w:eastAsia="Arial" w:hAnsi="Arial"/>
                <w:sz w:val="16"/>
                <w:szCs w:val="16"/>
                <w:b w:val="1"/>
                <w:bCs w:val="1"/>
                <w:color w:val="auto"/>
              </w:rPr>
              <w:t>Mark Nogalo</w:t>
            </w:r>
            <w:r>
              <w:rPr>
                <w:rFonts w:ascii="Arial" w:cs="Arial" w:eastAsia="Arial" w:hAnsi="Arial"/>
                <w:sz w:val="24"/>
                <w:szCs w:val="24"/>
                <w:b w:val="1"/>
                <w:bCs w:val="1"/>
                <w:color w:val="auto"/>
                <w:vertAlign w:val="superscript"/>
              </w:rPr>
              <w:t>(2)</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1X</w:t>
            </w:r>
          </w:p>
        </w:tc>
        <w:tc>
          <w:tcPr>
            <w:tcW w:w="1480" w:type="dxa"/>
            <w:vAlign w:val="bottom"/>
          </w:tcPr>
          <w:p>
            <w:pPr>
              <w:jc w:val="center"/>
              <w:ind w:left="13"/>
              <w:spacing w:after="0"/>
              <w:rPr>
                <w:sz w:val="20"/>
                <w:szCs w:val="20"/>
                <w:color w:val="auto"/>
              </w:rPr>
            </w:pPr>
            <w:r>
              <w:rPr>
                <w:rFonts w:ascii="Arial" w:cs="Arial" w:eastAsia="Arial" w:hAnsi="Arial"/>
                <w:sz w:val="17"/>
                <w:szCs w:val="17"/>
                <w:color w:val="auto"/>
              </w:rPr>
              <w:t>$425,000</w:t>
            </w:r>
          </w:p>
        </w:tc>
        <w:tc>
          <w:tcPr>
            <w:tcW w:w="360" w:type="dxa"/>
            <w:vAlign w:val="bottom"/>
            <w:tcBorders>
              <w:left w:val="single" w:sz="8" w:color="auto"/>
            </w:tcBorders>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rPr>
              <w:t>$3,209,539</w:t>
            </w:r>
          </w:p>
        </w:tc>
        <w:tc>
          <w:tcPr>
            <w:tcW w:w="2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$22,852</w:t>
            </w:r>
          </w:p>
        </w:tc>
        <w:tc>
          <w:tcPr>
            <w:tcW w:w="300" w:type="dxa"/>
            <w:vAlign w:val="bottom"/>
          </w:tcPr>
          <w:p>
            <w:pPr>
              <w:spacing w:after="0"/>
              <w:rPr>
                <w:sz w:val="18"/>
                <w:szCs w:val="18"/>
                <w:color w:val="auto"/>
              </w:rPr>
            </w:pPr>
          </w:p>
        </w:tc>
        <w:tc>
          <w:tcPr>
            <w:tcW w:w="1200" w:type="dxa"/>
            <w:vAlign w:val="bottom"/>
            <w:tcBorders>
              <w:right w:val="single" w:sz="8" w:color="auto"/>
            </w:tcBorders>
          </w:tcPr>
          <w:p>
            <w:pPr>
              <w:jc w:val="center"/>
              <w:ind w:right="153"/>
              <w:spacing w:after="0"/>
              <w:rPr>
                <w:sz w:val="20"/>
                <w:szCs w:val="20"/>
                <w:color w:val="auto"/>
              </w:rPr>
            </w:pPr>
            <w:r>
              <w:rPr>
                <w:rFonts w:ascii="Arial" w:cs="Arial" w:eastAsia="Arial" w:hAnsi="Arial"/>
                <w:sz w:val="17"/>
                <w:szCs w:val="17"/>
                <w:color w:val="auto"/>
              </w:rPr>
              <w:t>$3,232,391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761%</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Former Vice-</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President, Strategic</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Transformation</w:t>
            </w:r>
          </w:p>
        </w:tc>
        <w:tc>
          <w:tcPr>
            <w:tcW w:w="15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left w:val="single" w:sz="8" w:color="auto"/>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Andrew Harshaw</w:t>
            </w: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4X</w:t>
            </w:r>
          </w:p>
        </w:tc>
        <w:tc>
          <w:tcPr>
            <w:tcW w:w="1480" w:type="dxa"/>
            <w:vAlign w:val="bottom"/>
          </w:tcPr>
          <w:p>
            <w:pPr>
              <w:jc w:val="center"/>
              <w:ind w:left="13"/>
              <w:spacing w:after="0"/>
              <w:rPr>
                <w:sz w:val="20"/>
                <w:szCs w:val="20"/>
                <w:color w:val="auto"/>
              </w:rPr>
            </w:pPr>
            <w:r>
              <w:rPr>
                <w:rFonts w:ascii="Arial" w:cs="Arial" w:eastAsia="Arial" w:hAnsi="Arial"/>
                <w:sz w:val="17"/>
                <w:szCs w:val="17"/>
                <w:color w:val="auto"/>
              </w:rPr>
              <w:t>$603,064</w:t>
            </w:r>
          </w:p>
        </w:tc>
        <w:tc>
          <w:tcPr>
            <w:tcW w:w="360" w:type="dxa"/>
            <w:vAlign w:val="bottom"/>
            <w:tcBorders>
              <w:left w:val="single" w:sz="8" w:color="auto"/>
            </w:tcBorders>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7"/>
                <w:szCs w:val="17"/>
                <w:color w:val="auto"/>
              </w:rPr>
              <w:t>$905,884</w:t>
            </w:r>
          </w:p>
        </w:tc>
        <w:tc>
          <w:tcPr>
            <w:tcW w:w="22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w:t>
            </w:r>
          </w:p>
        </w:tc>
        <w:tc>
          <w:tcPr>
            <w:tcW w:w="300" w:type="dxa"/>
            <w:vAlign w:val="bottom"/>
          </w:tcPr>
          <w:p>
            <w:pPr>
              <w:spacing w:after="0"/>
              <w:rPr>
                <w:sz w:val="18"/>
                <w:szCs w:val="18"/>
                <w:color w:val="auto"/>
              </w:rPr>
            </w:pPr>
          </w:p>
        </w:tc>
        <w:tc>
          <w:tcPr>
            <w:tcW w:w="1200" w:type="dxa"/>
            <w:vAlign w:val="bottom"/>
            <w:tcBorders>
              <w:right w:val="single" w:sz="8" w:color="auto"/>
            </w:tcBorders>
          </w:tcPr>
          <w:p>
            <w:pPr>
              <w:jc w:val="center"/>
              <w:ind w:right="153"/>
              <w:spacing w:after="0"/>
              <w:rPr>
                <w:sz w:val="20"/>
                <w:szCs w:val="20"/>
                <w:color w:val="auto"/>
              </w:rPr>
            </w:pPr>
            <w:r>
              <w:rPr>
                <w:rFonts w:ascii="Arial" w:cs="Arial" w:eastAsia="Arial" w:hAnsi="Arial"/>
                <w:sz w:val="17"/>
                <w:szCs w:val="17"/>
                <w:color w:val="auto"/>
              </w:rPr>
              <w:t>$905,884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196"/>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Director and Chair of</w:t>
            </w:r>
          </w:p>
        </w:tc>
        <w:tc>
          <w:tcPr>
            <w:tcW w:w="150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36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the Board</w:t>
            </w:r>
          </w:p>
        </w:tc>
        <w:tc>
          <w:tcPr>
            <w:tcW w:w="150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360" w:type="dxa"/>
            <w:vAlign w:val="bottom"/>
            <w:tcBorders>
              <w:left w:val="single" w:sz="8" w:color="auto"/>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5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 xml:space="preserve">2026 MANAGEMENT INFORMATION CIRCULAR </w:t>
            </w:r>
            <w:r>
              <w:rPr>
                <w:rFonts w:ascii="Arial" w:cs="Arial" w:eastAsia="Arial" w:hAnsi="Arial"/>
                <w:sz w:val="14"/>
                <w:szCs w:val="14"/>
                <w:color w:val="auto"/>
                <w:w w:val="99"/>
              </w:rPr>
              <w:t>ALGOMA STEEL GROUP INC.</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264" w:right="59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05"/>
        </w:trPr>
        <w:tc>
          <w:tcPr>
            <w:tcW w:w="1800" w:type="dxa"/>
            <w:vAlign w:val="bottom"/>
            <w:tcBorders>
              <w:left w:val="single" w:sz="8" w:color="auto"/>
              <w:right w:val="single" w:sz="8" w:color="003445"/>
            </w:tcBorders>
            <w:shd w:val="clear" w:color="auto" w:fill="003445"/>
          </w:tcPr>
          <w:p>
            <w:pPr>
              <w:spacing w:after="0"/>
              <w:rPr>
                <w:sz w:val="9"/>
                <w:szCs w:val="9"/>
                <w:color w:val="auto"/>
              </w:rPr>
            </w:pPr>
          </w:p>
        </w:tc>
        <w:tc>
          <w:tcPr>
            <w:tcW w:w="120" w:type="dxa"/>
            <w:vAlign w:val="bottom"/>
            <w:shd w:val="clear" w:color="auto" w:fill="003445"/>
          </w:tcPr>
          <w:p>
            <w:pPr>
              <w:spacing w:after="0"/>
              <w:rPr>
                <w:sz w:val="9"/>
                <w:szCs w:val="9"/>
                <w:color w:val="auto"/>
              </w:rPr>
            </w:pPr>
          </w:p>
        </w:tc>
        <w:tc>
          <w:tcPr>
            <w:tcW w:w="1380" w:type="dxa"/>
            <w:vAlign w:val="bottom"/>
            <w:tcBorders>
              <w:right w:val="single" w:sz="8" w:color="003445"/>
            </w:tcBorders>
            <w:shd w:val="clear" w:color="auto" w:fill="003445"/>
          </w:tcPr>
          <w:p>
            <w:pPr>
              <w:spacing w:after="0"/>
              <w:rPr>
                <w:sz w:val="9"/>
                <w:szCs w:val="9"/>
                <w:color w:val="auto"/>
              </w:rPr>
            </w:pPr>
          </w:p>
        </w:tc>
        <w:tc>
          <w:tcPr>
            <w:tcW w:w="1480" w:type="dxa"/>
            <w:vAlign w:val="bottom"/>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Equity</w:t>
            </w:r>
          </w:p>
        </w:tc>
        <w:tc>
          <w:tcPr>
            <w:tcW w:w="120" w:type="dxa"/>
            <w:vAlign w:val="bottom"/>
            <w:tcBorders>
              <w:left w:val="single" w:sz="8" w:color="003445"/>
            </w:tcBorders>
            <w:shd w:val="clear" w:color="auto" w:fill="003445"/>
          </w:tcPr>
          <w:p>
            <w:pPr>
              <w:spacing w:after="0"/>
              <w:rPr>
                <w:sz w:val="9"/>
                <w:szCs w:val="9"/>
                <w:color w:val="auto"/>
              </w:rPr>
            </w:pPr>
          </w:p>
        </w:tc>
        <w:tc>
          <w:tcPr>
            <w:tcW w:w="1140" w:type="dxa"/>
            <w:vAlign w:val="bottom"/>
            <w:shd w:val="clear" w:color="auto" w:fill="003445"/>
          </w:tcPr>
          <w:p>
            <w:pPr>
              <w:spacing w:after="0"/>
              <w:rPr>
                <w:sz w:val="9"/>
                <w:szCs w:val="9"/>
                <w:color w:val="auto"/>
              </w:rPr>
            </w:pPr>
          </w:p>
        </w:tc>
        <w:tc>
          <w:tcPr>
            <w:tcW w:w="2060" w:type="dxa"/>
            <w:vAlign w:val="bottom"/>
            <w:gridSpan w:val="3"/>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Total Equity Ownership</w:t>
            </w:r>
          </w:p>
        </w:tc>
        <w:tc>
          <w:tcPr>
            <w:tcW w:w="1220" w:type="dxa"/>
            <w:vAlign w:val="bottom"/>
            <w:tcBorders>
              <w:right w:val="single" w:sz="8" w:color="003445"/>
            </w:tcBorders>
            <w:shd w:val="clear" w:color="auto" w:fill="003445"/>
          </w:tcPr>
          <w:p>
            <w:pPr>
              <w:spacing w:after="0"/>
              <w:rPr>
                <w:sz w:val="9"/>
                <w:szCs w:val="9"/>
                <w:color w:val="auto"/>
              </w:rPr>
            </w:pPr>
          </w:p>
        </w:tc>
        <w:tc>
          <w:tcPr>
            <w:tcW w:w="138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Value of</w:t>
            </w:r>
          </w:p>
        </w:tc>
        <w:tc>
          <w:tcPr>
            <w:tcW w:w="0" w:type="dxa"/>
            <w:vAlign w:val="bottom"/>
          </w:tcPr>
          <w:p>
            <w:pPr>
              <w:spacing w:after="0"/>
              <w:rPr>
                <w:sz w:val="1"/>
                <w:szCs w:val="1"/>
                <w:color w:val="auto"/>
              </w:rPr>
            </w:pPr>
          </w:p>
        </w:tc>
      </w:tr>
      <w:tr>
        <w:trPr>
          <w:trHeight w:val="247"/>
        </w:trPr>
        <w:tc>
          <w:tcPr>
            <w:tcW w:w="1800" w:type="dxa"/>
            <w:vAlign w:val="bottom"/>
            <w:tcBorders>
              <w:left w:val="single" w:sz="8" w:color="auto"/>
              <w:right w:val="single" w:sz="8" w:color="auto"/>
            </w:tcBorders>
            <w:shd w:val="clear" w:color="auto" w:fill="003445"/>
          </w:tcPr>
          <w:p>
            <w:pPr>
              <w:spacing w:after="0"/>
              <w:rPr>
                <w:sz w:val="21"/>
                <w:szCs w:val="21"/>
                <w:color w:val="auto"/>
              </w:rPr>
            </w:pPr>
          </w:p>
        </w:tc>
        <w:tc>
          <w:tcPr>
            <w:tcW w:w="120" w:type="dxa"/>
            <w:vAlign w:val="bottom"/>
            <w:shd w:val="clear" w:color="auto" w:fill="003445"/>
          </w:tcPr>
          <w:p>
            <w:pPr>
              <w:spacing w:after="0"/>
              <w:rPr>
                <w:sz w:val="21"/>
                <w:szCs w:val="21"/>
                <w:color w:val="auto"/>
              </w:rPr>
            </w:pPr>
          </w:p>
        </w:tc>
        <w:tc>
          <w:tcPr>
            <w:tcW w:w="1380" w:type="dxa"/>
            <w:vAlign w:val="bottom"/>
            <w:tcBorders>
              <w:right w:val="single" w:sz="8" w:color="auto"/>
            </w:tcBorders>
            <w:shd w:val="clear" w:color="auto" w:fill="003445"/>
          </w:tcPr>
          <w:p>
            <w:pPr>
              <w:spacing w:after="0"/>
              <w:rPr>
                <w:sz w:val="21"/>
                <w:szCs w:val="21"/>
                <w:color w:val="auto"/>
              </w:rPr>
            </w:pPr>
          </w:p>
        </w:tc>
        <w:tc>
          <w:tcPr>
            <w:tcW w:w="1480" w:type="dxa"/>
            <w:vAlign w:val="bottom"/>
            <w:vMerge w:val="continue"/>
            <w:shd w:val="clear" w:color="auto" w:fill="003445"/>
          </w:tcPr>
          <w:p>
            <w:pPr>
              <w:spacing w:after="0"/>
              <w:rPr>
                <w:sz w:val="21"/>
                <w:szCs w:val="21"/>
                <w:color w:val="auto"/>
              </w:rPr>
            </w:pPr>
          </w:p>
        </w:tc>
        <w:tc>
          <w:tcPr>
            <w:tcW w:w="120" w:type="dxa"/>
            <w:vAlign w:val="bottom"/>
            <w:tcBorders>
              <w:left w:val="single" w:sz="8" w:color="auto"/>
            </w:tcBorders>
            <w:shd w:val="clear" w:color="auto" w:fill="003445"/>
          </w:tcPr>
          <w:p>
            <w:pPr>
              <w:spacing w:after="0"/>
              <w:rPr>
                <w:sz w:val="21"/>
                <w:szCs w:val="21"/>
                <w:color w:val="auto"/>
              </w:rPr>
            </w:pPr>
          </w:p>
        </w:tc>
        <w:tc>
          <w:tcPr>
            <w:tcW w:w="1140" w:type="dxa"/>
            <w:vAlign w:val="bottom"/>
            <w:shd w:val="clear" w:color="auto" w:fill="003445"/>
          </w:tcPr>
          <w:p>
            <w:pPr>
              <w:spacing w:after="0"/>
              <w:rPr>
                <w:sz w:val="21"/>
                <w:szCs w:val="21"/>
                <w:color w:val="auto"/>
              </w:rPr>
            </w:pPr>
          </w:p>
        </w:tc>
        <w:tc>
          <w:tcPr>
            <w:tcW w:w="2060" w:type="dxa"/>
            <w:vAlign w:val="bottom"/>
            <w:gridSpan w:val="3"/>
            <w:vMerge w:val="continue"/>
            <w:shd w:val="clear" w:color="auto" w:fill="003445"/>
          </w:tcPr>
          <w:p>
            <w:pPr>
              <w:spacing w:after="0"/>
              <w:rPr>
                <w:sz w:val="21"/>
                <w:szCs w:val="21"/>
                <w:color w:val="auto"/>
              </w:rPr>
            </w:pPr>
          </w:p>
        </w:tc>
        <w:tc>
          <w:tcPr>
            <w:tcW w:w="1220" w:type="dxa"/>
            <w:vAlign w:val="bottom"/>
            <w:tcBorders>
              <w:right w:val="single" w:sz="8" w:color="auto"/>
            </w:tcBorders>
            <w:shd w:val="clear" w:color="auto" w:fill="003445"/>
          </w:tcPr>
          <w:p>
            <w:pPr>
              <w:spacing w:after="0"/>
              <w:rPr>
                <w:sz w:val="21"/>
                <w:szCs w:val="21"/>
                <w:color w:val="auto"/>
              </w:rPr>
            </w:pPr>
          </w:p>
        </w:tc>
        <w:tc>
          <w:tcPr>
            <w:tcW w:w="1380" w:type="dxa"/>
            <w:vAlign w:val="bottom"/>
            <w:tcBorders>
              <w:right w:val="single" w:sz="8" w:color="auto"/>
            </w:tcBorders>
            <w:vMerge w:val="continue"/>
            <w:shd w:val="clear" w:color="auto" w:fill="003445"/>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800" w:type="dxa"/>
            <w:vAlign w:val="bottom"/>
            <w:tcBorders>
              <w:left w:val="single" w:sz="8" w:color="auto"/>
              <w:bottom w:val="single" w:sz="8" w:color="003445"/>
              <w:right w:val="single" w:sz="8" w:color="auto"/>
            </w:tcBorders>
            <w:shd w:val="clear" w:color="auto" w:fill="003445"/>
          </w:tcPr>
          <w:p>
            <w:pPr>
              <w:spacing w:after="0"/>
              <w:rPr>
                <w:sz w:val="12"/>
                <w:szCs w:val="12"/>
                <w:color w:val="auto"/>
              </w:rPr>
            </w:pPr>
          </w:p>
        </w:tc>
        <w:tc>
          <w:tcPr>
            <w:tcW w:w="120" w:type="dxa"/>
            <w:vAlign w:val="bottom"/>
            <w:tcBorders>
              <w:bottom w:val="single" w:sz="8" w:color="003445"/>
            </w:tcBorders>
            <w:shd w:val="clear" w:color="auto" w:fill="003445"/>
          </w:tcPr>
          <w:p>
            <w:pPr>
              <w:spacing w:after="0"/>
              <w:rPr>
                <w:sz w:val="12"/>
                <w:szCs w:val="12"/>
                <w:color w:val="auto"/>
              </w:rPr>
            </w:pPr>
          </w:p>
        </w:tc>
        <w:tc>
          <w:tcPr>
            <w:tcW w:w="1380" w:type="dxa"/>
            <w:vAlign w:val="bottom"/>
            <w:tcBorders>
              <w:bottom w:val="single" w:sz="8" w:color="003445"/>
              <w:right w:val="single" w:sz="8" w:color="auto"/>
            </w:tcBorders>
            <w:shd w:val="clear" w:color="auto" w:fill="003445"/>
          </w:tcPr>
          <w:p>
            <w:pPr>
              <w:spacing w:after="0"/>
              <w:rPr>
                <w:sz w:val="12"/>
                <w:szCs w:val="12"/>
                <w:color w:val="auto"/>
              </w:rPr>
            </w:pPr>
          </w:p>
        </w:tc>
        <w:tc>
          <w:tcPr>
            <w:tcW w:w="1480" w:type="dxa"/>
            <w:vAlign w:val="bottom"/>
            <w:tcBorders>
              <w:bottom w:val="single" w:sz="8" w:color="003445"/>
            </w:tcBorders>
            <w:vMerge w:val="continue"/>
            <w:shd w:val="clear" w:color="auto" w:fill="003445"/>
          </w:tcPr>
          <w:p>
            <w:pPr>
              <w:spacing w:after="0"/>
              <w:rPr>
                <w:sz w:val="12"/>
                <w:szCs w:val="12"/>
                <w:color w:val="auto"/>
              </w:rPr>
            </w:pPr>
          </w:p>
        </w:tc>
        <w:tc>
          <w:tcPr>
            <w:tcW w:w="120" w:type="dxa"/>
            <w:vAlign w:val="bottom"/>
            <w:tcBorders>
              <w:left w:val="single" w:sz="8" w:color="auto"/>
              <w:bottom w:val="single" w:sz="8" w:color="003445"/>
            </w:tcBorders>
            <w:shd w:val="clear" w:color="auto" w:fill="003445"/>
          </w:tcPr>
          <w:p>
            <w:pPr>
              <w:spacing w:after="0"/>
              <w:rPr>
                <w:sz w:val="12"/>
                <w:szCs w:val="12"/>
                <w:color w:val="auto"/>
              </w:rPr>
            </w:pPr>
          </w:p>
        </w:tc>
        <w:tc>
          <w:tcPr>
            <w:tcW w:w="1140" w:type="dxa"/>
            <w:vAlign w:val="bottom"/>
            <w:tcBorders>
              <w:bottom w:val="single" w:sz="8" w:color="003445"/>
            </w:tcBorders>
            <w:shd w:val="clear" w:color="auto" w:fill="003445"/>
          </w:tcPr>
          <w:p>
            <w:pPr>
              <w:spacing w:after="0"/>
              <w:rPr>
                <w:sz w:val="12"/>
                <w:szCs w:val="12"/>
                <w:color w:val="auto"/>
              </w:rPr>
            </w:pPr>
          </w:p>
        </w:tc>
        <w:tc>
          <w:tcPr>
            <w:tcW w:w="260" w:type="dxa"/>
            <w:vAlign w:val="bottom"/>
            <w:tcBorders>
              <w:bottom w:val="single" w:sz="8" w:color="003445"/>
              <w:right w:val="single" w:sz="8" w:color="003445"/>
            </w:tcBorders>
            <w:shd w:val="clear" w:color="auto" w:fill="003445"/>
          </w:tcPr>
          <w:p>
            <w:pPr>
              <w:spacing w:after="0"/>
              <w:rPr>
                <w:sz w:val="12"/>
                <w:szCs w:val="12"/>
                <w:color w:val="auto"/>
              </w:rPr>
            </w:pPr>
          </w:p>
        </w:tc>
        <w:tc>
          <w:tcPr>
            <w:tcW w:w="1520" w:type="dxa"/>
            <w:vAlign w:val="bottom"/>
            <w:tcBorders>
              <w:bottom w:val="single" w:sz="8" w:color="003445"/>
              <w:right w:val="single" w:sz="8" w:color="003445"/>
            </w:tcBorders>
            <w:shd w:val="clear" w:color="auto" w:fill="003445"/>
          </w:tcPr>
          <w:p>
            <w:pPr>
              <w:spacing w:after="0"/>
              <w:rPr>
                <w:sz w:val="12"/>
                <w:szCs w:val="12"/>
                <w:color w:val="auto"/>
              </w:rPr>
            </w:pPr>
          </w:p>
        </w:tc>
        <w:tc>
          <w:tcPr>
            <w:tcW w:w="280" w:type="dxa"/>
            <w:vAlign w:val="bottom"/>
            <w:tcBorders>
              <w:bottom w:val="single" w:sz="8" w:color="003445"/>
            </w:tcBorders>
            <w:shd w:val="clear" w:color="auto" w:fill="003445"/>
          </w:tcPr>
          <w:p>
            <w:pPr>
              <w:spacing w:after="0"/>
              <w:rPr>
                <w:sz w:val="12"/>
                <w:szCs w:val="12"/>
                <w:color w:val="auto"/>
              </w:rPr>
            </w:pPr>
          </w:p>
        </w:tc>
        <w:tc>
          <w:tcPr>
            <w:tcW w:w="1220" w:type="dxa"/>
            <w:vAlign w:val="bottom"/>
            <w:tcBorders>
              <w:bottom w:val="single" w:sz="8" w:color="003445"/>
              <w:right w:val="single" w:sz="8" w:color="auto"/>
            </w:tcBorders>
            <w:shd w:val="clear" w:color="auto" w:fill="003445"/>
          </w:tcPr>
          <w:p>
            <w:pPr>
              <w:spacing w:after="0"/>
              <w:rPr>
                <w:sz w:val="12"/>
                <w:szCs w:val="12"/>
                <w:color w:val="auto"/>
              </w:rPr>
            </w:pPr>
          </w:p>
        </w:tc>
        <w:tc>
          <w:tcPr>
            <w:tcW w:w="1380" w:type="dxa"/>
            <w:vAlign w:val="bottom"/>
            <w:tcBorders>
              <w:bottom w:val="single" w:sz="8" w:color="003445"/>
              <w:right w:val="single" w:sz="8" w:color="auto"/>
            </w:tcBorders>
            <w:vMerge w:val="continue"/>
            <w:shd w:val="clear" w:color="auto" w:fill="003445"/>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800" w:type="dxa"/>
            <w:vAlign w:val="bottom"/>
            <w:tcBorders>
              <w:top w:val="single" w:sz="8" w:color="003445"/>
              <w:left w:val="single" w:sz="8" w:color="auto"/>
              <w:right w:val="single" w:sz="8" w:color="auto"/>
            </w:tcBorders>
            <w:shd w:val="clear" w:color="auto" w:fill="003445"/>
          </w:tcPr>
          <w:p>
            <w:pPr>
              <w:spacing w:after="0"/>
              <w:rPr>
                <w:sz w:val="7"/>
                <w:szCs w:val="7"/>
                <w:color w:val="auto"/>
              </w:rPr>
            </w:pPr>
          </w:p>
        </w:tc>
        <w:tc>
          <w:tcPr>
            <w:tcW w:w="120" w:type="dxa"/>
            <w:vAlign w:val="bottom"/>
            <w:tcBorders>
              <w:top w:val="single" w:sz="8" w:color="003445"/>
            </w:tcBorders>
            <w:shd w:val="clear" w:color="auto" w:fill="003445"/>
          </w:tcPr>
          <w:p>
            <w:pPr>
              <w:spacing w:after="0"/>
              <w:rPr>
                <w:sz w:val="7"/>
                <w:szCs w:val="7"/>
                <w:color w:val="auto"/>
              </w:rPr>
            </w:pPr>
          </w:p>
        </w:tc>
        <w:tc>
          <w:tcPr>
            <w:tcW w:w="1380" w:type="dxa"/>
            <w:vAlign w:val="bottom"/>
            <w:tcBorders>
              <w:top w:val="single" w:sz="8" w:color="003445"/>
              <w:right w:val="single" w:sz="8" w:color="auto"/>
            </w:tcBorders>
            <w:shd w:val="clear" w:color="auto" w:fill="003445"/>
          </w:tcPr>
          <w:p>
            <w:pPr>
              <w:jc w:val="center"/>
              <w:spacing w:after="0" w:line="85" w:lineRule="exact"/>
              <w:rPr>
                <w:sz w:val="20"/>
                <w:szCs w:val="20"/>
                <w:color w:val="auto"/>
              </w:rPr>
            </w:pPr>
            <w:r>
              <w:rPr>
                <w:rFonts w:ascii="Arial" w:cs="Arial" w:eastAsia="Arial" w:hAnsi="Arial"/>
                <w:sz w:val="9"/>
                <w:szCs w:val="9"/>
                <w:b w:val="1"/>
                <w:bCs w:val="1"/>
                <w:color w:val="FFFFFF"/>
              </w:rPr>
              <w:t>Share</w:t>
            </w:r>
          </w:p>
        </w:tc>
        <w:tc>
          <w:tcPr>
            <w:tcW w:w="1480" w:type="dxa"/>
            <w:vAlign w:val="bottom"/>
            <w:tcBorders>
              <w:top w:val="single" w:sz="8" w:color="003445"/>
            </w:tcBorders>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Ownership</w:t>
            </w:r>
          </w:p>
        </w:tc>
        <w:tc>
          <w:tcPr>
            <w:tcW w:w="120" w:type="dxa"/>
            <w:vAlign w:val="bottom"/>
            <w:tcBorders>
              <w:top w:val="single" w:sz="8" w:color="auto"/>
              <w:left w:val="single" w:sz="8" w:color="auto"/>
            </w:tcBorders>
            <w:shd w:val="clear" w:color="auto" w:fill="003445"/>
          </w:tcPr>
          <w:p>
            <w:pPr>
              <w:spacing w:after="0"/>
              <w:rPr>
                <w:sz w:val="7"/>
                <w:szCs w:val="7"/>
                <w:color w:val="auto"/>
              </w:rPr>
            </w:pPr>
          </w:p>
        </w:tc>
        <w:tc>
          <w:tcPr>
            <w:tcW w:w="1140" w:type="dxa"/>
            <w:vAlign w:val="bottom"/>
            <w:tcBorders>
              <w:top w:val="single" w:sz="8" w:color="auto"/>
            </w:tcBorders>
            <w:vMerge w:val="restart"/>
            <w:shd w:val="clear" w:color="auto" w:fill="003445"/>
          </w:tcPr>
          <w:p>
            <w:pPr>
              <w:jc w:val="center"/>
              <w:ind w:left="173"/>
              <w:spacing w:after="0"/>
              <w:rPr>
                <w:sz w:val="20"/>
                <w:szCs w:val="20"/>
                <w:color w:val="auto"/>
              </w:rPr>
            </w:pPr>
            <w:r>
              <w:rPr>
                <w:rFonts w:ascii="Arial" w:cs="Arial" w:eastAsia="Arial" w:hAnsi="Arial"/>
                <w:sz w:val="17"/>
                <w:szCs w:val="17"/>
                <w:b w:val="1"/>
                <w:bCs w:val="1"/>
                <w:color w:val="FFFFFF"/>
              </w:rPr>
              <w:t>Share</w:t>
            </w:r>
          </w:p>
        </w:tc>
        <w:tc>
          <w:tcPr>
            <w:tcW w:w="260" w:type="dxa"/>
            <w:vAlign w:val="bottom"/>
            <w:tcBorders>
              <w:top w:val="single" w:sz="8" w:color="auto"/>
              <w:right w:val="single" w:sz="8" w:color="auto"/>
            </w:tcBorders>
            <w:shd w:val="clear" w:color="auto" w:fill="003445"/>
          </w:tcPr>
          <w:p>
            <w:pPr>
              <w:spacing w:after="0"/>
              <w:rPr>
                <w:sz w:val="7"/>
                <w:szCs w:val="7"/>
                <w:color w:val="auto"/>
              </w:rPr>
            </w:pPr>
          </w:p>
        </w:tc>
        <w:tc>
          <w:tcPr>
            <w:tcW w:w="1520" w:type="dxa"/>
            <w:vAlign w:val="bottom"/>
            <w:tcBorders>
              <w:top w:val="single" w:sz="8" w:color="auto"/>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w w:val="99"/>
              </w:rPr>
              <w:t>ASTL</w:t>
            </w:r>
          </w:p>
        </w:tc>
        <w:tc>
          <w:tcPr>
            <w:tcW w:w="280" w:type="dxa"/>
            <w:vAlign w:val="bottom"/>
            <w:tcBorders>
              <w:top w:val="single" w:sz="8" w:color="auto"/>
            </w:tcBorders>
            <w:shd w:val="clear" w:color="auto" w:fill="003445"/>
          </w:tcPr>
          <w:p>
            <w:pPr>
              <w:spacing w:after="0"/>
              <w:rPr>
                <w:sz w:val="7"/>
                <w:szCs w:val="7"/>
                <w:color w:val="auto"/>
              </w:rPr>
            </w:pPr>
          </w:p>
        </w:tc>
        <w:tc>
          <w:tcPr>
            <w:tcW w:w="1220" w:type="dxa"/>
            <w:vAlign w:val="bottom"/>
            <w:tcBorders>
              <w:top w:val="single" w:sz="8" w:color="auto"/>
              <w:right w:val="single" w:sz="8" w:color="auto"/>
            </w:tcBorders>
            <w:shd w:val="clear" w:color="auto" w:fill="003445"/>
          </w:tcPr>
          <w:p>
            <w:pPr>
              <w:spacing w:after="0"/>
              <w:rPr>
                <w:sz w:val="7"/>
                <w:szCs w:val="7"/>
                <w:color w:val="auto"/>
              </w:rPr>
            </w:pPr>
          </w:p>
        </w:tc>
        <w:tc>
          <w:tcPr>
            <w:tcW w:w="1380" w:type="dxa"/>
            <w:vAlign w:val="bottom"/>
            <w:tcBorders>
              <w:top w:val="single" w:sz="8" w:color="003445"/>
              <w:right w:val="single" w:sz="8" w:color="auto"/>
            </w:tcBorders>
            <w:shd w:val="clear" w:color="auto" w:fill="003445"/>
          </w:tcPr>
          <w:p>
            <w:pPr>
              <w:jc w:val="center"/>
              <w:spacing w:after="0" w:line="85" w:lineRule="exact"/>
              <w:rPr>
                <w:sz w:val="20"/>
                <w:szCs w:val="20"/>
                <w:color w:val="auto"/>
              </w:rPr>
            </w:pPr>
            <w:r>
              <w:rPr>
                <w:rFonts w:ascii="Arial" w:cs="Arial" w:eastAsia="Arial" w:hAnsi="Arial"/>
                <w:sz w:val="9"/>
                <w:szCs w:val="9"/>
                <w:b w:val="1"/>
                <w:bCs w:val="1"/>
                <w:color w:val="FFFFFF"/>
              </w:rPr>
              <w:t>Equity</w:t>
            </w:r>
          </w:p>
        </w:tc>
        <w:tc>
          <w:tcPr>
            <w:tcW w:w="0" w:type="dxa"/>
            <w:vAlign w:val="bottom"/>
          </w:tcPr>
          <w:p>
            <w:pPr>
              <w:spacing w:after="0"/>
              <w:rPr>
                <w:sz w:val="1"/>
                <w:szCs w:val="1"/>
                <w:color w:val="auto"/>
              </w:rPr>
            </w:pPr>
          </w:p>
        </w:tc>
      </w:tr>
      <w:tr>
        <w:trPr>
          <w:trHeight w:val="112"/>
        </w:trPr>
        <w:tc>
          <w:tcPr>
            <w:tcW w:w="1800" w:type="dxa"/>
            <w:vAlign w:val="bottom"/>
            <w:tcBorders>
              <w:left w:val="single" w:sz="8" w:color="auto"/>
              <w:right w:val="single" w:sz="8" w:color="auto"/>
            </w:tcBorders>
            <w:vMerge w:val="restart"/>
            <w:shd w:val="clear" w:color="auto" w:fill="003445"/>
          </w:tcPr>
          <w:p>
            <w:pPr>
              <w:ind w:left="720"/>
              <w:spacing w:after="0"/>
              <w:rPr>
                <w:sz w:val="20"/>
                <w:szCs w:val="20"/>
                <w:color w:val="auto"/>
              </w:rPr>
            </w:pPr>
            <w:r>
              <w:rPr>
                <w:rFonts w:ascii="Arial" w:cs="Arial" w:eastAsia="Arial" w:hAnsi="Arial"/>
                <w:sz w:val="17"/>
                <w:szCs w:val="17"/>
                <w:b w:val="1"/>
                <w:bCs w:val="1"/>
                <w:color w:val="FFFFFF"/>
              </w:rPr>
              <w:t>Name</w:t>
            </w:r>
          </w:p>
        </w:tc>
        <w:tc>
          <w:tcPr>
            <w:tcW w:w="120" w:type="dxa"/>
            <w:vAlign w:val="bottom"/>
            <w:shd w:val="clear" w:color="auto" w:fill="003445"/>
          </w:tcPr>
          <w:p>
            <w:pPr>
              <w:spacing w:after="0"/>
              <w:rPr>
                <w:sz w:val="9"/>
                <w:szCs w:val="9"/>
                <w:color w:val="auto"/>
              </w:rPr>
            </w:pPr>
          </w:p>
        </w:tc>
        <w:tc>
          <w:tcPr>
            <w:tcW w:w="138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Ownership</w:t>
            </w:r>
          </w:p>
        </w:tc>
        <w:tc>
          <w:tcPr>
            <w:tcW w:w="1480" w:type="dxa"/>
            <w:vAlign w:val="bottom"/>
            <w:vMerge w:val="continue"/>
            <w:shd w:val="clear" w:color="auto" w:fill="003445"/>
          </w:tcPr>
          <w:p>
            <w:pPr>
              <w:spacing w:after="0"/>
              <w:rPr>
                <w:sz w:val="9"/>
                <w:szCs w:val="9"/>
                <w:color w:val="auto"/>
              </w:rPr>
            </w:pPr>
          </w:p>
        </w:tc>
        <w:tc>
          <w:tcPr>
            <w:tcW w:w="120" w:type="dxa"/>
            <w:vAlign w:val="bottom"/>
            <w:tcBorders>
              <w:left w:val="single" w:sz="8" w:color="auto"/>
            </w:tcBorders>
            <w:shd w:val="clear" w:color="auto" w:fill="003445"/>
          </w:tcPr>
          <w:p>
            <w:pPr>
              <w:spacing w:after="0"/>
              <w:rPr>
                <w:sz w:val="9"/>
                <w:szCs w:val="9"/>
                <w:color w:val="auto"/>
              </w:rPr>
            </w:pPr>
          </w:p>
        </w:tc>
        <w:tc>
          <w:tcPr>
            <w:tcW w:w="1140" w:type="dxa"/>
            <w:vAlign w:val="bottom"/>
            <w:vMerge w:val="continue"/>
            <w:shd w:val="clear" w:color="auto" w:fill="003445"/>
          </w:tcPr>
          <w:p>
            <w:pPr>
              <w:spacing w:after="0"/>
              <w:rPr>
                <w:sz w:val="9"/>
                <w:szCs w:val="9"/>
                <w:color w:val="auto"/>
              </w:rPr>
            </w:pPr>
          </w:p>
        </w:tc>
        <w:tc>
          <w:tcPr>
            <w:tcW w:w="260" w:type="dxa"/>
            <w:vAlign w:val="bottom"/>
            <w:tcBorders>
              <w:right w:val="single" w:sz="8" w:color="auto"/>
            </w:tcBorders>
            <w:shd w:val="clear" w:color="auto" w:fill="003445"/>
          </w:tcPr>
          <w:p>
            <w:pPr>
              <w:spacing w:after="0"/>
              <w:rPr>
                <w:sz w:val="9"/>
                <w:szCs w:val="9"/>
                <w:color w:val="auto"/>
              </w:rPr>
            </w:pP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280" w:type="dxa"/>
            <w:vAlign w:val="bottom"/>
            <w:shd w:val="clear" w:color="auto" w:fill="003445"/>
          </w:tcPr>
          <w:p>
            <w:pPr>
              <w:spacing w:after="0"/>
              <w:rPr>
                <w:sz w:val="9"/>
                <w:szCs w:val="9"/>
                <w:color w:val="auto"/>
              </w:rPr>
            </w:pPr>
          </w:p>
        </w:tc>
        <w:tc>
          <w:tcPr>
            <w:tcW w:w="1220" w:type="dxa"/>
            <w:vAlign w:val="bottom"/>
            <w:tcBorders>
              <w:right w:val="single" w:sz="8" w:color="auto"/>
            </w:tcBorders>
            <w:vMerge w:val="restart"/>
            <w:shd w:val="clear" w:color="auto" w:fill="003445"/>
          </w:tcPr>
          <w:p>
            <w:pPr>
              <w:jc w:val="center"/>
              <w:ind w:right="133"/>
              <w:spacing w:after="0"/>
              <w:rPr>
                <w:sz w:val="20"/>
                <w:szCs w:val="20"/>
                <w:color w:val="auto"/>
              </w:rPr>
            </w:pPr>
            <w:r>
              <w:rPr>
                <w:rFonts w:ascii="Arial" w:cs="Arial" w:eastAsia="Arial" w:hAnsi="Arial"/>
                <w:sz w:val="17"/>
                <w:szCs w:val="17"/>
                <w:b w:val="1"/>
                <w:bCs w:val="1"/>
                <w:color w:val="FFFFFF"/>
                <w:w w:val="98"/>
              </w:rPr>
              <w:t>Total</w:t>
            </w:r>
          </w:p>
        </w:tc>
        <w:tc>
          <w:tcPr>
            <w:tcW w:w="138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Ownership,</w:t>
            </w:r>
          </w:p>
        </w:tc>
        <w:tc>
          <w:tcPr>
            <w:tcW w:w="0" w:type="dxa"/>
            <w:vAlign w:val="bottom"/>
          </w:tcPr>
          <w:p>
            <w:pPr>
              <w:spacing w:after="0"/>
              <w:rPr>
                <w:sz w:val="1"/>
                <w:szCs w:val="1"/>
                <w:color w:val="auto"/>
              </w:rPr>
            </w:pPr>
          </w:p>
        </w:tc>
      </w:tr>
      <w:tr>
        <w:trPr>
          <w:trHeight w:val="111"/>
        </w:trPr>
        <w:tc>
          <w:tcPr>
            <w:tcW w:w="1800" w:type="dxa"/>
            <w:vAlign w:val="bottom"/>
            <w:tcBorders>
              <w:left w:val="single" w:sz="8" w:color="auto"/>
              <w:right w:val="single" w:sz="8" w:color="auto"/>
            </w:tcBorders>
            <w:vMerge w:val="continue"/>
            <w:shd w:val="clear" w:color="auto" w:fill="003445"/>
          </w:tcPr>
          <w:p>
            <w:pPr>
              <w:spacing w:after="0"/>
              <w:rPr>
                <w:sz w:val="9"/>
                <w:szCs w:val="9"/>
                <w:color w:val="auto"/>
              </w:rPr>
            </w:pPr>
          </w:p>
        </w:tc>
        <w:tc>
          <w:tcPr>
            <w:tcW w:w="120" w:type="dxa"/>
            <w:vAlign w:val="bottom"/>
            <w:shd w:val="clear" w:color="auto" w:fill="003445"/>
          </w:tcPr>
          <w:p>
            <w:pPr>
              <w:spacing w:after="0"/>
              <w:rPr>
                <w:sz w:val="9"/>
                <w:szCs w:val="9"/>
                <w:color w:val="auto"/>
              </w:rPr>
            </w:pPr>
          </w:p>
        </w:tc>
        <w:tc>
          <w:tcPr>
            <w:tcW w:w="1380" w:type="dxa"/>
            <w:vAlign w:val="bottom"/>
            <w:tcBorders>
              <w:right w:val="single" w:sz="8" w:color="auto"/>
            </w:tcBorders>
            <w:vMerge w:val="continue"/>
            <w:shd w:val="clear" w:color="auto" w:fill="003445"/>
          </w:tcPr>
          <w:p>
            <w:pPr>
              <w:spacing w:after="0"/>
              <w:rPr>
                <w:sz w:val="9"/>
                <w:szCs w:val="9"/>
                <w:color w:val="auto"/>
              </w:rPr>
            </w:pPr>
          </w:p>
        </w:tc>
        <w:tc>
          <w:tcPr>
            <w:tcW w:w="1480" w:type="dxa"/>
            <w:vAlign w:val="bottom"/>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Requirement</w:t>
            </w:r>
          </w:p>
        </w:tc>
        <w:tc>
          <w:tcPr>
            <w:tcW w:w="120" w:type="dxa"/>
            <w:vAlign w:val="bottom"/>
            <w:tcBorders>
              <w:left w:val="single" w:sz="8" w:color="auto"/>
            </w:tcBorders>
            <w:shd w:val="clear" w:color="auto" w:fill="003445"/>
          </w:tcPr>
          <w:p>
            <w:pPr>
              <w:spacing w:after="0"/>
              <w:rPr>
                <w:sz w:val="9"/>
                <w:szCs w:val="9"/>
                <w:color w:val="auto"/>
              </w:rPr>
            </w:pPr>
          </w:p>
        </w:tc>
        <w:tc>
          <w:tcPr>
            <w:tcW w:w="1140" w:type="dxa"/>
            <w:vAlign w:val="bottom"/>
            <w:vMerge w:val="continue"/>
            <w:shd w:val="clear" w:color="auto" w:fill="003445"/>
          </w:tcPr>
          <w:p>
            <w:pPr>
              <w:spacing w:after="0"/>
              <w:rPr>
                <w:sz w:val="9"/>
                <w:szCs w:val="9"/>
                <w:color w:val="auto"/>
              </w:rPr>
            </w:pPr>
          </w:p>
        </w:tc>
        <w:tc>
          <w:tcPr>
            <w:tcW w:w="260" w:type="dxa"/>
            <w:vAlign w:val="bottom"/>
            <w:tcBorders>
              <w:right w:val="single" w:sz="8" w:color="auto"/>
            </w:tcBorders>
            <w:shd w:val="clear" w:color="auto" w:fill="003445"/>
          </w:tcPr>
          <w:p>
            <w:pPr>
              <w:spacing w:after="0"/>
              <w:rPr>
                <w:sz w:val="9"/>
                <w:szCs w:val="9"/>
                <w:color w:val="auto"/>
              </w:rPr>
            </w:pP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280" w:type="dxa"/>
            <w:vAlign w:val="bottom"/>
            <w:shd w:val="clear" w:color="auto" w:fill="003445"/>
          </w:tcPr>
          <w:p>
            <w:pPr>
              <w:spacing w:after="0"/>
              <w:rPr>
                <w:sz w:val="9"/>
                <w:szCs w:val="9"/>
                <w:color w:val="auto"/>
              </w:rPr>
            </w:pPr>
          </w:p>
        </w:tc>
        <w:tc>
          <w:tcPr>
            <w:tcW w:w="1220" w:type="dxa"/>
            <w:vAlign w:val="bottom"/>
            <w:tcBorders>
              <w:right w:val="single" w:sz="8" w:color="auto"/>
            </w:tcBorders>
            <w:vMerge w:val="continue"/>
            <w:shd w:val="clear" w:color="auto" w:fill="003445"/>
          </w:tcPr>
          <w:p>
            <w:pPr>
              <w:spacing w:after="0"/>
              <w:rPr>
                <w:sz w:val="9"/>
                <w:szCs w:val="9"/>
                <w:color w:val="auto"/>
              </w:rPr>
            </w:pPr>
          </w:p>
        </w:tc>
        <w:tc>
          <w:tcPr>
            <w:tcW w:w="138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1800" w:type="dxa"/>
            <w:vAlign w:val="bottom"/>
            <w:tcBorders>
              <w:left w:val="single" w:sz="8" w:color="auto"/>
              <w:right w:val="single" w:sz="8" w:color="auto"/>
            </w:tcBorders>
            <w:shd w:val="clear" w:color="auto" w:fill="003445"/>
          </w:tcPr>
          <w:p>
            <w:pPr>
              <w:spacing w:after="0"/>
              <w:rPr>
                <w:sz w:val="7"/>
                <w:szCs w:val="7"/>
                <w:color w:val="auto"/>
              </w:rPr>
            </w:pPr>
          </w:p>
        </w:tc>
        <w:tc>
          <w:tcPr>
            <w:tcW w:w="120" w:type="dxa"/>
            <w:vAlign w:val="bottom"/>
            <w:shd w:val="clear" w:color="auto" w:fill="003445"/>
          </w:tcPr>
          <w:p>
            <w:pPr>
              <w:spacing w:after="0"/>
              <w:rPr>
                <w:sz w:val="7"/>
                <w:szCs w:val="7"/>
                <w:color w:val="auto"/>
              </w:rPr>
            </w:pPr>
          </w:p>
        </w:tc>
        <w:tc>
          <w:tcPr>
            <w:tcW w:w="138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Guideline</w:t>
            </w:r>
          </w:p>
        </w:tc>
        <w:tc>
          <w:tcPr>
            <w:tcW w:w="1480" w:type="dxa"/>
            <w:vAlign w:val="bottom"/>
            <w:vMerge w:val="continue"/>
            <w:shd w:val="clear" w:color="auto" w:fill="003445"/>
          </w:tcPr>
          <w:p>
            <w:pPr>
              <w:spacing w:after="0"/>
              <w:rPr>
                <w:sz w:val="7"/>
                <w:szCs w:val="7"/>
                <w:color w:val="auto"/>
              </w:rPr>
            </w:pPr>
          </w:p>
        </w:tc>
        <w:tc>
          <w:tcPr>
            <w:tcW w:w="120" w:type="dxa"/>
            <w:vAlign w:val="bottom"/>
            <w:tcBorders>
              <w:left w:val="single" w:sz="8" w:color="auto"/>
            </w:tcBorders>
            <w:shd w:val="clear" w:color="auto" w:fill="003445"/>
          </w:tcPr>
          <w:p>
            <w:pPr>
              <w:spacing w:after="0"/>
              <w:rPr>
                <w:sz w:val="7"/>
                <w:szCs w:val="7"/>
                <w:color w:val="auto"/>
              </w:rPr>
            </w:pPr>
          </w:p>
        </w:tc>
        <w:tc>
          <w:tcPr>
            <w:tcW w:w="1140" w:type="dxa"/>
            <w:vAlign w:val="bottom"/>
            <w:vMerge w:val="restart"/>
            <w:shd w:val="clear" w:color="auto" w:fill="003445"/>
          </w:tcPr>
          <w:p>
            <w:pPr>
              <w:jc w:val="center"/>
              <w:ind w:left="153"/>
              <w:spacing w:after="0"/>
              <w:rPr>
                <w:sz w:val="20"/>
                <w:szCs w:val="20"/>
                <w:color w:val="auto"/>
              </w:rPr>
            </w:pPr>
            <w:r>
              <w:rPr>
                <w:rFonts w:ascii="Arial" w:cs="Arial" w:eastAsia="Arial" w:hAnsi="Arial"/>
                <w:sz w:val="17"/>
                <w:szCs w:val="17"/>
                <w:b w:val="1"/>
                <w:bCs w:val="1"/>
                <w:color w:val="FFFFFF"/>
              </w:rPr>
              <w:t>Units ($)</w:t>
            </w:r>
          </w:p>
        </w:tc>
        <w:tc>
          <w:tcPr>
            <w:tcW w:w="260" w:type="dxa"/>
            <w:vAlign w:val="bottom"/>
            <w:tcBorders>
              <w:right w:val="single" w:sz="8" w:color="auto"/>
            </w:tcBorders>
            <w:shd w:val="clear" w:color="auto" w:fill="003445"/>
          </w:tcPr>
          <w:p>
            <w:pPr>
              <w:spacing w:after="0"/>
              <w:rPr>
                <w:sz w:val="7"/>
                <w:szCs w:val="7"/>
                <w:color w:val="auto"/>
              </w:rPr>
            </w:pPr>
          </w:p>
        </w:tc>
        <w:tc>
          <w:tcPr>
            <w:tcW w:w="15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Shares ($)</w:t>
            </w:r>
          </w:p>
        </w:tc>
        <w:tc>
          <w:tcPr>
            <w:tcW w:w="280" w:type="dxa"/>
            <w:vAlign w:val="bottom"/>
            <w:shd w:val="clear" w:color="auto" w:fill="003445"/>
          </w:tcPr>
          <w:p>
            <w:pPr>
              <w:spacing w:after="0"/>
              <w:rPr>
                <w:sz w:val="7"/>
                <w:szCs w:val="7"/>
                <w:color w:val="auto"/>
              </w:rPr>
            </w:pPr>
          </w:p>
        </w:tc>
        <w:tc>
          <w:tcPr>
            <w:tcW w:w="1220" w:type="dxa"/>
            <w:vAlign w:val="bottom"/>
            <w:tcBorders>
              <w:right w:val="single" w:sz="8" w:color="auto"/>
            </w:tcBorders>
            <w:vMerge w:val="restart"/>
            <w:shd w:val="clear" w:color="auto" w:fill="003445"/>
          </w:tcPr>
          <w:p>
            <w:pPr>
              <w:jc w:val="center"/>
              <w:ind w:right="113"/>
              <w:spacing w:after="0"/>
              <w:rPr>
                <w:sz w:val="20"/>
                <w:szCs w:val="20"/>
                <w:color w:val="auto"/>
              </w:rPr>
            </w:pPr>
            <w:r>
              <w:rPr>
                <w:rFonts w:ascii="Arial" w:cs="Arial" w:eastAsia="Arial" w:hAnsi="Arial"/>
                <w:sz w:val="17"/>
                <w:szCs w:val="17"/>
                <w:b w:val="1"/>
                <w:bCs w:val="1"/>
                <w:color w:val="FFFFFF"/>
              </w:rPr>
              <w:t>(a)+(b)</w:t>
            </w:r>
          </w:p>
        </w:tc>
        <w:tc>
          <w:tcPr>
            <w:tcW w:w="138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Relative to</w:t>
            </w:r>
          </w:p>
        </w:tc>
        <w:tc>
          <w:tcPr>
            <w:tcW w:w="0" w:type="dxa"/>
            <w:vAlign w:val="bottom"/>
          </w:tcPr>
          <w:p>
            <w:pPr>
              <w:spacing w:after="0"/>
              <w:rPr>
                <w:sz w:val="1"/>
                <w:szCs w:val="1"/>
                <w:color w:val="auto"/>
              </w:rPr>
            </w:pPr>
          </w:p>
        </w:tc>
      </w:tr>
      <w:tr>
        <w:trPr>
          <w:trHeight w:val="111"/>
        </w:trPr>
        <w:tc>
          <w:tcPr>
            <w:tcW w:w="1800" w:type="dxa"/>
            <w:vAlign w:val="bottom"/>
            <w:tcBorders>
              <w:left w:val="single" w:sz="8" w:color="auto"/>
              <w:right w:val="single" w:sz="8" w:color="auto"/>
            </w:tcBorders>
            <w:shd w:val="clear" w:color="auto" w:fill="003445"/>
          </w:tcPr>
          <w:p>
            <w:pPr>
              <w:spacing w:after="0"/>
              <w:rPr>
                <w:sz w:val="9"/>
                <w:szCs w:val="9"/>
                <w:color w:val="auto"/>
              </w:rPr>
            </w:pPr>
          </w:p>
        </w:tc>
        <w:tc>
          <w:tcPr>
            <w:tcW w:w="120" w:type="dxa"/>
            <w:vAlign w:val="bottom"/>
            <w:shd w:val="clear" w:color="auto" w:fill="003445"/>
          </w:tcPr>
          <w:p>
            <w:pPr>
              <w:spacing w:after="0"/>
              <w:rPr>
                <w:sz w:val="9"/>
                <w:szCs w:val="9"/>
                <w:color w:val="auto"/>
              </w:rPr>
            </w:pPr>
          </w:p>
        </w:tc>
        <w:tc>
          <w:tcPr>
            <w:tcW w:w="1380" w:type="dxa"/>
            <w:vAlign w:val="bottom"/>
            <w:tcBorders>
              <w:right w:val="single" w:sz="8" w:color="auto"/>
            </w:tcBorders>
            <w:vMerge w:val="continue"/>
            <w:shd w:val="clear" w:color="auto" w:fill="003445"/>
          </w:tcPr>
          <w:p>
            <w:pPr>
              <w:spacing w:after="0"/>
              <w:rPr>
                <w:sz w:val="9"/>
                <w:szCs w:val="9"/>
                <w:color w:val="auto"/>
              </w:rPr>
            </w:pPr>
          </w:p>
        </w:tc>
        <w:tc>
          <w:tcPr>
            <w:tcW w:w="1480" w:type="dxa"/>
            <w:vAlign w:val="bottom"/>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w:t>
            </w:r>
          </w:p>
        </w:tc>
        <w:tc>
          <w:tcPr>
            <w:tcW w:w="120" w:type="dxa"/>
            <w:vAlign w:val="bottom"/>
            <w:tcBorders>
              <w:left w:val="single" w:sz="8" w:color="auto"/>
            </w:tcBorders>
            <w:shd w:val="clear" w:color="auto" w:fill="003445"/>
          </w:tcPr>
          <w:p>
            <w:pPr>
              <w:spacing w:after="0"/>
              <w:rPr>
                <w:sz w:val="9"/>
                <w:szCs w:val="9"/>
                <w:color w:val="auto"/>
              </w:rPr>
            </w:pPr>
          </w:p>
        </w:tc>
        <w:tc>
          <w:tcPr>
            <w:tcW w:w="1140" w:type="dxa"/>
            <w:vAlign w:val="bottom"/>
            <w:vMerge w:val="continue"/>
            <w:shd w:val="clear" w:color="auto" w:fill="003445"/>
          </w:tcPr>
          <w:p>
            <w:pPr>
              <w:spacing w:after="0"/>
              <w:rPr>
                <w:sz w:val="9"/>
                <w:szCs w:val="9"/>
                <w:color w:val="auto"/>
              </w:rPr>
            </w:pPr>
          </w:p>
        </w:tc>
        <w:tc>
          <w:tcPr>
            <w:tcW w:w="260" w:type="dxa"/>
            <w:vAlign w:val="bottom"/>
            <w:tcBorders>
              <w:right w:val="single" w:sz="8" w:color="auto"/>
            </w:tcBorders>
            <w:shd w:val="clear" w:color="auto" w:fill="003445"/>
          </w:tcPr>
          <w:p>
            <w:pPr>
              <w:spacing w:after="0"/>
              <w:rPr>
                <w:sz w:val="9"/>
                <w:szCs w:val="9"/>
                <w:color w:val="auto"/>
              </w:rPr>
            </w:pP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280" w:type="dxa"/>
            <w:vAlign w:val="bottom"/>
            <w:shd w:val="clear" w:color="auto" w:fill="003445"/>
          </w:tcPr>
          <w:p>
            <w:pPr>
              <w:spacing w:after="0"/>
              <w:rPr>
                <w:sz w:val="9"/>
                <w:szCs w:val="9"/>
                <w:color w:val="auto"/>
              </w:rPr>
            </w:pPr>
          </w:p>
        </w:tc>
        <w:tc>
          <w:tcPr>
            <w:tcW w:w="1220" w:type="dxa"/>
            <w:vAlign w:val="bottom"/>
            <w:tcBorders>
              <w:right w:val="single" w:sz="8" w:color="auto"/>
            </w:tcBorders>
            <w:vMerge w:val="continue"/>
            <w:shd w:val="clear" w:color="auto" w:fill="003445"/>
          </w:tcPr>
          <w:p>
            <w:pPr>
              <w:spacing w:after="0"/>
              <w:rPr>
                <w:sz w:val="9"/>
                <w:szCs w:val="9"/>
                <w:color w:val="auto"/>
              </w:rPr>
            </w:pPr>
          </w:p>
        </w:tc>
        <w:tc>
          <w:tcPr>
            <w:tcW w:w="138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1800" w:type="dxa"/>
            <w:vAlign w:val="bottom"/>
            <w:tcBorders>
              <w:left w:val="single" w:sz="8" w:color="auto"/>
              <w:right w:val="single" w:sz="8" w:color="auto"/>
            </w:tcBorders>
            <w:shd w:val="clear" w:color="auto" w:fill="003445"/>
          </w:tcPr>
          <w:p>
            <w:pPr>
              <w:spacing w:after="0"/>
              <w:rPr>
                <w:sz w:val="20"/>
                <w:szCs w:val="20"/>
                <w:color w:val="auto"/>
              </w:rPr>
            </w:pPr>
          </w:p>
        </w:tc>
        <w:tc>
          <w:tcPr>
            <w:tcW w:w="120" w:type="dxa"/>
            <w:vAlign w:val="bottom"/>
            <w:shd w:val="clear" w:color="auto" w:fill="003445"/>
          </w:tcPr>
          <w:p>
            <w:pPr>
              <w:spacing w:after="0"/>
              <w:rPr>
                <w:sz w:val="20"/>
                <w:szCs w:val="20"/>
                <w:color w:val="auto"/>
              </w:rPr>
            </w:pPr>
          </w:p>
        </w:tc>
        <w:tc>
          <w:tcPr>
            <w:tcW w:w="1380" w:type="dxa"/>
            <w:vAlign w:val="bottom"/>
            <w:tcBorders>
              <w:right w:val="single" w:sz="8" w:color="auto"/>
            </w:tcBorders>
            <w:shd w:val="clear" w:color="auto" w:fill="003445"/>
          </w:tcPr>
          <w:p>
            <w:pPr>
              <w:spacing w:after="0"/>
              <w:rPr>
                <w:sz w:val="20"/>
                <w:szCs w:val="20"/>
                <w:color w:val="auto"/>
              </w:rPr>
            </w:pPr>
          </w:p>
        </w:tc>
        <w:tc>
          <w:tcPr>
            <w:tcW w:w="1480" w:type="dxa"/>
            <w:vAlign w:val="bottom"/>
            <w:vMerge w:val="continue"/>
            <w:shd w:val="clear" w:color="auto" w:fill="003445"/>
          </w:tcPr>
          <w:p>
            <w:pPr>
              <w:spacing w:after="0"/>
              <w:rPr>
                <w:sz w:val="20"/>
                <w:szCs w:val="20"/>
                <w:color w:val="auto"/>
              </w:rPr>
            </w:pPr>
          </w:p>
        </w:tc>
        <w:tc>
          <w:tcPr>
            <w:tcW w:w="120" w:type="dxa"/>
            <w:vAlign w:val="bottom"/>
            <w:tcBorders>
              <w:left w:val="single" w:sz="8" w:color="auto"/>
            </w:tcBorders>
            <w:shd w:val="clear" w:color="auto" w:fill="003445"/>
          </w:tcPr>
          <w:p>
            <w:pPr>
              <w:spacing w:after="0"/>
              <w:rPr>
                <w:sz w:val="20"/>
                <w:szCs w:val="20"/>
                <w:color w:val="auto"/>
              </w:rPr>
            </w:pPr>
          </w:p>
        </w:tc>
        <w:tc>
          <w:tcPr>
            <w:tcW w:w="1140" w:type="dxa"/>
            <w:vAlign w:val="bottom"/>
            <w:shd w:val="clear" w:color="auto" w:fill="003445"/>
          </w:tcPr>
          <w:p>
            <w:pPr>
              <w:jc w:val="center"/>
              <w:ind w:left="153"/>
              <w:spacing w:after="0"/>
              <w:rPr>
                <w:sz w:val="20"/>
                <w:szCs w:val="20"/>
                <w:color w:val="auto"/>
              </w:rPr>
            </w:pPr>
            <w:r>
              <w:rPr>
                <w:rFonts w:ascii="Arial" w:cs="Arial" w:eastAsia="Arial" w:hAnsi="Arial"/>
                <w:sz w:val="17"/>
                <w:szCs w:val="17"/>
                <w:b w:val="1"/>
                <w:bCs w:val="1"/>
                <w:color w:val="FFFFFF"/>
              </w:rPr>
              <w:t>(a)</w:t>
            </w:r>
          </w:p>
        </w:tc>
        <w:tc>
          <w:tcPr>
            <w:tcW w:w="260" w:type="dxa"/>
            <w:vAlign w:val="bottom"/>
            <w:tcBorders>
              <w:right w:val="single" w:sz="8" w:color="auto"/>
            </w:tcBorders>
            <w:shd w:val="clear" w:color="auto" w:fill="003445"/>
          </w:tcPr>
          <w:p>
            <w:pPr>
              <w:spacing w:after="0"/>
              <w:rPr>
                <w:sz w:val="20"/>
                <w:szCs w:val="20"/>
                <w:color w:val="auto"/>
              </w:rPr>
            </w:pPr>
          </w:p>
        </w:tc>
        <w:tc>
          <w:tcPr>
            <w:tcW w:w="152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(b)</w:t>
            </w:r>
          </w:p>
        </w:tc>
        <w:tc>
          <w:tcPr>
            <w:tcW w:w="280" w:type="dxa"/>
            <w:vAlign w:val="bottom"/>
            <w:shd w:val="clear" w:color="auto" w:fill="003445"/>
          </w:tcPr>
          <w:p>
            <w:pPr>
              <w:spacing w:after="0"/>
              <w:rPr>
                <w:sz w:val="20"/>
                <w:szCs w:val="20"/>
                <w:color w:val="auto"/>
              </w:rPr>
            </w:pPr>
          </w:p>
        </w:tc>
        <w:tc>
          <w:tcPr>
            <w:tcW w:w="1220" w:type="dxa"/>
            <w:vAlign w:val="bottom"/>
            <w:tcBorders>
              <w:right w:val="single" w:sz="8" w:color="auto"/>
            </w:tcBorders>
            <w:shd w:val="clear" w:color="auto" w:fill="003445"/>
          </w:tcPr>
          <w:p>
            <w:pPr>
              <w:spacing w:after="0"/>
              <w:rPr>
                <w:sz w:val="20"/>
                <w:szCs w:val="20"/>
                <w:color w:val="auto"/>
              </w:rPr>
            </w:pPr>
          </w:p>
        </w:tc>
        <w:tc>
          <w:tcPr>
            <w:tcW w:w="138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Requirement</w:t>
            </w:r>
          </w:p>
        </w:tc>
        <w:tc>
          <w:tcPr>
            <w:tcW w:w="0" w:type="dxa"/>
            <w:vAlign w:val="bottom"/>
          </w:tcPr>
          <w:p>
            <w:pPr>
              <w:spacing w:after="0"/>
              <w:rPr>
                <w:sz w:val="1"/>
                <w:szCs w:val="1"/>
                <w:color w:val="auto"/>
              </w:rPr>
            </w:pPr>
          </w:p>
        </w:tc>
      </w:tr>
      <w:tr>
        <w:trPr>
          <w:trHeight w:val="114"/>
        </w:trPr>
        <w:tc>
          <w:tcPr>
            <w:tcW w:w="1800" w:type="dxa"/>
            <w:vAlign w:val="bottom"/>
            <w:tcBorders>
              <w:left w:val="single" w:sz="8" w:color="auto"/>
              <w:bottom w:val="single" w:sz="8" w:color="auto"/>
              <w:right w:val="single" w:sz="8" w:color="auto"/>
            </w:tcBorders>
            <w:shd w:val="clear" w:color="auto" w:fill="003445"/>
          </w:tcPr>
          <w:p>
            <w:pPr>
              <w:spacing w:after="0"/>
              <w:rPr>
                <w:sz w:val="9"/>
                <w:szCs w:val="9"/>
                <w:color w:val="auto"/>
              </w:rPr>
            </w:pPr>
          </w:p>
        </w:tc>
        <w:tc>
          <w:tcPr>
            <w:tcW w:w="120" w:type="dxa"/>
            <w:vAlign w:val="bottom"/>
            <w:tcBorders>
              <w:bottom w:val="single" w:sz="8" w:color="auto"/>
            </w:tcBorders>
            <w:shd w:val="clear" w:color="auto" w:fill="003445"/>
          </w:tcPr>
          <w:p>
            <w:pPr>
              <w:spacing w:after="0"/>
              <w:rPr>
                <w:sz w:val="9"/>
                <w:szCs w:val="9"/>
                <w:color w:val="auto"/>
              </w:rPr>
            </w:pPr>
          </w:p>
        </w:tc>
        <w:tc>
          <w:tcPr>
            <w:tcW w:w="1380" w:type="dxa"/>
            <w:vAlign w:val="bottom"/>
            <w:tcBorders>
              <w:bottom w:val="single" w:sz="8" w:color="auto"/>
              <w:right w:val="single" w:sz="8" w:color="auto"/>
            </w:tcBorders>
            <w:shd w:val="clear" w:color="auto" w:fill="003445"/>
          </w:tcPr>
          <w:p>
            <w:pPr>
              <w:spacing w:after="0"/>
              <w:rPr>
                <w:sz w:val="9"/>
                <w:szCs w:val="9"/>
                <w:color w:val="auto"/>
              </w:rPr>
            </w:pPr>
          </w:p>
        </w:tc>
        <w:tc>
          <w:tcPr>
            <w:tcW w:w="1480" w:type="dxa"/>
            <w:vAlign w:val="bottom"/>
            <w:tcBorders>
              <w:bottom w:val="single" w:sz="8" w:color="auto"/>
            </w:tcBorders>
            <w:shd w:val="clear" w:color="auto" w:fill="003445"/>
          </w:tcPr>
          <w:p>
            <w:pPr>
              <w:spacing w:after="0"/>
              <w:rPr>
                <w:sz w:val="9"/>
                <w:szCs w:val="9"/>
                <w:color w:val="auto"/>
              </w:rPr>
            </w:pPr>
          </w:p>
        </w:tc>
        <w:tc>
          <w:tcPr>
            <w:tcW w:w="120" w:type="dxa"/>
            <w:vAlign w:val="bottom"/>
            <w:tcBorders>
              <w:left w:val="single" w:sz="8" w:color="auto"/>
              <w:bottom w:val="single" w:sz="8" w:color="auto"/>
            </w:tcBorders>
            <w:shd w:val="clear" w:color="auto" w:fill="003445"/>
          </w:tcPr>
          <w:p>
            <w:pPr>
              <w:spacing w:after="0"/>
              <w:rPr>
                <w:sz w:val="9"/>
                <w:szCs w:val="9"/>
                <w:color w:val="auto"/>
              </w:rPr>
            </w:pPr>
          </w:p>
        </w:tc>
        <w:tc>
          <w:tcPr>
            <w:tcW w:w="1140" w:type="dxa"/>
            <w:vAlign w:val="bottom"/>
            <w:tcBorders>
              <w:bottom w:val="single" w:sz="8" w:color="auto"/>
            </w:tcBorders>
            <w:shd w:val="clear" w:color="auto" w:fill="003445"/>
          </w:tcPr>
          <w:p>
            <w:pPr>
              <w:spacing w:after="0"/>
              <w:rPr>
                <w:sz w:val="9"/>
                <w:szCs w:val="9"/>
                <w:color w:val="auto"/>
              </w:rPr>
            </w:pPr>
          </w:p>
        </w:tc>
        <w:tc>
          <w:tcPr>
            <w:tcW w:w="260" w:type="dxa"/>
            <w:vAlign w:val="bottom"/>
            <w:tcBorders>
              <w:bottom w:val="single" w:sz="8" w:color="auto"/>
              <w:right w:val="single" w:sz="8" w:color="auto"/>
            </w:tcBorders>
            <w:shd w:val="clear" w:color="auto" w:fill="003445"/>
          </w:tcPr>
          <w:p>
            <w:pPr>
              <w:spacing w:after="0"/>
              <w:rPr>
                <w:sz w:val="9"/>
                <w:szCs w:val="9"/>
                <w:color w:val="auto"/>
              </w:rPr>
            </w:pPr>
          </w:p>
        </w:tc>
        <w:tc>
          <w:tcPr>
            <w:tcW w:w="1520" w:type="dxa"/>
            <w:vAlign w:val="bottom"/>
            <w:tcBorders>
              <w:bottom w:val="single" w:sz="8" w:color="auto"/>
              <w:right w:val="single" w:sz="8" w:color="auto"/>
            </w:tcBorders>
            <w:shd w:val="clear" w:color="auto" w:fill="003445"/>
          </w:tcPr>
          <w:p>
            <w:pPr>
              <w:spacing w:after="0"/>
              <w:rPr>
                <w:sz w:val="9"/>
                <w:szCs w:val="9"/>
                <w:color w:val="auto"/>
              </w:rPr>
            </w:pPr>
          </w:p>
        </w:tc>
        <w:tc>
          <w:tcPr>
            <w:tcW w:w="280" w:type="dxa"/>
            <w:vAlign w:val="bottom"/>
            <w:tcBorders>
              <w:bottom w:val="single" w:sz="8" w:color="auto"/>
            </w:tcBorders>
            <w:shd w:val="clear" w:color="auto" w:fill="003445"/>
          </w:tcPr>
          <w:p>
            <w:pPr>
              <w:spacing w:after="0"/>
              <w:rPr>
                <w:sz w:val="9"/>
                <w:szCs w:val="9"/>
                <w:color w:val="auto"/>
              </w:rPr>
            </w:pPr>
          </w:p>
        </w:tc>
        <w:tc>
          <w:tcPr>
            <w:tcW w:w="1220" w:type="dxa"/>
            <w:vAlign w:val="bottom"/>
            <w:tcBorders>
              <w:bottom w:val="single" w:sz="8" w:color="auto"/>
              <w:right w:val="single" w:sz="8" w:color="auto"/>
            </w:tcBorders>
            <w:shd w:val="clear" w:color="auto" w:fill="003445"/>
          </w:tcPr>
          <w:p>
            <w:pPr>
              <w:spacing w:after="0"/>
              <w:rPr>
                <w:sz w:val="9"/>
                <w:szCs w:val="9"/>
                <w:color w:val="auto"/>
              </w:rPr>
            </w:pPr>
          </w:p>
        </w:tc>
        <w:tc>
          <w:tcPr>
            <w:tcW w:w="1380" w:type="dxa"/>
            <w:vAlign w:val="bottom"/>
            <w:tcBorders>
              <w:bottom w:val="single" w:sz="8" w:color="auto"/>
              <w:right w:val="single" w:sz="8" w:color="auto"/>
            </w:tcBorders>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Mary Anne</w:t>
            </w:r>
          </w:p>
        </w:tc>
        <w:tc>
          <w:tcPr>
            <w:tcW w:w="120" w:type="dxa"/>
            <w:vAlign w:val="bottom"/>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4X</w:t>
            </w:r>
          </w:p>
        </w:tc>
        <w:tc>
          <w:tcPr>
            <w:tcW w:w="1480" w:type="dxa"/>
            <w:vAlign w:val="bottom"/>
          </w:tcPr>
          <w:p>
            <w:pPr>
              <w:jc w:val="center"/>
              <w:ind w:left="13"/>
              <w:spacing w:after="0"/>
              <w:rPr>
                <w:sz w:val="20"/>
                <w:szCs w:val="20"/>
                <w:color w:val="auto"/>
              </w:rPr>
            </w:pPr>
            <w:r>
              <w:rPr>
                <w:rFonts w:ascii="Arial" w:cs="Arial" w:eastAsia="Arial" w:hAnsi="Arial"/>
                <w:sz w:val="17"/>
                <w:szCs w:val="17"/>
                <w:color w:val="auto"/>
              </w:rPr>
              <w:t>$603,064</w:t>
            </w:r>
          </w:p>
        </w:tc>
        <w:tc>
          <w:tcPr>
            <w:tcW w:w="1260" w:type="dxa"/>
            <w:vAlign w:val="bottom"/>
            <w:tcBorders>
              <w:left w:val="single" w:sz="8" w:color="auto"/>
            </w:tcBorders>
            <w:gridSpan w:val="2"/>
          </w:tcPr>
          <w:p>
            <w:pPr>
              <w:jc w:val="center"/>
              <w:ind w:left="273"/>
              <w:spacing w:after="0"/>
              <w:rPr>
                <w:sz w:val="20"/>
                <w:szCs w:val="20"/>
                <w:color w:val="auto"/>
              </w:rPr>
            </w:pPr>
            <w:r>
              <w:rPr>
                <w:rFonts w:ascii="Arial" w:cs="Arial" w:eastAsia="Arial" w:hAnsi="Arial"/>
                <w:sz w:val="17"/>
                <w:szCs w:val="17"/>
                <w:color w:val="auto"/>
              </w:rPr>
              <w:t>$501,948</w:t>
            </w:r>
          </w:p>
        </w:tc>
        <w:tc>
          <w:tcPr>
            <w:tcW w:w="2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8"/>
                <w:szCs w:val="18"/>
                <w:color w:val="auto"/>
              </w:rPr>
            </w:pPr>
          </w:p>
        </w:tc>
        <w:tc>
          <w:tcPr>
            <w:tcW w:w="122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rPr>
              <w:t>$501,948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98"/>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Bueschkens</w:t>
            </w:r>
          </w:p>
        </w:tc>
        <w:tc>
          <w:tcPr>
            <w:tcW w:w="12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Borders>
              <w:left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Director</w:t>
            </w:r>
          </w:p>
        </w:tc>
        <w:tc>
          <w:tcPr>
            <w:tcW w:w="1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60" w:type="dxa"/>
            <w:vAlign w:val="bottom"/>
            <w:tcBorders>
              <w:left w:val="single" w:sz="8" w:color="auto"/>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Sean Donnelly</w:t>
            </w:r>
          </w:p>
        </w:tc>
        <w:tc>
          <w:tcPr>
            <w:tcW w:w="120" w:type="dxa"/>
            <w:vAlign w:val="bottom"/>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4X</w:t>
            </w:r>
          </w:p>
        </w:tc>
        <w:tc>
          <w:tcPr>
            <w:tcW w:w="1480" w:type="dxa"/>
            <w:vAlign w:val="bottom"/>
          </w:tcPr>
          <w:p>
            <w:pPr>
              <w:jc w:val="center"/>
              <w:ind w:left="13"/>
              <w:spacing w:after="0"/>
              <w:rPr>
                <w:sz w:val="20"/>
                <w:szCs w:val="20"/>
                <w:color w:val="auto"/>
              </w:rPr>
            </w:pPr>
            <w:r>
              <w:rPr>
                <w:rFonts w:ascii="Arial" w:cs="Arial" w:eastAsia="Arial" w:hAnsi="Arial"/>
                <w:sz w:val="17"/>
                <w:szCs w:val="17"/>
                <w:color w:val="auto"/>
              </w:rPr>
              <w:t>$603,064</w:t>
            </w:r>
          </w:p>
        </w:tc>
        <w:tc>
          <w:tcPr>
            <w:tcW w:w="1260" w:type="dxa"/>
            <w:vAlign w:val="bottom"/>
            <w:tcBorders>
              <w:left w:val="single" w:sz="8" w:color="auto"/>
            </w:tcBorders>
            <w:gridSpan w:val="2"/>
          </w:tcPr>
          <w:p>
            <w:pPr>
              <w:jc w:val="center"/>
              <w:ind w:left="273"/>
              <w:spacing w:after="0"/>
              <w:rPr>
                <w:sz w:val="20"/>
                <w:szCs w:val="20"/>
                <w:color w:val="auto"/>
              </w:rPr>
            </w:pPr>
            <w:r>
              <w:rPr>
                <w:rFonts w:ascii="Arial" w:cs="Arial" w:eastAsia="Arial" w:hAnsi="Arial"/>
                <w:sz w:val="17"/>
                <w:szCs w:val="17"/>
                <w:color w:val="auto"/>
              </w:rPr>
              <w:t>$228,499</w:t>
            </w:r>
          </w:p>
        </w:tc>
        <w:tc>
          <w:tcPr>
            <w:tcW w:w="2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8"/>
                <w:szCs w:val="18"/>
                <w:color w:val="auto"/>
              </w:rPr>
            </w:pPr>
          </w:p>
        </w:tc>
        <w:tc>
          <w:tcPr>
            <w:tcW w:w="122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rPr>
              <w:t>$228,499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Director</w:t>
            </w:r>
          </w:p>
        </w:tc>
        <w:tc>
          <w:tcPr>
            <w:tcW w:w="1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60" w:type="dxa"/>
            <w:vAlign w:val="bottom"/>
            <w:tcBorders>
              <w:left w:val="single" w:sz="8" w:color="auto"/>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James Gouin</w:t>
            </w:r>
          </w:p>
        </w:tc>
        <w:tc>
          <w:tcPr>
            <w:tcW w:w="120" w:type="dxa"/>
            <w:vAlign w:val="bottom"/>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4X</w:t>
            </w:r>
          </w:p>
        </w:tc>
        <w:tc>
          <w:tcPr>
            <w:tcW w:w="1480" w:type="dxa"/>
            <w:vAlign w:val="bottom"/>
          </w:tcPr>
          <w:p>
            <w:pPr>
              <w:jc w:val="center"/>
              <w:ind w:left="13"/>
              <w:spacing w:after="0"/>
              <w:rPr>
                <w:sz w:val="20"/>
                <w:szCs w:val="20"/>
                <w:color w:val="auto"/>
              </w:rPr>
            </w:pPr>
            <w:r>
              <w:rPr>
                <w:rFonts w:ascii="Arial" w:cs="Arial" w:eastAsia="Arial" w:hAnsi="Arial"/>
                <w:sz w:val="17"/>
                <w:szCs w:val="17"/>
                <w:color w:val="auto"/>
              </w:rPr>
              <w:t>$603,064</w:t>
            </w:r>
          </w:p>
        </w:tc>
        <w:tc>
          <w:tcPr>
            <w:tcW w:w="1260" w:type="dxa"/>
            <w:vAlign w:val="bottom"/>
            <w:tcBorders>
              <w:left w:val="single" w:sz="8" w:color="auto"/>
            </w:tcBorders>
            <w:gridSpan w:val="2"/>
          </w:tcPr>
          <w:p>
            <w:pPr>
              <w:jc w:val="center"/>
              <w:ind w:left="273"/>
              <w:spacing w:after="0"/>
              <w:rPr>
                <w:sz w:val="20"/>
                <w:szCs w:val="20"/>
                <w:color w:val="auto"/>
              </w:rPr>
            </w:pPr>
            <w:r>
              <w:rPr>
                <w:rFonts w:ascii="Arial" w:cs="Arial" w:eastAsia="Arial" w:hAnsi="Arial"/>
                <w:sz w:val="17"/>
                <w:szCs w:val="17"/>
                <w:color w:val="auto"/>
              </w:rPr>
              <w:t>$529,034</w:t>
            </w:r>
          </w:p>
        </w:tc>
        <w:tc>
          <w:tcPr>
            <w:tcW w:w="2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8"/>
                <w:szCs w:val="18"/>
                <w:color w:val="auto"/>
              </w:rPr>
            </w:pPr>
          </w:p>
        </w:tc>
        <w:tc>
          <w:tcPr>
            <w:tcW w:w="122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rPr>
              <w:t>$529,034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Director</w:t>
            </w:r>
          </w:p>
        </w:tc>
        <w:tc>
          <w:tcPr>
            <w:tcW w:w="1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60" w:type="dxa"/>
            <w:vAlign w:val="bottom"/>
            <w:tcBorders>
              <w:left w:val="single" w:sz="8" w:color="auto"/>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Sanjay Nakra</w:t>
            </w:r>
          </w:p>
        </w:tc>
        <w:tc>
          <w:tcPr>
            <w:tcW w:w="120" w:type="dxa"/>
            <w:vAlign w:val="bottom"/>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4X</w:t>
            </w:r>
          </w:p>
        </w:tc>
        <w:tc>
          <w:tcPr>
            <w:tcW w:w="1480" w:type="dxa"/>
            <w:vAlign w:val="bottom"/>
          </w:tcPr>
          <w:p>
            <w:pPr>
              <w:jc w:val="center"/>
              <w:ind w:left="13"/>
              <w:spacing w:after="0"/>
              <w:rPr>
                <w:sz w:val="20"/>
                <w:szCs w:val="20"/>
                <w:color w:val="auto"/>
              </w:rPr>
            </w:pPr>
            <w:r>
              <w:rPr>
                <w:rFonts w:ascii="Arial" w:cs="Arial" w:eastAsia="Arial" w:hAnsi="Arial"/>
                <w:sz w:val="17"/>
                <w:szCs w:val="17"/>
                <w:color w:val="auto"/>
              </w:rPr>
              <w:t>$603,064</w:t>
            </w:r>
          </w:p>
        </w:tc>
        <w:tc>
          <w:tcPr>
            <w:tcW w:w="1260" w:type="dxa"/>
            <w:vAlign w:val="bottom"/>
            <w:tcBorders>
              <w:left w:val="single" w:sz="8" w:color="auto"/>
            </w:tcBorders>
            <w:gridSpan w:val="2"/>
          </w:tcPr>
          <w:p>
            <w:pPr>
              <w:jc w:val="center"/>
              <w:ind w:left="273"/>
              <w:spacing w:after="0"/>
              <w:rPr>
                <w:sz w:val="20"/>
                <w:szCs w:val="20"/>
                <w:color w:val="auto"/>
              </w:rPr>
            </w:pPr>
            <w:r>
              <w:rPr>
                <w:rFonts w:ascii="Arial" w:cs="Arial" w:eastAsia="Arial" w:hAnsi="Arial"/>
                <w:sz w:val="17"/>
                <w:szCs w:val="17"/>
                <w:color w:val="auto"/>
              </w:rPr>
              <w:t>$416,474</w:t>
            </w:r>
          </w:p>
        </w:tc>
        <w:tc>
          <w:tcPr>
            <w:tcW w:w="2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8"/>
                <w:szCs w:val="18"/>
                <w:color w:val="auto"/>
              </w:rPr>
            </w:pPr>
          </w:p>
        </w:tc>
        <w:tc>
          <w:tcPr>
            <w:tcW w:w="122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rPr>
              <w:t>$416,474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Director</w:t>
            </w:r>
          </w:p>
        </w:tc>
        <w:tc>
          <w:tcPr>
            <w:tcW w:w="1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60" w:type="dxa"/>
            <w:vAlign w:val="bottom"/>
            <w:tcBorders>
              <w:left w:val="single" w:sz="8" w:color="auto"/>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Melinda J. Newman</w:t>
            </w:r>
          </w:p>
        </w:tc>
        <w:tc>
          <w:tcPr>
            <w:tcW w:w="120" w:type="dxa"/>
            <w:vAlign w:val="bottom"/>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4X</w:t>
            </w:r>
          </w:p>
        </w:tc>
        <w:tc>
          <w:tcPr>
            <w:tcW w:w="1480" w:type="dxa"/>
            <w:vAlign w:val="bottom"/>
          </w:tcPr>
          <w:p>
            <w:pPr>
              <w:jc w:val="center"/>
              <w:ind w:left="13"/>
              <w:spacing w:after="0"/>
              <w:rPr>
                <w:sz w:val="20"/>
                <w:szCs w:val="20"/>
                <w:color w:val="auto"/>
              </w:rPr>
            </w:pPr>
            <w:r>
              <w:rPr>
                <w:rFonts w:ascii="Arial" w:cs="Arial" w:eastAsia="Arial" w:hAnsi="Arial"/>
                <w:sz w:val="17"/>
                <w:szCs w:val="17"/>
                <w:color w:val="auto"/>
              </w:rPr>
              <w:t>$603,064</w:t>
            </w:r>
          </w:p>
        </w:tc>
        <w:tc>
          <w:tcPr>
            <w:tcW w:w="1260" w:type="dxa"/>
            <w:vAlign w:val="bottom"/>
            <w:tcBorders>
              <w:left w:val="single" w:sz="8" w:color="auto"/>
            </w:tcBorders>
            <w:gridSpan w:val="2"/>
          </w:tcPr>
          <w:p>
            <w:pPr>
              <w:jc w:val="center"/>
              <w:ind w:left="273"/>
              <w:spacing w:after="0"/>
              <w:rPr>
                <w:sz w:val="20"/>
                <w:szCs w:val="20"/>
                <w:color w:val="auto"/>
              </w:rPr>
            </w:pPr>
            <w:r>
              <w:rPr>
                <w:rFonts w:ascii="Arial" w:cs="Arial" w:eastAsia="Arial" w:hAnsi="Arial"/>
                <w:sz w:val="17"/>
                <w:szCs w:val="17"/>
                <w:color w:val="auto"/>
              </w:rPr>
              <w:t>$181,399</w:t>
            </w:r>
          </w:p>
        </w:tc>
        <w:tc>
          <w:tcPr>
            <w:tcW w:w="2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8"/>
                <w:szCs w:val="18"/>
                <w:color w:val="auto"/>
              </w:rPr>
            </w:pPr>
          </w:p>
        </w:tc>
        <w:tc>
          <w:tcPr>
            <w:tcW w:w="122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rPr>
              <w:t>$181,399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Director</w:t>
            </w:r>
          </w:p>
        </w:tc>
        <w:tc>
          <w:tcPr>
            <w:tcW w:w="1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60" w:type="dxa"/>
            <w:vAlign w:val="bottom"/>
            <w:tcBorders>
              <w:left w:val="single" w:sz="8" w:color="auto"/>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Eric Rosenfeld</w:t>
            </w:r>
          </w:p>
        </w:tc>
        <w:tc>
          <w:tcPr>
            <w:tcW w:w="120" w:type="dxa"/>
            <w:vAlign w:val="bottom"/>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4X</w:t>
            </w:r>
          </w:p>
        </w:tc>
        <w:tc>
          <w:tcPr>
            <w:tcW w:w="1480" w:type="dxa"/>
            <w:vAlign w:val="bottom"/>
          </w:tcPr>
          <w:p>
            <w:pPr>
              <w:jc w:val="center"/>
              <w:ind w:left="13"/>
              <w:spacing w:after="0"/>
              <w:rPr>
                <w:sz w:val="20"/>
                <w:szCs w:val="20"/>
                <w:color w:val="auto"/>
              </w:rPr>
            </w:pPr>
            <w:r>
              <w:rPr>
                <w:rFonts w:ascii="Arial" w:cs="Arial" w:eastAsia="Arial" w:hAnsi="Arial"/>
                <w:sz w:val="17"/>
                <w:szCs w:val="17"/>
                <w:color w:val="auto"/>
              </w:rPr>
              <w:t>$603,064</w:t>
            </w:r>
          </w:p>
        </w:tc>
        <w:tc>
          <w:tcPr>
            <w:tcW w:w="1260" w:type="dxa"/>
            <w:vAlign w:val="bottom"/>
            <w:tcBorders>
              <w:left w:val="single" w:sz="8" w:color="auto"/>
            </w:tcBorders>
            <w:gridSpan w:val="2"/>
          </w:tcPr>
          <w:p>
            <w:pPr>
              <w:jc w:val="center"/>
              <w:ind w:left="273"/>
              <w:spacing w:after="0"/>
              <w:rPr>
                <w:sz w:val="20"/>
                <w:szCs w:val="20"/>
                <w:color w:val="auto"/>
              </w:rPr>
            </w:pPr>
            <w:r>
              <w:rPr>
                <w:rFonts w:ascii="Arial" w:cs="Arial" w:eastAsia="Arial" w:hAnsi="Arial"/>
                <w:sz w:val="17"/>
                <w:szCs w:val="17"/>
                <w:color w:val="auto"/>
              </w:rPr>
              <w:t>$771,991</w:t>
            </w:r>
          </w:p>
        </w:tc>
        <w:tc>
          <w:tcPr>
            <w:tcW w:w="2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$11,932,746</w:t>
            </w:r>
          </w:p>
        </w:tc>
        <w:tc>
          <w:tcPr>
            <w:tcW w:w="280" w:type="dxa"/>
            <w:vAlign w:val="bottom"/>
          </w:tcPr>
          <w:p>
            <w:pPr>
              <w:spacing w:after="0"/>
              <w:rPr>
                <w:sz w:val="18"/>
                <w:szCs w:val="18"/>
                <w:color w:val="auto"/>
              </w:rPr>
            </w:pPr>
          </w:p>
        </w:tc>
        <w:tc>
          <w:tcPr>
            <w:tcW w:w="1220" w:type="dxa"/>
            <w:vAlign w:val="bottom"/>
            <w:tcBorders>
              <w:right w:val="single" w:sz="8" w:color="auto"/>
            </w:tcBorders>
          </w:tcPr>
          <w:p>
            <w:pPr>
              <w:jc w:val="center"/>
              <w:ind w:right="113"/>
              <w:spacing w:after="0"/>
              <w:rPr>
                <w:sz w:val="20"/>
                <w:szCs w:val="20"/>
                <w:color w:val="auto"/>
              </w:rPr>
            </w:pPr>
            <w:r>
              <w:rPr>
                <w:rFonts w:ascii="Arial" w:cs="Arial" w:eastAsia="Arial" w:hAnsi="Arial"/>
                <w:sz w:val="17"/>
                <w:szCs w:val="17"/>
                <w:color w:val="auto"/>
              </w:rPr>
              <w:t>$12,704,737</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2107%</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Director</w:t>
            </w:r>
          </w:p>
        </w:tc>
        <w:tc>
          <w:tcPr>
            <w:tcW w:w="1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60" w:type="dxa"/>
            <w:vAlign w:val="bottom"/>
            <w:tcBorders>
              <w:left w:val="single" w:sz="8" w:color="auto"/>
              <w:bottom w:val="single" w:sz="8" w:color="auto"/>
            </w:tcBorders>
            <w:gridSpan w:val="2"/>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b w:val="1"/>
                <w:bCs w:val="1"/>
                <w:color w:val="auto"/>
              </w:rPr>
              <w:t>Gale Rubenstein</w:t>
            </w:r>
          </w:p>
        </w:tc>
        <w:tc>
          <w:tcPr>
            <w:tcW w:w="120" w:type="dxa"/>
            <w:vAlign w:val="bottom"/>
          </w:tcPr>
          <w:p>
            <w:pPr>
              <w:spacing w:after="0"/>
              <w:rPr>
                <w:sz w:val="18"/>
                <w:szCs w:val="18"/>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4X</w:t>
            </w:r>
          </w:p>
        </w:tc>
        <w:tc>
          <w:tcPr>
            <w:tcW w:w="1480" w:type="dxa"/>
            <w:vAlign w:val="bottom"/>
          </w:tcPr>
          <w:p>
            <w:pPr>
              <w:jc w:val="center"/>
              <w:ind w:left="13"/>
              <w:spacing w:after="0"/>
              <w:rPr>
                <w:sz w:val="20"/>
                <w:szCs w:val="20"/>
                <w:color w:val="auto"/>
              </w:rPr>
            </w:pPr>
            <w:r>
              <w:rPr>
                <w:rFonts w:ascii="Arial" w:cs="Arial" w:eastAsia="Arial" w:hAnsi="Arial"/>
                <w:sz w:val="17"/>
                <w:szCs w:val="17"/>
                <w:color w:val="auto"/>
              </w:rPr>
              <w:t>$603,064</w:t>
            </w:r>
          </w:p>
        </w:tc>
        <w:tc>
          <w:tcPr>
            <w:tcW w:w="1260" w:type="dxa"/>
            <w:vAlign w:val="bottom"/>
            <w:tcBorders>
              <w:left w:val="single" w:sz="8" w:color="auto"/>
            </w:tcBorders>
            <w:gridSpan w:val="2"/>
          </w:tcPr>
          <w:p>
            <w:pPr>
              <w:jc w:val="center"/>
              <w:ind w:left="273"/>
              <w:spacing w:after="0"/>
              <w:rPr>
                <w:sz w:val="20"/>
                <w:szCs w:val="20"/>
                <w:color w:val="auto"/>
              </w:rPr>
            </w:pPr>
            <w:r>
              <w:rPr>
                <w:rFonts w:ascii="Arial" w:cs="Arial" w:eastAsia="Arial" w:hAnsi="Arial"/>
                <w:sz w:val="17"/>
                <w:szCs w:val="17"/>
                <w:color w:val="auto"/>
              </w:rPr>
              <w:t>$501,149</w:t>
            </w:r>
          </w:p>
        </w:tc>
        <w:tc>
          <w:tcPr>
            <w:tcW w:w="260" w:type="dxa"/>
            <w:vAlign w:val="bottom"/>
            <w:tcBorders>
              <w:right w:val="single" w:sz="8" w:color="auto"/>
            </w:tcBorders>
          </w:tcPr>
          <w:p>
            <w:pPr>
              <w:spacing w:after="0"/>
              <w:rPr>
                <w:sz w:val="18"/>
                <w:szCs w:val="18"/>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$0</w:t>
            </w:r>
          </w:p>
        </w:tc>
        <w:tc>
          <w:tcPr>
            <w:tcW w:w="280" w:type="dxa"/>
            <w:vAlign w:val="bottom"/>
          </w:tcPr>
          <w:p>
            <w:pPr>
              <w:spacing w:after="0"/>
              <w:rPr>
                <w:sz w:val="18"/>
                <w:szCs w:val="18"/>
                <w:color w:val="auto"/>
              </w:rPr>
            </w:pPr>
          </w:p>
        </w:tc>
        <w:tc>
          <w:tcPr>
            <w:tcW w:w="1220" w:type="dxa"/>
            <w:vAlign w:val="bottom"/>
            <w:tcBorders>
              <w:right w:val="single" w:sz="8" w:color="auto"/>
            </w:tcBorders>
          </w:tcPr>
          <w:p>
            <w:pPr>
              <w:jc w:val="center"/>
              <w:ind w:right="133"/>
              <w:spacing w:after="0"/>
              <w:rPr>
                <w:sz w:val="20"/>
                <w:szCs w:val="20"/>
                <w:color w:val="auto"/>
              </w:rPr>
            </w:pPr>
            <w:r>
              <w:rPr>
                <w:rFonts w:ascii="Arial" w:cs="Arial" w:eastAsia="Arial" w:hAnsi="Arial"/>
                <w:sz w:val="17"/>
                <w:szCs w:val="17"/>
                <w:color w:val="auto"/>
              </w:rPr>
              <w:t>$501,149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30"/>
        </w:trPr>
        <w:tc>
          <w:tcPr>
            <w:tcW w:w="18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Director</w:t>
            </w:r>
          </w:p>
        </w:tc>
        <w:tc>
          <w:tcPr>
            <w:tcW w:w="12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Borders>
              <w:left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800" w:type="dxa"/>
            <w:vAlign w:val="bottom"/>
            <w:tcBorders>
              <w:left w:val="single" w:sz="8" w:color="auto"/>
              <w:bottom w:val="single" w:sz="8" w:color="auto"/>
              <w:right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left w:val="single" w:sz="8" w:color="auto"/>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1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78" w:lineRule="exact"/>
        <w:rPr>
          <w:sz w:val="20"/>
          <w:szCs w:val="20"/>
          <w:color w:val="auto"/>
        </w:rPr>
      </w:pPr>
    </w:p>
    <w:p>
      <w:pPr>
        <w:jc w:val="both"/>
        <w:ind w:left="520" w:right="20" w:hanging="415"/>
        <w:spacing w:after="0" w:line="245" w:lineRule="auto"/>
        <w:tabs>
          <w:tab w:leader="none" w:pos="520" w:val="left"/>
        </w:tabs>
        <w:numPr>
          <w:ilvl w:val="0"/>
          <w:numId w:val="23"/>
        </w:numPr>
        <w:rPr>
          <w:rFonts w:ascii="Arial" w:cs="Arial" w:eastAsia="Arial" w:hAnsi="Arial"/>
          <w:sz w:val="16"/>
          <w:szCs w:val="16"/>
          <w:i w:val="1"/>
          <w:iCs w:val="1"/>
          <w:color w:val="003445"/>
        </w:rPr>
      </w:pPr>
      <w:r>
        <w:rPr>
          <w:rFonts w:ascii="Arial" w:cs="Arial" w:eastAsia="Arial" w:hAnsi="Arial"/>
          <w:sz w:val="16"/>
          <w:szCs w:val="16"/>
          <w:i w:val="1"/>
          <w:iCs w:val="1"/>
          <w:color w:val="003445"/>
        </w:rPr>
        <w:t>Valuations reflect individual holdings, calculated by multiplying the sum of the units and shares by the TSX 5-day VWAP on December 31, 2025 (C$5.63). The director ownership requirement is a multiple of the cash retainer (US$110,000; factored for the exchange rate at December 31, 2025 using the Bank of Canada rate of US$1 = C$1.3706).</w:t>
      </w:r>
    </w:p>
    <w:p>
      <w:pPr>
        <w:ind w:left="520" w:hanging="415"/>
        <w:spacing w:after="0"/>
        <w:tabs>
          <w:tab w:leader="none" w:pos="520" w:val="left"/>
        </w:tabs>
        <w:numPr>
          <w:ilvl w:val="0"/>
          <w:numId w:val="23"/>
        </w:numPr>
        <w:rPr>
          <w:rFonts w:ascii="Arial" w:cs="Arial" w:eastAsia="Arial" w:hAnsi="Arial"/>
          <w:sz w:val="16"/>
          <w:szCs w:val="16"/>
          <w:i w:val="1"/>
          <w:iCs w:val="1"/>
          <w:color w:val="003445"/>
        </w:rPr>
      </w:pPr>
      <w:r>
        <w:rPr>
          <w:rFonts w:ascii="Arial" w:cs="Arial" w:eastAsia="Arial" w:hAnsi="Arial"/>
          <w:sz w:val="16"/>
          <w:szCs w:val="16"/>
          <w:i w:val="1"/>
          <w:iCs w:val="1"/>
          <w:color w:val="003445"/>
        </w:rPr>
        <w:t>Mr. Nogalo retired as the Vice President – Strategic Transformation on April 1, 2026.</w:t>
      </w:r>
    </w:p>
    <w:p>
      <w:pPr>
        <w:spacing w:after="0" w:line="186"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The ownership position value is determined as the number of eligible shares held multiplied by the VWAP of the Shares for the previous five business days on the Toronto Stock Exchange (TSX) or Nasdaq. Base salary is the current annual salary rate of the executive at any time it is required to be used in calculations under the share ownership guidelines.</w:t>
      </w:r>
    </w:p>
    <w:p>
      <w:pPr>
        <w:spacing w:after="0" w:line="158"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A minimum of 50% of a Director’s compensation is payable in DSUs, while Directors can elect to receive DSUs for the remaining 50%. Once a Director or executive has reached the minimum requirement, it is expected that the Director or executive will retain at least the minimum level of ownership and not intentionally take action(s) that lead them to fall below the minimum threshold by selling shares on the open market. The HRCC will use discretion in the assessment of maintenance of this ownership level in the event of subsequent share price fluctuations, including the impact to share price from the announcement of US trade measures on steel imports in early 2025. As Algoma uses a valuation methodology that assesses ownership value based on market price, this will lead to greater volatility in ownership levels relative to companies that use a “higher of market or acquired cost” basis for valuation.</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700"/>
          </w:cols>
          <w:pgMar w:left="600" w:top="284" w:right="599" w:bottom="1440" w:gutter="0" w:footer="0" w:header="0"/>
        </w:sectPr>
      </w:pPr>
    </w:p>
    <w:bookmarkStart w:id="54" w:name="page55"/>
    <w:bookmarkEnd w:id="54"/>
    <w:p>
      <w:pPr>
        <w:jc w:val="both"/>
        <w:spacing w:after="0" w:line="24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For the purposes of calculating ownership under the share ownership guidelines, eligible shares include those held by a Director or executive and/or his/her spouse, children or a trust established for the benefit of those individuals. The shares may be held in an RRSP, 401(k) Plan, or investment accounts in which it is clear that the eligible shares were purchased by the executive, director, or a family member named above.</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Eligible shares include the Shares, 100% of unvested RSUs, 100% of earned but unvested PSUs and 100% of DSUs granted under the Company’s long-term incentive plans. Aligned with best practice, unearned unvested performance awards are not included in the definition of share ownership.</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Directors and executives are expected, at a minimum, to make regular and consistent progress towards the individual holding requirements and be compliant with the share ownership guidelines. Directors and executives must follow the requirements set out in the paragraph below until 100% of their ownership level is met. Sales of shares prior to meeting the minimum share ownership requirements is prohibited. Purchases and sales of Shares must be reported within five days of the transaction to the Corporate Secretary as per the Insider Trading Policy.</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To the extent an executive has not met their ownership requirements, upon receiving the cash payout of any type of long-term incentive share unit grant (i.e. PSUs or RSUs), the executive is required to use fifty (50) percent of the long-term incentive payment (net of taxes and fees) to buy the Company’s shares in the open market within 30 calendar days following the payout to add to their existing share ownership holding or retain the equivalent fifty (50) percent of settlement of shares. The ownership position value is determined annually, within 120 days following the end of a fiscal year, unless otherwise agreed to by the HRCC, based on the greater weighted average closing price of the Shares for the previous five business days on the TSX or Nasdaq.</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To support these requirements, the human resources department of the Company will inform Directors and executives of the dollar amount of net proceeds that must be directed to Share purchases, the deadline to purchase Shares, and the deadline to report Share purchases (if applicable).</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Should personal circumstances create a significant barrier to achievement of the ownership position for any Director or executive, the Chief Executive Officer, for executives, and the Chair of the Board, for Directors, will consider the circumstances as appropriate and inform the HRCC.</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human resources department of the Company will administer the share ownership guidelines. A report on ownership level will be provided to each Director and executive, and to the HRCC, on an annual basis. The NGC reserves the authority to alter, amend, interpret or cancel the share ownership guidelines so as to maintain the best interests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Compensation – Named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Compensation in Fiscal 2025</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total compensation amounts earned by the NEOs in respect of Fiscal 2025 are set out in the table below under “</w:t>
      </w:r>
      <w:r>
        <w:rPr>
          <w:rFonts w:ascii="Arial" w:cs="Arial" w:eastAsia="Arial" w:hAnsi="Arial"/>
          <w:sz w:val="19"/>
          <w:szCs w:val="19"/>
          <w:i w:val="1"/>
          <w:iCs w:val="1"/>
          <w:color w:val="auto"/>
        </w:rPr>
        <w:t>Summary Compensation Table – Named Executive Officers</w:t>
      </w:r>
      <w:r>
        <w:rPr>
          <w:rFonts w:ascii="Arial" w:cs="Arial" w:eastAsia="Arial" w:hAnsi="Arial"/>
          <w:sz w:val="19"/>
          <w:szCs w:val="19"/>
          <w:color w:val="auto"/>
        </w:rPr>
        <w:t>”. The following sections provide details on each of the elements of compensation actually earned in respect of Fiscal 2025.</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0680"/>
          </w:cols>
          <w:pgMar w:left="600" w:top="262" w:right="619" w:bottom="1440" w:gutter="0" w:footer="0" w:header="0"/>
        </w:sectPr>
      </w:pPr>
    </w:p>
    <w:bookmarkStart w:id="55" w:name="page56"/>
    <w:bookmarkEnd w:id="55"/>
    <w:p>
      <w:pPr>
        <w:jc w:val="both"/>
        <w:ind w:right="20"/>
        <w:spacing w:after="0" w:line="24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As a condition of the Large Enterprise Tariff Loan from Canada Enterprise Emergency Funding Corporation and the Ministry of Northern Economic Development and Growth in 2025, the Company is subject to certain restrictions on executive compensation. The HRCC continues to monitor the Company’s compensation programs to ensure compliance with these restrictions.</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Base Salary</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Annual base salaries of the NEOs of the Company in respect of Fiscal 2025, were as follows.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920" w:type="dxa"/>
            <w:vAlign w:val="bottom"/>
            <w:tcBorders>
              <w:top w:val="single" w:sz="8" w:color="auto"/>
              <w:left w:val="single" w:sz="8" w:color="auto"/>
            </w:tcBorders>
            <w:shd w:val="clear" w:color="auto" w:fill="003445"/>
          </w:tcPr>
          <w:p>
            <w:pPr>
              <w:spacing w:after="0"/>
              <w:rPr>
                <w:sz w:val="20"/>
                <w:szCs w:val="20"/>
                <w:color w:val="auto"/>
              </w:rPr>
            </w:pPr>
          </w:p>
        </w:tc>
        <w:tc>
          <w:tcPr>
            <w:tcW w:w="6320" w:type="dxa"/>
            <w:vAlign w:val="bottom"/>
            <w:tcBorders>
              <w:top w:val="single" w:sz="8" w:color="auto"/>
              <w:right w:val="single" w:sz="8" w:color="auto"/>
            </w:tcBorders>
            <w:shd w:val="clear" w:color="auto" w:fill="003445"/>
          </w:tcPr>
          <w:p>
            <w:pPr>
              <w:ind w:left="960"/>
              <w:spacing w:after="0"/>
              <w:rPr>
                <w:sz w:val="20"/>
                <w:szCs w:val="20"/>
                <w:color w:val="auto"/>
              </w:rPr>
            </w:pPr>
            <w:r>
              <w:rPr>
                <w:rFonts w:ascii="Arial" w:cs="Arial" w:eastAsia="Arial" w:hAnsi="Arial"/>
                <w:sz w:val="19"/>
                <w:szCs w:val="19"/>
                <w:b w:val="1"/>
                <w:bCs w:val="1"/>
                <w:color w:val="FFFFFF"/>
              </w:rPr>
              <w:t>Name and Principal Position</w:t>
            </w:r>
          </w:p>
        </w:tc>
        <w:tc>
          <w:tcPr>
            <w:tcW w:w="246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rPr>
              <w:t>Annual Base Salary in</w:t>
            </w:r>
          </w:p>
        </w:tc>
        <w:tc>
          <w:tcPr>
            <w:tcW w:w="0" w:type="dxa"/>
            <w:vAlign w:val="bottom"/>
          </w:tcPr>
          <w:p>
            <w:pPr>
              <w:spacing w:after="0"/>
              <w:rPr>
                <w:sz w:val="1"/>
                <w:szCs w:val="1"/>
                <w:color w:val="auto"/>
              </w:rPr>
            </w:pPr>
          </w:p>
        </w:tc>
      </w:tr>
      <w:tr>
        <w:trPr>
          <w:trHeight w:val="304"/>
        </w:trPr>
        <w:tc>
          <w:tcPr>
            <w:tcW w:w="1920" w:type="dxa"/>
            <w:vAlign w:val="bottom"/>
            <w:tcBorders>
              <w:left w:val="single" w:sz="8" w:color="auto"/>
              <w:bottom w:val="single" w:sz="8" w:color="003445"/>
            </w:tcBorders>
            <w:shd w:val="clear" w:color="auto" w:fill="003445"/>
          </w:tcPr>
          <w:p>
            <w:pPr>
              <w:spacing w:after="0"/>
              <w:rPr>
                <w:sz w:val="24"/>
                <w:szCs w:val="24"/>
                <w:color w:val="auto"/>
              </w:rPr>
            </w:pPr>
          </w:p>
        </w:tc>
        <w:tc>
          <w:tcPr>
            <w:tcW w:w="6320" w:type="dxa"/>
            <w:vAlign w:val="bottom"/>
            <w:tcBorders>
              <w:bottom w:val="single" w:sz="8" w:color="003445"/>
              <w:right w:val="single" w:sz="8" w:color="auto"/>
            </w:tcBorders>
            <w:shd w:val="clear" w:color="auto" w:fill="003445"/>
          </w:tcPr>
          <w:p>
            <w:pPr>
              <w:spacing w:after="0"/>
              <w:rPr>
                <w:sz w:val="24"/>
                <w:szCs w:val="24"/>
                <w:color w:val="auto"/>
              </w:rPr>
            </w:pPr>
          </w:p>
        </w:tc>
        <w:tc>
          <w:tcPr>
            <w:tcW w:w="2460" w:type="dxa"/>
            <w:vAlign w:val="bottom"/>
            <w:tcBorders>
              <w:bottom w:val="single" w:sz="8" w:color="003445"/>
              <w:right w:val="single" w:sz="8" w:color="auto"/>
            </w:tcBorders>
            <w:shd w:val="clear" w:color="auto" w:fill="003445"/>
          </w:tcPr>
          <w:p>
            <w:pPr>
              <w:jc w:val="center"/>
              <w:spacing w:after="0"/>
              <w:rPr>
                <w:sz w:val="20"/>
                <w:szCs w:val="20"/>
                <w:color w:val="auto"/>
              </w:rPr>
            </w:pPr>
            <w:r>
              <w:rPr>
                <w:rFonts w:ascii="Arial" w:cs="Arial" w:eastAsia="Arial" w:hAnsi="Arial"/>
                <w:sz w:val="19"/>
                <w:szCs w:val="19"/>
                <w:b w:val="1"/>
                <w:bCs w:val="1"/>
                <w:color w:val="FFFFFF"/>
              </w:rPr>
              <w:t>Fiscal 2025</w:t>
            </w:r>
          </w:p>
        </w:tc>
        <w:tc>
          <w:tcPr>
            <w:tcW w:w="0" w:type="dxa"/>
            <w:vAlign w:val="bottom"/>
          </w:tcPr>
          <w:p>
            <w:pPr>
              <w:spacing w:after="0"/>
              <w:rPr>
                <w:sz w:val="1"/>
                <w:szCs w:val="1"/>
                <w:color w:val="auto"/>
              </w:rPr>
            </w:pPr>
          </w:p>
        </w:tc>
      </w:tr>
      <w:tr>
        <w:trPr>
          <w:trHeight w:val="222"/>
        </w:trPr>
        <w:tc>
          <w:tcPr>
            <w:tcW w:w="8240" w:type="dxa"/>
            <w:vAlign w:val="bottom"/>
            <w:tcBorders>
              <w:top w:val="single" w:sz="8" w:color="auto"/>
              <w:left w:val="single" w:sz="8" w:color="auto"/>
              <w:right w:val="single" w:sz="8" w:color="auto"/>
            </w:tcBorders>
            <w:gridSpan w:val="2"/>
          </w:tcPr>
          <w:p>
            <w:pPr>
              <w:ind w:left="160"/>
              <w:spacing w:after="0" w:line="222" w:lineRule="exact"/>
              <w:rPr>
                <w:sz w:val="20"/>
                <w:szCs w:val="20"/>
                <w:color w:val="auto"/>
              </w:rPr>
            </w:pPr>
            <w:r>
              <w:rPr>
                <w:rFonts w:ascii="Arial" w:cs="Arial" w:eastAsia="Arial" w:hAnsi="Arial"/>
                <w:sz w:val="17"/>
                <w:szCs w:val="17"/>
                <w:b w:val="1"/>
                <w:bCs w:val="1"/>
                <w:color w:val="auto"/>
              </w:rPr>
              <w:t>Michael Garcia</w:t>
            </w:r>
            <w:r>
              <w:rPr>
                <w:rFonts w:ascii="Arial" w:cs="Arial" w:eastAsia="Arial" w:hAnsi="Arial"/>
                <w:sz w:val="25"/>
                <w:szCs w:val="25"/>
                <w:b w:val="1"/>
                <w:bCs w:val="1"/>
                <w:color w:val="auto"/>
                <w:vertAlign w:val="superscript"/>
              </w:rPr>
              <w:t>(1)</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color w:val="auto"/>
              </w:rPr>
              <w:t>US$765,000</w:t>
            </w:r>
          </w:p>
        </w:tc>
        <w:tc>
          <w:tcPr>
            <w:tcW w:w="0" w:type="dxa"/>
            <w:vAlign w:val="bottom"/>
          </w:tcPr>
          <w:p>
            <w:pPr>
              <w:spacing w:after="0"/>
              <w:rPr>
                <w:sz w:val="1"/>
                <w:szCs w:val="1"/>
                <w:color w:val="auto"/>
              </w:rPr>
            </w:pPr>
          </w:p>
        </w:tc>
      </w:tr>
      <w:tr>
        <w:trPr>
          <w:trHeight w:val="147"/>
        </w:trPr>
        <w:tc>
          <w:tcPr>
            <w:tcW w:w="824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9"/>
                <w:szCs w:val="19"/>
                <w:i w:val="1"/>
                <w:iCs w:val="1"/>
                <w:color w:val="auto"/>
              </w:rPr>
              <w:t>Former Chief Executive Officer</w:t>
            </w:r>
          </w:p>
        </w:tc>
        <w:tc>
          <w:tcPr>
            <w:tcW w:w="2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8240" w:type="dxa"/>
            <w:vAlign w:val="bottom"/>
            <w:tcBorders>
              <w:left w:val="single" w:sz="8" w:color="auto"/>
              <w:right w:val="single" w:sz="8" w:color="auto"/>
            </w:tcBorders>
            <w:gridSpan w:val="2"/>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63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24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Rajat Marwah</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$543,762</w:t>
            </w:r>
          </w:p>
        </w:tc>
        <w:tc>
          <w:tcPr>
            <w:tcW w:w="0" w:type="dxa"/>
            <w:vAlign w:val="bottom"/>
          </w:tcPr>
          <w:p>
            <w:pPr>
              <w:spacing w:after="0"/>
              <w:rPr>
                <w:sz w:val="1"/>
                <w:szCs w:val="1"/>
                <w:color w:val="auto"/>
              </w:rPr>
            </w:pPr>
          </w:p>
        </w:tc>
      </w:tr>
      <w:tr>
        <w:trPr>
          <w:trHeight w:val="147"/>
        </w:trPr>
        <w:tc>
          <w:tcPr>
            <w:tcW w:w="824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9"/>
                <w:szCs w:val="19"/>
                <w:i w:val="1"/>
                <w:iCs w:val="1"/>
                <w:color w:val="auto"/>
              </w:rPr>
              <w:t>Chief Executive Officer / Former President and Chief Financial Officer</w:t>
            </w:r>
          </w:p>
        </w:tc>
        <w:tc>
          <w:tcPr>
            <w:tcW w:w="2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8240" w:type="dxa"/>
            <w:vAlign w:val="bottom"/>
            <w:tcBorders>
              <w:left w:val="single" w:sz="8" w:color="auto"/>
              <w:right w:val="single" w:sz="8" w:color="auto"/>
            </w:tcBorders>
            <w:gridSpan w:val="2"/>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63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24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John Naccarato</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$504,900</w:t>
            </w:r>
          </w:p>
        </w:tc>
        <w:tc>
          <w:tcPr>
            <w:tcW w:w="0" w:type="dxa"/>
            <w:vAlign w:val="bottom"/>
          </w:tcPr>
          <w:p>
            <w:pPr>
              <w:spacing w:after="0"/>
              <w:rPr>
                <w:sz w:val="1"/>
                <w:szCs w:val="1"/>
                <w:color w:val="auto"/>
              </w:rPr>
            </w:pPr>
          </w:p>
        </w:tc>
      </w:tr>
      <w:tr>
        <w:trPr>
          <w:trHeight w:val="147"/>
        </w:trPr>
        <w:tc>
          <w:tcPr>
            <w:tcW w:w="824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9"/>
                <w:szCs w:val="19"/>
                <w:i w:val="1"/>
                <w:iCs w:val="1"/>
                <w:color w:val="auto"/>
              </w:rPr>
              <w:t>Vice President – Strategy and Chief Legal Officer</w:t>
            </w:r>
          </w:p>
        </w:tc>
        <w:tc>
          <w:tcPr>
            <w:tcW w:w="2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8240" w:type="dxa"/>
            <w:vAlign w:val="bottom"/>
            <w:tcBorders>
              <w:left w:val="single" w:sz="8" w:color="auto"/>
              <w:right w:val="single" w:sz="8" w:color="auto"/>
            </w:tcBorders>
            <w:gridSpan w:val="2"/>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63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240" w:type="dxa"/>
            <w:vAlign w:val="bottom"/>
            <w:tcBorders>
              <w:left w:val="single" w:sz="8" w:color="auto"/>
              <w:right w:val="single" w:sz="8" w:color="auto"/>
            </w:tcBorders>
            <w:gridSpan w:val="2"/>
          </w:tcPr>
          <w:p>
            <w:pPr>
              <w:ind w:left="160"/>
              <w:spacing w:after="0" w:line="222" w:lineRule="exact"/>
              <w:rPr>
                <w:sz w:val="20"/>
                <w:szCs w:val="20"/>
                <w:color w:val="auto"/>
              </w:rPr>
            </w:pPr>
            <w:r>
              <w:rPr>
                <w:rFonts w:ascii="Arial" w:cs="Arial" w:eastAsia="Arial" w:hAnsi="Arial"/>
                <w:sz w:val="17"/>
                <w:szCs w:val="17"/>
                <w:b w:val="1"/>
                <w:bCs w:val="1"/>
                <w:color w:val="auto"/>
              </w:rPr>
              <w:t>Mark Nogalo</w:t>
            </w:r>
            <w:r>
              <w:rPr>
                <w:rFonts w:ascii="Arial" w:cs="Arial" w:eastAsia="Arial" w:hAnsi="Arial"/>
                <w:sz w:val="25"/>
                <w:szCs w:val="25"/>
                <w:b w:val="1"/>
                <w:bCs w:val="1"/>
                <w:color w:val="auto"/>
                <w:vertAlign w:val="superscript"/>
              </w:rPr>
              <w:t>(2)</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$425,000</w:t>
            </w:r>
          </w:p>
        </w:tc>
        <w:tc>
          <w:tcPr>
            <w:tcW w:w="0" w:type="dxa"/>
            <w:vAlign w:val="bottom"/>
          </w:tcPr>
          <w:p>
            <w:pPr>
              <w:spacing w:after="0"/>
              <w:rPr>
                <w:sz w:val="1"/>
                <w:szCs w:val="1"/>
                <w:color w:val="auto"/>
              </w:rPr>
            </w:pPr>
          </w:p>
        </w:tc>
      </w:tr>
      <w:tr>
        <w:trPr>
          <w:trHeight w:val="147"/>
        </w:trPr>
        <w:tc>
          <w:tcPr>
            <w:tcW w:w="824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9"/>
                <w:szCs w:val="19"/>
                <w:i w:val="1"/>
                <w:iCs w:val="1"/>
                <w:color w:val="auto"/>
              </w:rPr>
              <w:t>Former Vice President – Strategic Transformation</w:t>
            </w:r>
          </w:p>
        </w:tc>
        <w:tc>
          <w:tcPr>
            <w:tcW w:w="2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8240" w:type="dxa"/>
            <w:vAlign w:val="bottom"/>
            <w:tcBorders>
              <w:left w:val="single" w:sz="8" w:color="auto"/>
              <w:right w:val="single" w:sz="8" w:color="auto"/>
            </w:tcBorders>
            <w:gridSpan w:val="2"/>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63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824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Michael Panzeri</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$596,700</w:t>
            </w:r>
          </w:p>
        </w:tc>
        <w:tc>
          <w:tcPr>
            <w:tcW w:w="0" w:type="dxa"/>
            <w:vAlign w:val="bottom"/>
          </w:tcPr>
          <w:p>
            <w:pPr>
              <w:spacing w:after="0"/>
              <w:rPr>
                <w:sz w:val="1"/>
                <w:szCs w:val="1"/>
                <w:color w:val="auto"/>
              </w:rPr>
            </w:pPr>
          </w:p>
        </w:tc>
      </w:tr>
      <w:tr>
        <w:trPr>
          <w:trHeight w:val="147"/>
        </w:trPr>
        <w:tc>
          <w:tcPr>
            <w:tcW w:w="824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9"/>
                <w:szCs w:val="19"/>
                <w:i w:val="1"/>
                <w:iCs w:val="1"/>
                <w:color w:val="auto"/>
              </w:rPr>
              <w:t>Senior Vice President, Production</w:t>
            </w:r>
          </w:p>
        </w:tc>
        <w:tc>
          <w:tcPr>
            <w:tcW w:w="24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8240" w:type="dxa"/>
            <w:vAlign w:val="bottom"/>
            <w:tcBorders>
              <w:left w:val="single" w:sz="8" w:color="auto"/>
              <w:right w:val="single" w:sz="8" w:color="auto"/>
            </w:tcBorders>
            <w:gridSpan w:val="2"/>
            <w:vMerge w:val="continue"/>
          </w:tcPr>
          <w:p>
            <w:pPr>
              <w:spacing w:after="0"/>
              <w:rPr>
                <w:sz w:val="9"/>
                <w:szCs w:val="9"/>
                <w:color w:val="auto"/>
              </w:rPr>
            </w:pP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6320" w:type="dxa"/>
            <w:vAlign w:val="bottom"/>
            <w:tcBorders>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920" w:type="dxa"/>
            <w:vAlign w:val="bottom"/>
            <w:tcBorders>
              <w:bottom w:val="single" w:sz="8" w:color="auto"/>
            </w:tcBorders>
          </w:tcPr>
          <w:p>
            <w:pPr>
              <w:spacing w:after="0"/>
              <w:rPr>
                <w:sz w:val="11"/>
                <w:szCs w:val="11"/>
                <w:color w:val="auto"/>
              </w:rPr>
            </w:pPr>
          </w:p>
        </w:tc>
        <w:tc>
          <w:tcPr>
            <w:tcW w:w="63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78" w:lineRule="exact"/>
        <w:rPr>
          <w:sz w:val="20"/>
          <w:szCs w:val="20"/>
          <w:color w:val="auto"/>
        </w:rPr>
      </w:pPr>
    </w:p>
    <w:p>
      <w:pPr>
        <w:ind w:left="520" w:right="20" w:hanging="415"/>
        <w:spacing w:after="0" w:line="248" w:lineRule="auto"/>
        <w:tabs>
          <w:tab w:leader="none" w:pos="520" w:val="left"/>
        </w:tabs>
        <w:numPr>
          <w:ilvl w:val="0"/>
          <w:numId w:val="24"/>
        </w:numPr>
        <w:rPr>
          <w:rFonts w:ascii="Arial" w:cs="Arial" w:eastAsia="Arial" w:hAnsi="Arial"/>
          <w:sz w:val="16"/>
          <w:szCs w:val="16"/>
          <w:i w:val="1"/>
          <w:iCs w:val="1"/>
          <w:color w:val="003445"/>
        </w:rPr>
      </w:pPr>
      <w:r>
        <w:rPr>
          <w:rFonts w:ascii="Arial" w:cs="Arial" w:eastAsia="Arial" w:hAnsi="Arial"/>
          <w:sz w:val="16"/>
          <w:szCs w:val="16"/>
          <w:i w:val="1"/>
          <w:iCs w:val="1"/>
          <w:color w:val="003445"/>
        </w:rPr>
        <w:t>Mr. Garcia retired from his position as the Chief Executive Officer of the Company effective as of December 31, 2025 and is currently not employed by the Company.</w:t>
      </w:r>
    </w:p>
    <w:p>
      <w:pPr>
        <w:ind w:left="520" w:hanging="415"/>
        <w:spacing w:after="0"/>
        <w:tabs>
          <w:tab w:leader="none" w:pos="520" w:val="left"/>
        </w:tabs>
        <w:numPr>
          <w:ilvl w:val="0"/>
          <w:numId w:val="24"/>
        </w:numPr>
        <w:rPr>
          <w:rFonts w:ascii="Arial" w:cs="Arial" w:eastAsia="Arial" w:hAnsi="Arial"/>
          <w:sz w:val="16"/>
          <w:szCs w:val="16"/>
          <w:i w:val="1"/>
          <w:iCs w:val="1"/>
          <w:color w:val="003445"/>
        </w:rPr>
      </w:pPr>
      <w:r>
        <w:rPr>
          <w:rFonts w:ascii="Arial" w:cs="Arial" w:eastAsia="Arial" w:hAnsi="Arial"/>
          <w:sz w:val="16"/>
          <w:szCs w:val="16"/>
          <w:i w:val="1"/>
          <w:iCs w:val="1"/>
          <w:color w:val="003445"/>
        </w:rPr>
        <w:t>Mr. Nogalo retired as the Vice President – Strategic Transformation on April 1, 2026.</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Short-Term Incentives</w:t>
      </w:r>
    </w:p>
    <w:p>
      <w:pPr>
        <w:spacing w:after="0" w:line="203"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Annual bonuses were determined in accordance with the VCIP, based on a combination of financial and non-financial metrics. The metrics relating to compensation for the first 3-months (January 1, 2025 to March 31, 2025) of Fiscal 2025 were defined prior to the decision taken to change the fiscal year and so are outlined for the twelve-month period ending March 31, 2025. For this period, Algoma achieved 20% of target on the corporate metrics (EBITDA, Shipments, Cash Flow, Safety, Environment and EAF; collectively, the “</w:t>
      </w:r>
      <w:r>
        <w:rPr>
          <w:rFonts w:ascii="Arial" w:cs="Arial" w:eastAsia="Arial" w:hAnsi="Arial"/>
          <w:sz w:val="19"/>
          <w:szCs w:val="19"/>
          <w:b w:val="1"/>
          <w:bCs w:val="1"/>
          <w:color w:val="auto"/>
        </w:rPr>
        <w:t>Corporate Scorecard</w:t>
      </w:r>
      <w:r>
        <w:rPr>
          <w:rFonts w:ascii="Arial" w:cs="Arial" w:eastAsia="Arial" w:hAnsi="Arial"/>
          <w:sz w:val="19"/>
          <w:szCs w:val="19"/>
          <w:color w:val="auto"/>
        </w:rPr>
        <w:t>”), with performance measured against the Board approved targets and thresholds as set out in the table below.</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right w:val="single" w:sz="8" w:color="auto"/>
            </w:tcBorders>
            <w:shd w:val="clear" w:color="auto" w:fill="003445"/>
          </w:tcPr>
          <w:p>
            <w:pPr>
              <w:spacing w:after="0"/>
              <w:rPr>
                <w:sz w:val="20"/>
                <w:szCs w:val="20"/>
                <w:color w:val="auto"/>
              </w:rPr>
            </w:pPr>
          </w:p>
        </w:tc>
        <w:tc>
          <w:tcPr>
            <w:tcW w:w="1400" w:type="dxa"/>
            <w:vAlign w:val="bottom"/>
            <w:tcBorders>
              <w:top w:val="single" w:sz="8" w:color="auto"/>
              <w:right w:val="single" w:sz="8" w:color="auto"/>
            </w:tcBorders>
            <w:shd w:val="clear" w:color="auto" w:fill="003445"/>
          </w:tcPr>
          <w:p>
            <w:pPr>
              <w:jc w:val="center"/>
              <w:ind w:left="7"/>
              <w:spacing w:after="0"/>
              <w:rPr>
                <w:sz w:val="20"/>
                <w:szCs w:val="20"/>
                <w:color w:val="auto"/>
              </w:rPr>
            </w:pPr>
            <w:r>
              <w:rPr>
                <w:rFonts w:ascii="Arial" w:cs="Arial" w:eastAsia="Arial" w:hAnsi="Arial"/>
                <w:sz w:val="17"/>
                <w:szCs w:val="17"/>
                <w:b w:val="1"/>
                <w:bCs w:val="1"/>
                <w:color w:val="FFFFFF"/>
              </w:rPr>
              <w:t>Weight</w:t>
            </w:r>
          </w:p>
        </w:tc>
        <w:tc>
          <w:tcPr>
            <w:tcW w:w="1400" w:type="dxa"/>
            <w:vAlign w:val="bottom"/>
            <w:tcBorders>
              <w:top w:val="single" w:sz="8" w:color="auto"/>
              <w:right w:val="single" w:sz="8" w:color="auto"/>
            </w:tcBorders>
            <w:shd w:val="clear" w:color="auto" w:fill="003445"/>
          </w:tcPr>
          <w:p>
            <w:pPr>
              <w:ind w:left="320"/>
              <w:spacing w:after="0"/>
              <w:rPr>
                <w:sz w:val="20"/>
                <w:szCs w:val="20"/>
                <w:color w:val="auto"/>
              </w:rPr>
            </w:pPr>
            <w:r>
              <w:rPr>
                <w:rFonts w:ascii="Arial" w:cs="Arial" w:eastAsia="Arial" w:hAnsi="Arial"/>
                <w:sz w:val="17"/>
                <w:szCs w:val="17"/>
                <w:b w:val="1"/>
                <w:bCs w:val="1"/>
                <w:color w:val="FFFFFF"/>
              </w:rPr>
              <w:t>Threshold</w:t>
            </w:r>
          </w:p>
        </w:tc>
        <w:tc>
          <w:tcPr>
            <w:tcW w:w="1380" w:type="dxa"/>
            <w:vAlign w:val="bottom"/>
            <w:tcBorders>
              <w:top w:val="single" w:sz="8" w:color="auto"/>
              <w:right w:val="single" w:sz="8" w:color="auto"/>
            </w:tcBorders>
            <w:shd w:val="clear" w:color="auto" w:fill="003445"/>
          </w:tcPr>
          <w:p>
            <w:pPr>
              <w:ind w:left="480"/>
              <w:spacing w:after="0"/>
              <w:rPr>
                <w:sz w:val="20"/>
                <w:szCs w:val="20"/>
                <w:color w:val="auto"/>
              </w:rPr>
            </w:pPr>
            <w:r>
              <w:rPr>
                <w:rFonts w:ascii="Arial" w:cs="Arial" w:eastAsia="Arial" w:hAnsi="Arial"/>
                <w:sz w:val="17"/>
                <w:szCs w:val="17"/>
                <w:b w:val="1"/>
                <w:bCs w:val="1"/>
                <w:color w:val="FFFFFF"/>
              </w:rPr>
              <w:t>Target</w:t>
            </w:r>
          </w:p>
        </w:tc>
        <w:tc>
          <w:tcPr>
            <w:tcW w:w="1400" w:type="dxa"/>
            <w:vAlign w:val="bottom"/>
            <w:tcBorders>
              <w:top w:val="single" w:sz="8" w:color="auto"/>
              <w:right w:val="single" w:sz="8" w:color="auto"/>
            </w:tcBorders>
            <w:shd w:val="clear" w:color="auto" w:fill="003445"/>
          </w:tcPr>
          <w:p>
            <w:pPr>
              <w:ind w:left="340"/>
              <w:spacing w:after="0"/>
              <w:rPr>
                <w:sz w:val="20"/>
                <w:szCs w:val="20"/>
                <w:color w:val="auto"/>
              </w:rPr>
            </w:pPr>
            <w:r>
              <w:rPr>
                <w:rFonts w:ascii="Arial" w:cs="Arial" w:eastAsia="Arial" w:hAnsi="Arial"/>
                <w:sz w:val="17"/>
                <w:szCs w:val="17"/>
                <w:b w:val="1"/>
                <w:bCs w:val="1"/>
                <w:color w:val="FFFFFF"/>
              </w:rPr>
              <w:t>Maximum</w:t>
            </w:r>
          </w:p>
        </w:tc>
        <w:tc>
          <w:tcPr>
            <w:tcW w:w="1400" w:type="dxa"/>
            <w:vAlign w:val="bottom"/>
            <w:tcBorders>
              <w:top w:val="single" w:sz="8" w:color="auto"/>
              <w:right w:val="single" w:sz="8" w:color="auto"/>
            </w:tcBorders>
            <w:shd w:val="clear" w:color="auto" w:fill="003445"/>
          </w:tcPr>
          <w:p>
            <w:pPr>
              <w:ind w:left="480"/>
              <w:spacing w:after="0"/>
              <w:rPr>
                <w:sz w:val="20"/>
                <w:szCs w:val="20"/>
                <w:color w:val="auto"/>
              </w:rPr>
            </w:pPr>
            <w:r>
              <w:rPr>
                <w:rFonts w:ascii="Arial" w:cs="Arial" w:eastAsia="Arial" w:hAnsi="Arial"/>
                <w:sz w:val="17"/>
                <w:szCs w:val="17"/>
                <w:b w:val="1"/>
                <w:bCs w:val="1"/>
                <w:color w:val="FFFFFF"/>
              </w:rPr>
              <w:t>Actual</w:t>
            </w:r>
          </w:p>
        </w:tc>
        <w:tc>
          <w:tcPr>
            <w:tcW w:w="140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Payout</w:t>
            </w:r>
          </w:p>
        </w:tc>
      </w:tr>
      <w:tr>
        <w:trPr>
          <w:trHeight w:val="286"/>
        </w:trPr>
        <w:tc>
          <w:tcPr>
            <w:tcW w:w="2320" w:type="dxa"/>
            <w:vAlign w:val="bottom"/>
            <w:tcBorders>
              <w:left w:val="single" w:sz="8" w:color="auto"/>
              <w:bottom w:val="single" w:sz="8" w:color="003445"/>
              <w:right w:val="single" w:sz="8" w:color="auto"/>
            </w:tcBorders>
            <w:shd w:val="clear" w:color="auto" w:fill="003445"/>
          </w:tcPr>
          <w:p>
            <w:pPr>
              <w:spacing w:after="0"/>
              <w:rPr>
                <w:sz w:val="24"/>
                <w:szCs w:val="24"/>
                <w:color w:val="auto"/>
              </w:rPr>
            </w:pPr>
          </w:p>
        </w:tc>
        <w:tc>
          <w:tcPr>
            <w:tcW w:w="1400" w:type="dxa"/>
            <w:vAlign w:val="bottom"/>
            <w:tcBorders>
              <w:bottom w:val="single" w:sz="8" w:color="003445"/>
              <w:right w:val="single" w:sz="8" w:color="auto"/>
            </w:tcBorders>
            <w:shd w:val="clear" w:color="auto" w:fill="003445"/>
          </w:tcPr>
          <w:p>
            <w:pPr>
              <w:spacing w:after="0"/>
              <w:rPr>
                <w:sz w:val="24"/>
                <w:szCs w:val="24"/>
                <w:color w:val="auto"/>
              </w:rPr>
            </w:pPr>
          </w:p>
        </w:tc>
        <w:tc>
          <w:tcPr>
            <w:tcW w:w="1400" w:type="dxa"/>
            <w:vAlign w:val="bottom"/>
            <w:tcBorders>
              <w:bottom w:val="single" w:sz="8" w:color="003445"/>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(50%)</w:t>
            </w:r>
          </w:p>
        </w:tc>
        <w:tc>
          <w:tcPr>
            <w:tcW w:w="1380" w:type="dxa"/>
            <w:vAlign w:val="bottom"/>
            <w:tcBorders>
              <w:bottom w:val="single" w:sz="8" w:color="003445"/>
              <w:right w:val="single" w:sz="8" w:color="auto"/>
            </w:tcBorders>
            <w:shd w:val="clear" w:color="auto" w:fill="003445"/>
          </w:tcPr>
          <w:p>
            <w:pPr>
              <w:jc w:val="center"/>
              <w:ind w:left="8"/>
              <w:spacing w:after="0"/>
              <w:rPr>
                <w:sz w:val="20"/>
                <w:szCs w:val="20"/>
                <w:color w:val="auto"/>
              </w:rPr>
            </w:pPr>
            <w:r>
              <w:rPr>
                <w:rFonts w:ascii="Arial" w:cs="Arial" w:eastAsia="Arial" w:hAnsi="Arial"/>
                <w:sz w:val="17"/>
                <w:szCs w:val="17"/>
                <w:b w:val="1"/>
                <w:bCs w:val="1"/>
                <w:color w:val="FFFFFF"/>
              </w:rPr>
              <w:t>(100%)</w:t>
            </w:r>
          </w:p>
        </w:tc>
        <w:tc>
          <w:tcPr>
            <w:tcW w:w="1400" w:type="dxa"/>
            <w:vAlign w:val="bottom"/>
            <w:tcBorders>
              <w:bottom w:val="single" w:sz="8" w:color="003445"/>
              <w:right w:val="single" w:sz="8" w:color="auto"/>
            </w:tcBorders>
            <w:shd w:val="clear" w:color="auto" w:fill="003445"/>
          </w:tcPr>
          <w:p>
            <w:pPr>
              <w:jc w:val="center"/>
              <w:ind w:left="8"/>
              <w:spacing w:after="0"/>
              <w:rPr>
                <w:sz w:val="20"/>
                <w:szCs w:val="20"/>
                <w:color w:val="auto"/>
              </w:rPr>
            </w:pPr>
            <w:r>
              <w:rPr>
                <w:rFonts w:ascii="Arial" w:cs="Arial" w:eastAsia="Arial" w:hAnsi="Arial"/>
                <w:sz w:val="17"/>
                <w:szCs w:val="17"/>
                <w:b w:val="1"/>
                <w:bCs w:val="1"/>
                <w:color w:val="FFFFFF"/>
              </w:rPr>
              <w:t>(200%)</w:t>
            </w:r>
          </w:p>
        </w:tc>
        <w:tc>
          <w:tcPr>
            <w:tcW w:w="1400" w:type="dxa"/>
            <w:vAlign w:val="bottom"/>
            <w:tcBorders>
              <w:bottom w:val="single" w:sz="8" w:color="003445"/>
              <w:right w:val="single" w:sz="8" w:color="auto"/>
            </w:tcBorders>
            <w:shd w:val="clear" w:color="auto" w:fill="003445"/>
          </w:tcPr>
          <w:p>
            <w:pPr>
              <w:spacing w:after="0"/>
              <w:rPr>
                <w:sz w:val="24"/>
                <w:szCs w:val="24"/>
                <w:color w:val="auto"/>
              </w:rPr>
            </w:pPr>
          </w:p>
        </w:tc>
        <w:tc>
          <w:tcPr>
            <w:tcW w:w="1400" w:type="dxa"/>
            <w:vAlign w:val="bottom"/>
            <w:tcBorders>
              <w:bottom w:val="single" w:sz="8" w:color="003445"/>
              <w:right w:val="single" w:sz="8" w:color="auto"/>
            </w:tcBorders>
            <w:shd w:val="clear" w:color="auto" w:fill="003445"/>
          </w:tcPr>
          <w:p>
            <w:pPr>
              <w:spacing w:after="0"/>
              <w:rPr>
                <w:sz w:val="24"/>
                <w:szCs w:val="24"/>
                <w:color w:val="auto"/>
              </w:rPr>
            </w:pPr>
          </w:p>
        </w:tc>
      </w:tr>
      <w:tr>
        <w:trPr>
          <w:trHeight w:val="294"/>
        </w:trPr>
        <w:tc>
          <w:tcPr>
            <w:tcW w:w="23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EBITDA</w:t>
            </w:r>
          </w:p>
        </w:tc>
        <w:tc>
          <w:tcPr>
            <w:tcW w:w="1400" w:type="dxa"/>
            <w:vAlign w:val="bottom"/>
            <w:tcBorders>
              <w:top w:val="single" w:sz="8" w:color="auto"/>
              <w:bottom w:val="single" w:sz="8" w:color="auto"/>
              <w:right w:val="single" w:sz="8" w:color="auto"/>
            </w:tcBorders>
          </w:tcPr>
          <w:p>
            <w:pPr>
              <w:jc w:val="center"/>
              <w:ind w:left="7"/>
              <w:spacing w:after="0"/>
              <w:rPr>
                <w:sz w:val="20"/>
                <w:szCs w:val="20"/>
                <w:color w:val="auto"/>
              </w:rPr>
            </w:pPr>
            <w:r>
              <w:rPr>
                <w:rFonts w:ascii="Arial" w:cs="Arial" w:eastAsia="Arial" w:hAnsi="Arial"/>
                <w:sz w:val="19"/>
                <w:szCs w:val="19"/>
                <w:color w:val="auto"/>
                <w:w w:val="99"/>
              </w:rPr>
              <w:t>15%</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$241M</w:t>
            </w:r>
          </w:p>
        </w:tc>
        <w:tc>
          <w:tcPr>
            <w:tcW w:w="1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$293M</w:t>
            </w:r>
          </w:p>
        </w:tc>
        <w:tc>
          <w:tcPr>
            <w:tcW w:w="1400" w:type="dxa"/>
            <w:vAlign w:val="bottom"/>
            <w:tcBorders>
              <w:top w:val="single" w:sz="8" w:color="auto"/>
              <w:bottom w:val="single" w:sz="8" w:color="auto"/>
              <w:right w:val="single" w:sz="8" w:color="auto"/>
            </w:tcBorders>
          </w:tcPr>
          <w:p>
            <w:pPr>
              <w:jc w:val="center"/>
              <w:ind w:left="8"/>
              <w:spacing w:after="0"/>
              <w:rPr>
                <w:sz w:val="20"/>
                <w:szCs w:val="20"/>
                <w:color w:val="auto"/>
              </w:rPr>
            </w:pPr>
            <w:r>
              <w:rPr>
                <w:rFonts w:ascii="Arial" w:cs="Arial" w:eastAsia="Arial" w:hAnsi="Arial"/>
                <w:sz w:val="19"/>
                <w:szCs w:val="19"/>
                <w:color w:val="auto"/>
                <w:w w:val="99"/>
              </w:rPr>
              <w:t>$345M</w:t>
            </w:r>
          </w:p>
        </w:tc>
        <w:tc>
          <w:tcPr>
            <w:tcW w:w="1400" w:type="dxa"/>
            <w:vAlign w:val="bottom"/>
            <w:tcBorders>
              <w:top w:val="single" w:sz="8" w:color="auto"/>
              <w:bottom w:val="single" w:sz="8" w:color="auto"/>
              <w:right w:val="single" w:sz="8" w:color="auto"/>
            </w:tcBorders>
          </w:tcPr>
          <w:p>
            <w:pPr>
              <w:jc w:val="center"/>
              <w:ind w:left="7"/>
              <w:spacing w:after="0" w:line="294" w:lineRule="exact"/>
              <w:rPr>
                <w:sz w:val="20"/>
                <w:szCs w:val="20"/>
                <w:color w:val="auto"/>
              </w:rPr>
            </w:pPr>
            <w:r>
              <w:rPr>
                <w:rFonts w:ascii="Arial" w:cs="Arial" w:eastAsia="Arial" w:hAnsi="Arial"/>
                <w:sz w:val="19"/>
                <w:szCs w:val="19"/>
                <w:color w:val="auto"/>
                <w:w w:val="96"/>
              </w:rPr>
              <w:t>$(141)M</w:t>
            </w:r>
            <w:r>
              <w:rPr>
                <w:rFonts w:ascii="Arial" w:cs="Arial" w:eastAsia="Arial" w:hAnsi="Arial"/>
                <w:sz w:val="28"/>
                <w:szCs w:val="28"/>
                <w:color w:val="auto"/>
                <w:w w:val="96"/>
                <w:vertAlign w:val="superscript"/>
              </w:rPr>
              <w:t>(2)</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0%</w:t>
            </w:r>
          </w:p>
        </w:tc>
      </w:tr>
      <w:tr>
        <w:trPr>
          <w:trHeight w:val="294"/>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Operating Cash Flow</w:t>
            </w:r>
          </w:p>
        </w:tc>
        <w:tc>
          <w:tcPr>
            <w:tcW w:w="14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9"/>
                <w:szCs w:val="19"/>
                <w:color w:val="auto"/>
                <w:w w:val="99"/>
              </w:rPr>
              <w:t>15%</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$166M</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9"/>
              </w:rPr>
              <w:t>$218M</w:t>
            </w:r>
          </w:p>
        </w:tc>
        <w:tc>
          <w:tcPr>
            <w:tcW w:w="140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9"/>
                <w:szCs w:val="19"/>
                <w:color w:val="auto"/>
                <w:w w:val="99"/>
              </w:rPr>
              <w:t>$270M</w:t>
            </w:r>
          </w:p>
        </w:tc>
        <w:tc>
          <w:tcPr>
            <w:tcW w:w="1400" w:type="dxa"/>
            <w:vAlign w:val="bottom"/>
            <w:tcBorders>
              <w:bottom w:val="single" w:sz="8" w:color="auto"/>
              <w:right w:val="single" w:sz="8" w:color="auto"/>
            </w:tcBorders>
          </w:tcPr>
          <w:p>
            <w:pPr>
              <w:jc w:val="center"/>
              <w:ind w:left="7"/>
              <w:spacing w:after="0" w:line="294" w:lineRule="exact"/>
              <w:rPr>
                <w:sz w:val="20"/>
                <w:szCs w:val="20"/>
                <w:color w:val="auto"/>
              </w:rPr>
            </w:pPr>
            <w:r>
              <w:rPr>
                <w:rFonts w:ascii="Arial" w:cs="Arial" w:eastAsia="Arial" w:hAnsi="Arial"/>
                <w:sz w:val="19"/>
                <w:szCs w:val="19"/>
                <w:color w:val="auto"/>
                <w:w w:val="93"/>
              </w:rPr>
              <w:t>$(26)M</w:t>
            </w:r>
            <w:r>
              <w:rPr>
                <w:rFonts w:ascii="Arial" w:cs="Arial" w:eastAsia="Arial" w:hAnsi="Arial"/>
                <w:sz w:val="28"/>
                <w:szCs w:val="28"/>
                <w:color w:val="auto"/>
                <w:w w:val="93"/>
                <w:vertAlign w:val="superscript"/>
              </w:rPr>
              <w:t>(2)</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0%</w:t>
            </w: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0700"/>
          </w:cols>
          <w:pgMar w:left="600" w:top="262" w:right="59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321"/>
        </w:trPr>
        <w:tc>
          <w:tcPr>
            <w:tcW w:w="234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Prime Shipments (KNT)</w:t>
            </w:r>
          </w:p>
        </w:tc>
        <w:tc>
          <w:tcPr>
            <w:tcW w:w="1380" w:type="dxa"/>
            <w:vAlign w:val="bottom"/>
            <w:tcBorders>
              <w:top w:val="single" w:sz="8" w:color="auto"/>
              <w:right w:val="single" w:sz="8" w:color="auto"/>
            </w:tcBorders>
          </w:tcPr>
          <w:p>
            <w:pPr>
              <w:jc w:val="center"/>
              <w:ind w:left="4"/>
              <w:spacing w:after="0"/>
              <w:rPr>
                <w:sz w:val="20"/>
                <w:szCs w:val="20"/>
                <w:color w:val="auto"/>
              </w:rPr>
            </w:pPr>
            <w:r>
              <w:rPr>
                <w:rFonts w:ascii="Arial" w:cs="Arial" w:eastAsia="Arial" w:hAnsi="Arial"/>
                <w:sz w:val="19"/>
                <w:szCs w:val="19"/>
                <w:color w:val="auto"/>
              </w:rPr>
              <w:t>10%</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2,048</w:t>
            </w:r>
          </w:p>
        </w:tc>
        <w:tc>
          <w:tcPr>
            <w:tcW w:w="1380" w:type="dxa"/>
            <w:vAlign w:val="bottom"/>
            <w:tcBorders>
              <w:top w:val="single" w:sz="8" w:color="auto"/>
              <w:right w:val="single" w:sz="8" w:color="auto"/>
            </w:tcBorders>
          </w:tcPr>
          <w:p>
            <w:pPr>
              <w:jc w:val="center"/>
              <w:ind w:left="4"/>
              <w:spacing w:after="0"/>
              <w:rPr>
                <w:sz w:val="20"/>
                <w:szCs w:val="20"/>
                <w:color w:val="auto"/>
              </w:rPr>
            </w:pPr>
            <w:r>
              <w:rPr>
                <w:rFonts w:ascii="Arial" w:cs="Arial" w:eastAsia="Arial" w:hAnsi="Arial"/>
                <w:sz w:val="19"/>
                <w:szCs w:val="19"/>
                <w:color w:val="auto"/>
              </w:rPr>
              <w:t>2,124</w:t>
            </w:r>
          </w:p>
        </w:tc>
        <w:tc>
          <w:tcPr>
            <w:tcW w:w="1400" w:type="dxa"/>
            <w:vAlign w:val="bottom"/>
            <w:tcBorders>
              <w:top w:val="single" w:sz="8" w:color="auto"/>
              <w:right w:val="single" w:sz="8" w:color="auto"/>
            </w:tcBorders>
          </w:tcPr>
          <w:p>
            <w:pPr>
              <w:jc w:val="center"/>
              <w:ind w:left="11"/>
              <w:spacing w:after="0"/>
              <w:rPr>
                <w:sz w:val="20"/>
                <w:szCs w:val="20"/>
                <w:color w:val="auto"/>
              </w:rPr>
            </w:pPr>
            <w:r>
              <w:rPr>
                <w:rFonts w:ascii="Arial" w:cs="Arial" w:eastAsia="Arial" w:hAnsi="Arial"/>
                <w:sz w:val="19"/>
                <w:szCs w:val="19"/>
                <w:color w:val="auto"/>
              </w:rPr>
              <w:t>2,200</w:t>
            </w:r>
          </w:p>
        </w:tc>
        <w:tc>
          <w:tcPr>
            <w:tcW w:w="1400" w:type="dxa"/>
            <w:vAlign w:val="bottom"/>
            <w:tcBorders>
              <w:top w:val="single" w:sz="8" w:color="auto"/>
              <w:right w:val="single" w:sz="8" w:color="auto"/>
            </w:tcBorders>
          </w:tcPr>
          <w:p>
            <w:pPr>
              <w:jc w:val="center"/>
              <w:ind w:left="24"/>
              <w:spacing w:after="0"/>
              <w:rPr>
                <w:sz w:val="20"/>
                <w:szCs w:val="20"/>
                <w:color w:val="auto"/>
              </w:rPr>
            </w:pPr>
            <w:r>
              <w:rPr>
                <w:rFonts w:ascii="Arial" w:cs="Arial" w:eastAsia="Arial" w:hAnsi="Arial"/>
                <w:sz w:val="19"/>
                <w:szCs w:val="19"/>
                <w:color w:val="auto"/>
              </w:rPr>
              <w:t>1,957</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33"/>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Total Plate Shipments</w:t>
            </w:r>
          </w:p>
        </w:tc>
        <w:tc>
          <w:tcPr>
            <w:tcW w:w="138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rPr>
              <w:t>10%</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356</w:t>
            </w:r>
          </w:p>
        </w:tc>
        <w:tc>
          <w:tcPr>
            <w:tcW w:w="138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rPr>
              <w:t>378</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400</w:t>
            </w:r>
          </w:p>
        </w:tc>
        <w:tc>
          <w:tcPr>
            <w:tcW w:w="140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w w:val="94"/>
              </w:rPr>
              <w:t>311</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51"/>
        </w:trPr>
        <w:tc>
          <w:tcPr>
            <w:tcW w:w="23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(KNT)</w:t>
            </w:r>
          </w:p>
        </w:tc>
        <w:tc>
          <w:tcPr>
            <w:tcW w:w="138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2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Safety (Lost Time</w:t>
            </w:r>
          </w:p>
        </w:tc>
        <w:tc>
          <w:tcPr>
            <w:tcW w:w="138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rPr>
              <w:t>10%</w:t>
            </w:r>
          </w:p>
        </w:tc>
        <w:tc>
          <w:tcPr>
            <w:tcW w:w="140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rPr>
              <w:t>0.20</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0.15</w:t>
            </w:r>
          </w:p>
        </w:tc>
        <w:tc>
          <w:tcPr>
            <w:tcW w:w="1400" w:type="dxa"/>
            <w:vAlign w:val="bottom"/>
            <w:tcBorders>
              <w:right w:val="single" w:sz="8" w:color="auto"/>
            </w:tcBorders>
            <w:vMerge w:val="restart"/>
          </w:tcPr>
          <w:p>
            <w:pPr>
              <w:jc w:val="center"/>
              <w:ind w:left="11"/>
              <w:spacing w:after="0"/>
              <w:rPr>
                <w:sz w:val="20"/>
                <w:szCs w:val="20"/>
                <w:color w:val="auto"/>
              </w:rPr>
            </w:pPr>
            <w:r>
              <w:rPr>
                <w:rFonts w:ascii="Arial" w:cs="Arial" w:eastAsia="Arial" w:hAnsi="Arial"/>
                <w:sz w:val="19"/>
                <w:szCs w:val="19"/>
                <w:color w:val="auto"/>
              </w:rPr>
              <w:t>0.07</w:t>
            </w:r>
          </w:p>
        </w:tc>
        <w:tc>
          <w:tcPr>
            <w:tcW w:w="140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rPr>
              <w:t>0.32</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151"/>
        </w:trPr>
        <w:tc>
          <w:tcPr>
            <w:tcW w:w="23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Injury Ratio)</w:t>
            </w:r>
          </w:p>
        </w:tc>
        <w:tc>
          <w:tcPr>
            <w:tcW w:w="138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34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1"/>
        </w:trPr>
        <w:tc>
          <w:tcPr>
            <w:tcW w:w="23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Environment (Spills)</w:t>
            </w:r>
          </w:p>
        </w:tc>
        <w:tc>
          <w:tcPr>
            <w:tcW w:w="13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9"/>
                <w:szCs w:val="19"/>
                <w:color w:val="auto"/>
              </w:rPr>
              <w:t>5%</w:t>
            </w:r>
          </w:p>
        </w:tc>
        <w:tc>
          <w:tcPr>
            <w:tcW w:w="14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9"/>
                <w:szCs w:val="19"/>
                <w:color w:val="auto"/>
                <w:w w:val="94"/>
              </w:rPr>
              <w:t>1</w:t>
            </w:r>
          </w:p>
        </w:tc>
        <w:tc>
          <w:tcPr>
            <w:tcW w:w="1380" w:type="dxa"/>
            <w:vAlign w:val="bottom"/>
            <w:tcBorders>
              <w:bottom w:val="single" w:sz="8" w:color="auto"/>
              <w:right w:val="single" w:sz="8" w:color="auto"/>
            </w:tcBorders>
          </w:tcPr>
          <w:p>
            <w:pPr>
              <w:ind w:left="580"/>
              <w:spacing w:after="0"/>
              <w:rPr>
                <w:sz w:val="20"/>
                <w:szCs w:val="20"/>
                <w:color w:val="auto"/>
              </w:rPr>
            </w:pPr>
            <w:r>
              <w:rPr>
                <w:rFonts w:ascii="Arial" w:cs="Arial" w:eastAsia="Arial" w:hAnsi="Arial"/>
                <w:sz w:val="19"/>
                <w:szCs w:val="19"/>
                <w:color w:val="auto"/>
              </w:rPr>
              <w:t>N/A</w:t>
            </w:r>
          </w:p>
        </w:tc>
        <w:tc>
          <w:tcPr>
            <w:tcW w:w="1400" w:type="dxa"/>
            <w:vAlign w:val="bottom"/>
            <w:tcBorders>
              <w:bottom w:val="single" w:sz="8" w:color="auto"/>
              <w:right w:val="single" w:sz="8" w:color="auto"/>
            </w:tcBorders>
          </w:tcPr>
          <w:p>
            <w:pPr>
              <w:jc w:val="center"/>
              <w:ind w:left="11"/>
              <w:spacing w:after="0" w:line="300" w:lineRule="exact"/>
              <w:rPr>
                <w:sz w:val="20"/>
                <w:szCs w:val="20"/>
                <w:color w:val="auto"/>
              </w:rPr>
            </w:pPr>
            <w:r>
              <w:rPr>
                <w:rFonts w:ascii="Arial" w:cs="Arial" w:eastAsia="Arial" w:hAnsi="Arial"/>
                <w:sz w:val="34"/>
                <w:szCs w:val="34"/>
                <w:color w:val="auto"/>
                <w:vertAlign w:val="subscript"/>
              </w:rPr>
              <w:t>0</w:t>
            </w:r>
            <w:r>
              <w:rPr>
                <w:rFonts w:ascii="Arial" w:cs="Arial" w:eastAsia="Arial" w:hAnsi="Arial"/>
                <w:sz w:val="14"/>
                <w:szCs w:val="14"/>
                <w:color w:val="auto"/>
              </w:rPr>
              <w:t>(3)</w:t>
            </w:r>
          </w:p>
        </w:tc>
        <w:tc>
          <w:tcPr>
            <w:tcW w:w="14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9"/>
                <w:szCs w:val="19"/>
                <w:color w:val="auto"/>
                <w:w w:val="94"/>
              </w:rPr>
              <w:t>0</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294"/>
        </w:trPr>
        <w:tc>
          <w:tcPr>
            <w:tcW w:w="2340" w:type="dxa"/>
            <w:vAlign w:val="bottom"/>
            <w:tcBorders>
              <w:left w:val="single" w:sz="8" w:color="auto"/>
              <w:bottom w:val="single" w:sz="8" w:color="auto"/>
              <w:right w:val="single" w:sz="8" w:color="auto"/>
            </w:tcBorders>
          </w:tcPr>
          <w:p>
            <w:pPr>
              <w:ind w:left="160"/>
              <w:spacing w:after="0" w:line="294" w:lineRule="exact"/>
              <w:rPr>
                <w:sz w:val="20"/>
                <w:szCs w:val="20"/>
                <w:color w:val="auto"/>
              </w:rPr>
            </w:pPr>
            <w:r>
              <w:rPr>
                <w:rFonts w:ascii="Arial" w:cs="Arial" w:eastAsia="Arial" w:hAnsi="Arial"/>
                <w:sz w:val="19"/>
                <w:szCs w:val="19"/>
                <w:b w:val="1"/>
                <w:bCs w:val="1"/>
                <w:color w:val="auto"/>
              </w:rPr>
              <w:t>EAF Goals</w:t>
            </w:r>
            <w:r>
              <w:rPr>
                <w:rFonts w:ascii="Arial" w:cs="Arial" w:eastAsia="Arial" w:hAnsi="Arial"/>
                <w:sz w:val="28"/>
                <w:szCs w:val="28"/>
                <w:b w:val="1"/>
                <w:bCs w:val="1"/>
                <w:color w:val="auto"/>
                <w:vertAlign w:val="superscript"/>
              </w:rPr>
              <w:t>(1)</w:t>
            </w:r>
          </w:p>
        </w:tc>
        <w:tc>
          <w:tcPr>
            <w:tcW w:w="13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9"/>
                <w:szCs w:val="19"/>
                <w:color w:val="auto"/>
              </w:rPr>
              <w:t>35%</w:t>
            </w:r>
          </w:p>
        </w:tc>
        <w:tc>
          <w:tcPr>
            <w:tcW w:w="4180" w:type="dxa"/>
            <w:vAlign w:val="bottom"/>
            <w:tcBorders>
              <w:bottom w:val="single" w:sz="8" w:color="auto"/>
            </w:tcBorders>
            <w:gridSpan w:val="3"/>
          </w:tcPr>
          <w:p>
            <w:pPr>
              <w:ind w:left="120"/>
              <w:spacing w:after="0"/>
              <w:rPr>
                <w:sz w:val="20"/>
                <w:szCs w:val="20"/>
                <w:color w:val="auto"/>
              </w:rPr>
            </w:pPr>
            <w:r>
              <w:rPr>
                <w:rFonts w:ascii="Arial" w:cs="Arial" w:eastAsia="Arial" w:hAnsi="Arial"/>
                <w:sz w:val="19"/>
                <w:szCs w:val="19"/>
                <w:i w:val="1"/>
                <w:iCs w:val="1"/>
                <w:color w:val="auto"/>
              </w:rPr>
              <w:t>Targets are competitively sensitive information</w:t>
            </w:r>
          </w:p>
        </w:tc>
        <w:tc>
          <w:tcPr>
            <w:tcW w:w="14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12.5%</w:t>
            </w:r>
          </w:p>
        </w:tc>
        <w:tc>
          <w:tcPr>
            <w:tcW w:w="0" w:type="dxa"/>
            <w:vAlign w:val="bottom"/>
          </w:tcPr>
          <w:p>
            <w:pPr>
              <w:spacing w:after="0"/>
              <w:rPr>
                <w:sz w:val="1"/>
                <w:szCs w:val="1"/>
                <w:color w:val="auto"/>
              </w:rPr>
            </w:pPr>
          </w:p>
        </w:tc>
      </w:tr>
      <w:tr>
        <w:trPr>
          <w:trHeight w:val="287"/>
        </w:trPr>
        <w:tc>
          <w:tcPr>
            <w:tcW w:w="23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Total</w:t>
            </w:r>
          </w:p>
        </w:tc>
        <w:tc>
          <w:tcPr>
            <w:tcW w:w="138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9"/>
                <w:szCs w:val="19"/>
                <w:color w:val="auto"/>
                <w:w w:val="98"/>
              </w:rPr>
              <w:t>100%</w:t>
            </w:r>
          </w:p>
        </w:tc>
        <w:tc>
          <w:tcPr>
            <w:tcW w:w="1400" w:type="dxa"/>
            <w:vAlign w:val="bottom"/>
            <w:tcBorders>
              <w:bottom w:val="single" w:sz="8" w:color="auto"/>
              <w:right w:val="single" w:sz="8" w:color="D9D9D9"/>
            </w:tcBorders>
            <w:shd w:val="clear" w:color="auto" w:fill="D9D9D9"/>
          </w:tcPr>
          <w:p>
            <w:pPr>
              <w:spacing w:after="0"/>
              <w:rPr>
                <w:sz w:val="24"/>
                <w:szCs w:val="24"/>
                <w:color w:val="auto"/>
              </w:rPr>
            </w:pPr>
          </w:p>
        </w:tc>
        <w:tc>
          <w:tcPr>
            <w:tcW w:w="1380" w:type="dxa"/>
            <w:vAlign w:val="bottom"/>
            <w:tcBorders>
              <w:bottom w:val="single" w:sz="8" w:color="auto"/>
              <w:right w:val="single" w:sz="8" w:color="D9D9D9"/>
            </w:tcBorders>
            <w:shd w:val="clear" w:color="auto" w:fill="D9D9D9"/>
          </w:tcPr>
          <w:p>
            <w:pPr>
              <w:spacing w:after="0"/>
              <w:rPr>
                <w:sz w:val="24"/>
                <w:szCs w:val="24"/>
                <w:color w:val="auto"/>
              </w:rPr>
            </w:pPr>
          </w:p>
        </w:tc>
        <w:tc>
          <w:tcPr>
            <w:tcW w:w="1400" w:type="dxa"/>
            <w:vAlign w:val="bottom"/>
            <w:tcBorders>
              <w:bottom w:val="single" w:sz="8" w:color="auto"/>
              <w:right w:val="single" w:sz="8" w:color="D9D9D9"/>
            </w:tcBorders>
            <w:shd w:val="clear" w:color="auto" w:fill="D9D9D9"/>
          </w:tcPr>
          <w:p>
            <w:pPr>
              <w:spacing w:after="0"/>
              <w:rPr>
                <w:sz w:val="24"/>
                <w:szCs w:val="24"/>
                <w:color w:val="auto"/>
              </w:rPr>
            </w:pPr>
          </w:p>
        </w:tc>
        <w:tc>
          <w:tcPr>
            <w:tcW w:w="1400" w:type="dxa"/>
            <w:vAlign w:val="bottom"/>
            <w:tcBorders>
              <w:bottom w:val="single" w:sz="8" w:color="auto"/>
              <w:right w:val="single" w:sz="8" w:color="auto"/>
            </w:tcBorders>
            <w:shd w:val="clear" w:color="auto" w:fill="D9D9D9"/>
          </w:tcPr>
          <w:p>
            <w:pPr>
              <w:spacing w:after="0"/>
              <w:rPr>
                <w:sz w:val="24"/>
                <w:szCs w:val="2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w w:val="99"/>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166370</wp:posOffset>
            </wp:positionV>
            <wp:extent cx="12223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ind w:left="520" w:right="20" w:hanging="415"/>
        <w:spacing w:after="0" w:line="248" w:lineRule="auto"/>
        <w:tabs>
          <w:tab w:leader="none" w:pos="520" w:val="left"/>
        </w:tabs>
        <w:numPr>
          <w:ilvl w:val="0"/>
          <w:numId w:val="25"/>
        </w:numPr>
        <w:rPr>
          <w:rFonts w:ascii="Arial" w:cs="Arial" w:eastAsia="Arial" w:hAnsi="Arial"/>
          <w:sz w:val="16"/>
          <w:szCs w:val="16"/>
          <w:i w:val="1"/>
          <w:iCs w:val="1"/>
          <w:color w:val="003445"/>
        </w:rPr>
      </w:pPr>
      <w:r>
        <w:rPr>
          <w:rFonts w:ascii="Arial" w:cs="Arial" w:eastAsia="Arial" w:hAnsi="Arial"/>
          <w:sz w:val="16"/>
          <w:szCs w:val="16"/>
          <w:i w:val="1"/>
          <w:iCs w:val="1"/>
          <w:color w:val="003445"/>
        </w:rPr>
        <w:t>EAF goals related to construction timeline and capital budget goals. These goals were viewed by the HRCC at the time of setting the goals as rigorous and challenging to achieve (resulting in a payout of 0% for the nine months ending December 31, 2025).</w:t>
      </w:r>
    </w:p>
    <w:p>
      <w:pPr>
        <w:ind w:left="520" w:hanging="415"/>
        <w:spacing w:after="0"/>
        <w:tabs>
          <w:tab w:leader="none" w:pos="520" w:val="left"/>
        </w:tabs>
        <w:numPr>
          <w:ilvl w:val="0"/>
          <w:numId w:val="25"/>
        </w:numPr>
        <w:rPr>
          <w:rFonts w:ascii="Arial" w:cs="Arial" w:eastAsia="Arial" w:hAnsi="Arial"/>
          <w:sz w:val="16"/>
          <w:szCs w:val="16"/>
          <w:i w:val="1"/>
          <w:iCs w:val="1"/>
          <w:color w:val="003445"/>
        </w:rPr>
      </w:pPr>
      <w:r>
        <w:rPr>
          <w:rFonts w:ascii="Arial" w:cs="Arial" w:eastAsia="Arial" w:hAnsi="Arial"/>
          <w:sz w:val="16"/>
          <w:szCs w:val="16"/>
          <w:i w:val="1"/>
          <w:iCs w:val="1"/>
          <w:color w:val="003445"/>
        </w:rPr>
        <w:t>EBITDA and Cash Flow from Operations exclude any insurance proceeds.</w:t>
      </w:r>
    </w:p>
    <w:p>
      <w:pPr>
        <w:ind w:left="520" w:hanging="415"/>
        <w:spacing w:after="0"/>
        <w:tabs>
          <w:tab w:leader="none" w:pos="520" w:val="left"/>
        </w:tabs>
        <w:numPr>
          <w:ilvl w:val="0"/>
          <w:numId w:val="25"/>
        </w:numPr>
        <w:rPr>
          <w:rFonts w:ascii="Arial" w:cs="Arial" w:eastAsia="Arial" w:hAnsi="Arial"/>
          <w:sz w:val="16"/>
          <w:szCs w:val="16"/>
          <w:i w:val="1"/>
          <w:iCs w:val="1"/>
          <w:color w:val="003445"/>
        </w:rPr>
      </w:pPr>
      <w:r>
        <w:rPr>
          <w:rFonts w:ascii="Arial" w:cs="Arial" w:eastAsia="Arial" w:hAnsi="Arial"/>
          <w:sz w:val="16"/>
          <w:szCs w:val="16"/>
          <w:i w:val="1"/>
          <w:iCs w:val="1"/>
          <w:color w:val="003445"/>
        </w:rPr>
        <w:t>The maximum performance boundary for environmental goals was approved by the Board to be set at 150%, rather than at 200%.</w:t>
      </w:r>
    </w:p>
    <w:p>
      <w:pPr>
        <w:spacing w:after="0" w:line="186"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The metrics relating to the remainder of Fiscal 2025 were defined based on the 9-month stub period starting April 1, 2025 and ending December 31, 2025 set out in the table below. Algoma achieved 34.4% of target on the corporate metrics (EBITDA, Shipments, Cash Flow, Ship-On-Time, Safety, Environment and EAF; collectively, the “</w:t>
      </w:r>
      <w:r>
        <w:rPr>
          <w:rFonts w:ascii="Arial" w:cs="Arial" w:eastAsia="Arial" w:hAnsi="Arial"/>
          <w:sz w:val="19"/>
          <w:szCs w:val="19"/>
          <w:b w:val="1"/>
          <w:bCs w:val="1"/>
          <w:color w:val="auto"/>
        </w:rPr>
        <w:t>Corporate Scorecard</w:t>
      </w:r>
      <w:r>
        <w:rPr>
          <w:rFonts w:ascii="Arial" w:cs="Arial" w:eastAsia="Arial" w:hAnsi="Arial"/>
          <w:sz w:val="19"/>
          <w:szCs w:val="19"/>
          <w:color w:val="auto"/>
        </w:rPr>
        <w:t>”), with performance measured against the Board approved targets and thresholds as set out in the table below.</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right w:val="single" w:sz="8" w:color="auto"/>
            </w:tcBorders>
            <w:shd w:val="clear" w:color="auto" w:fill="003445"/>
          </w:tcPr>
          <w:p>
            <w:pPr>
              <w:spacing w:after="0"/>
              <w:rPr>
                <w:sz w:val="20"/>
                <w:szCs w:val="20"/>
                <w:color w:val="auto"/>
              </w:rPr>
            </w:pPr>
          </w:p>
        </w:tc>
        <w:tc>
          <w:tcPr>
            <w:tcW w:w="1400" w:type="dxa"/>
            <w:vAlign w:val="bottom"/>
            <w:tcBorders>
              <w:top w:val="single" w:sz="8" w:color="auto"/>
              <w:right w:val="single" w:sz="8" w:color="auto"/>
            </w:tcBorders>
            <w:shd w:val="clear" w:color="auto" w:fill="003445"/>
          </w:tcPr>
          <w:p>
            <w:pPr>
              <w:ind w:left="460"/>
              <w:spacing w:after="0"/>
              <w:rPr>
                <w:sz w:val="20"/>
                <w:szCs w:val="20"/>
                <w:color w:val="auto"/>
              </w:rPr>
            </w:pPr>
            <w:r>
              <w:rPr>
                <w:rFonts w:ascii="Arial" w:cs="Arial" w:eastAsia="Arial" w:hAnsi="Arial"/>
                <w:sz w:val="17"/>
                <w:szCs w:val="17"/>
                <w:b w:val="1"/>
                <w:bCs w:val="1"/>
                <w:color w:val="FFFFFF"/>
              </w:rPr>
              <w:t>Weight</w:t>
            </w:r>
          </w:p>
        </w:tc>
        <w:tc>
          <w:tcPr>
            <w:tcW w:w="1400" w:type="dxa"/>
            <w:vAlign w:val="bottom"/>
            <w:tcBorders>
              <w:top w:val="single" w:sz="8" w:color="auto"/>
              <w:right w:val="single" w:sz="8" w:color="auto"/>
            </w:tcBorders>
            <w:shd w:val="clear" w:color="auto" w:fill="003445"/>
          </w:tcPr>
          <w:p>
            <w:pPr>
              <w:jc w:val="right"/>
              <w:ind w:right="146"/>
              <w:spacing w:after="0"/>
              <w:rPr>
                <w:sz w:val="20"/>
                <w:szCs w:val="20"/>
                <w:color w:val="auto"/>
              </w:rPr>
            </w:pPr>
            <w:r>
              <w:rPr>
                <w:rFonts w:ascii="Arial" w:cs="Arial" w:eastAsia="Arial" w:hAnsi="Arial"/>
                <w:sz w:val="17"/>
                <w:szCs w:val="17"/>
                <w:b w:val="1"/>
                <w:bCs w:val="1"/>
                <w:color w:val="FFFFFF"/>
              </w:rPr>
              <w:t>Threshold</w:t>
            </w:r>
          </w:p>
        </w:tc>
        <w:tc>
          <w:tcPr>
            <w:tcW w:w="1380" w:type="dxa"/>
            <w:vAlign w:val="bottom"/>
            <w:tcBorders>
              <w:top w:val="single" w:sz="8" w:color="auto"/>
              <w:right w:val="single" w:sz="8" w:color="auto"/>
            </w:tcBorders>
            <w:shd w:val="clear" w:color="auto" w:fill="003445"/>
          </w:tcPr>
          <w:p>
            <w:pPr>
              <w:jc w:val="right"/>
              <w:ind w:right="286"/>
              <w:spacing w:after="0"/>
              <w:rPr>
                <w:sz w:val="20"/>
                <w:szCs w:val="20"/>
                <w:color w:val="auto"/>
              </w:rPr>
            </w:pPr>
            <w:r>
              <w:rPr>
                <w:rFonts w:ascii="Arial" w:cs="Arial" w:eastAsia="Arial" w:hAnsi="Arial"/>
                <w:sz w:val="17"/>
                <w:szCs w:val="17"/>
                <w:b w:val="1"/>
                <w:bCs w:val="1"/>
                <w:color w:val="FFFFFF"/>
              </w:rPr>
              <w:t>Target</w:t>
            </w:r>
          </w:p>
        </w:tc>
        <w:tc>
          <w:tcPr>
            <w:tcW w:w="1400" w:type="dxa"/>
            <w:vAlign w:val="bottom"/>
            <w:tcBorders>
              <w:top w:val="single" w:sz="8" w:color="auto"/>
              <w:right w:val="single" w:sz="8" w:color="auto"/>
            </w:tcBorders>
            <w:shd w:val="clear" w:color="auto" w:fill="003445"/>
          </w:tcPr>
          <w:p>
            <w:pPr>
              <w:jc w:val="right"/>
              <w:ind w:right="151"/>
              <w:spacing w:after="0"/>
              <w:rPr>
                <w:sz w:val="20"/>
                <w:szCs w:val="20"/>
                <w:color w:val="auto"/>
              </w:rPr>
            </w:pPr>
            <w:r>
              <w:rPr>
                <w:rFonts w:ascii="Arial" w:cs="Arial" w:eastAsia="Arial" w:hAnsi="Arial"/>
                <w:sz w:val="17"/>
                <w:szCs w:val="17"/>
                <w:b w:val="1"/>
                <w:bCs w:val="1"/>
                <w:color w:val="FFFFFF"/>
              </w:rPr>
              <w:t>Maximum</w:t>
            </w:r>
          </w:p>
        </w:tc>
        <w:tc>
          <w:tcPr>
            <w:tcW w:w="1400" w:type="dxa"/>
            <w:vAlign w:val="bottom"/>
            <w:tcBorders>
              <w:top w:val="single" w:sz="8" w:color="auto"/>
              <w:right w:val="single" w:sz="8" w:color="auto"/>
            </w:tcBorders>
            <w:shd w:val="clear" w:color="auto" w:fill="003445"/>
          </w:tcPr>
          <w:p>
            <w:pPr>
              <w:jc w:val="right"/>
              <w:ind w:right="285"/>
              <w:spacing w:after="0"/>
              <w:rPr>
                <w:sz w:val="20"/>
                <w:szCs w:val="20"/>
                <w:color w:val="auto"/>
              </w:rPr>
            </w:pPr>
            <w:r>
              <w:rPr>
                <w:rFonts w:ascii="Arial" w:cs="Arial" w:eastAsia="Arial" w:hAnsi="Arial"/>
                <w:sz w:val="17"/>
                <w:szCs w:val="17"/>
                <w:b w:val="1"/>
                <w:bCs w:val="1"/>
                <w:color w:val="FFFFFF"/>
              </w:rPr>
              <w:t>Actual</w:t>
            </w:r>
          </w:p>
        </w:tc>
        <w:tc>
          <w:tcPr>
            <w:tcW w:w="1400" w:type="dxa"/>
            <w:vAlign w:val="bottom"/>
            <w:tcBorders>
              <w:top w:val="single" w:sz="8" w:color="auto"/>
              <w:right w:val="single" w:sz="8" w:color="auto"/>
            </w:tcBorders>
            <w:shd w:val="clear" w:color="auto" w:fill="003445"/>
          </w:tcPr>
          <w:p>
            <w:pPr>
              <w:ind w:left="440"/>
              <w:spacing w:after="0"/>
              <w:rPr>
                <w:sz w:val="20"/>
                <w:szCs w:val="20"/>
                <w:color w:val="auto"/>
              </w:rPr>
            </w:pPr>
            <w:r>
              <w:rPr>
                <w:rFonts w:ascii="Arial" w:cs="Arial" w:eastAsia="Arial" w:hAnsi="Arial"/>
                <w:sz w:val="17"/>
                <w:szCs w:val="17"/>
                <w:b w:val="1"/>
                <w:bCs w:val="1"/>
                <w:color w:val="FFFFFF"/>
              </w:rPr>
              <w:t>Payout</w:t>
            </w:r>
          </w:p>
        </w:tc>
        <w:tc>
          <w:tcPr>
            <w:tcW w:w="0" w:type="dxa"/>
            <w:vAlign w:val="bottom"/>
          </w:tcPr>
          <w:p>
            <w:pPr>
              <w:spacing w:after="0"/>
              <w:rPr>
                <w:sz w:val="1"/>
                <w:szCs w:val="1"/>
                <w:color w:val="auto"/>
              </w:rPr>
            </w:pPr>
          </w:p>
        </w:tc>
      </w:tr>
      <w:tr>
        <w:trPr>
          <w:trHeight w:val="286"/>
        </w:trPr>
        <w:tc>
          <w:tcPr>
            <w:tcW w:w="2320" w:type="dxa"/>
            <w:vAlign w:val="bottom"/>
            <w:tcBorders>
              <w:left w:val="single" w:sz="8" w:color="auto"/>
              <w:bottom w:val="single" w:sz="8" w:color="003445"/>
              <w:right w:val="single" w:sz="8" w:color="auto"/>
            </w:tcBorders>
            <w:shd w:val="clear" w:color="auto" w:fill="003445"/>
          </w:tcPr>
          <w:p>
            <w:pPr>
              <w:spacing w:after="0"/>
              <w:rPr>
                <w:sz w:val="24"/>
                <w:szCs w:val="24"/>
                <w:color w:val="auto"/>
              </w:rPr>
            </w:pPr>
          </w:p>
        </w:tc>
        <w:tc>
          <w:tcPr>
            <w:tcW w:w="1400" w:type="dxa"/>
            <w:vAlign w:val="bottom"/>
            <w:tcBorders>
              <w:bottom w:val="single" w:sz="8" w:color="003445"/>
              <w:right w:val="single" w:sz="8" w:color="auto"/>
            </w:tcBorders>
            <w:shd w:val="clear" w:color="auto" w:fill="003445"/>
          </w:tcPr>
          <w:p>
            <w:pPr>
              <w:spacing w:after="0"/>
              <w:rPr>
                <w:sz w:val="24"/>
                <w:szCs w:val="24"/>
                <w:color w:val="auto"/>
              </w:rPr>
            </w:pPr>
          </w:p>
        </w:tc>
        <w:tc>
          <w:tcPr>
            <w:tcW w:w="1400" w:type="dxa"/>
            <w:vAlign w:val="bottom"/>
            <w:tcBorders>
              <w:bottom w:val="single" w:sz="8" w:color="003445"/>
              <w:right w:val="single" w:sz="8" w:color="auto"/>
            </w:tcBorders>
            <w:shd w:val="clear" w:color="auto" w:fill="003445"/>
          </w:tcPr>
          <w:p>
            <w:pPr>
              <w:jc w:val="right"/>
              <w:ind w:right="326"/>
              <w:spacing w:after="0"/>
              <w:rPr>
                <w:sz w:val="20"/>
                <w:szCs w:val="20"/>
                <w:color w:val="auto"/>
              </w:rPr>
            </w:pPr>
            <w:r>
              <w:rPr>
                <w:rFonts w:ascii="Arial" w:cs="Arial" w:eastAsia="Arial" w:hAnsi="Arial"/>
                <w:sz w:val="17"/>
                <w:szCs w:val="17"/>
                <w:b w:val="1"/>
                <w:bCs w:val="1"/>
                <w:color w:val="FFFFFF"/>
              </w:rPr>
              <w:t>(50%)</w:t>
            </w:r>
          </w:p>
        </w:tc>
        <w:tc>
          <w:tcPr>
            <w:tcW w:w="1380" w:type="dxa"/>
            <w:vAlign w:val="bottom"/>
            <w:tcBorders>
              <w:bottom w:val="single" w:sz="8" w:color="003445"/>
              <w:right w:val="single" w:sz="8" w:color="auto"/>
            </w:tcBorders>
            <w:shd w:val="clear" w:color="auto" w:fill="003445"/>
          </w:tcPr>
          <w:p>
            <w:pPr>
              <w:jc w:val="right"/>
              <w:ind w:right="266"/>
              <w:spacing w:after="0"/>
              <w:rPr>
                <w:sz w:val="20"/>
                <w:szCs w:val="20"/>
                <w:color w:val="auto"/>
              </w:rPr>
            </w:pPr>
            <w:r>
              <w:rPr>
                <w:rFonts w:ascii="Arial" w:cs="Arial" w:eastAsia="Arial" w:hAnsi="Arial"/>
                <w:sz w:val="17"/>
                <w:szCs w:val="17"/>
                <w:b w:val="1"/>
                <w:bCs w:val="1"/>
                <w:color w:val="FFFFFF"/>
              </w:rPr>
              <w:t>(100%)</w:t>
            </w:r>
          </w:p>
        </w:tc>
        <w:tc>
          <w:tcPr>
            <w:tcW w:w="1400" w:type="dxa"/>
            <w:vAlign w:val="bottom"/>
            <w:tcBorders>
              <w:bottom w:val="single" w:sz="8" w:color="003445"/>
              <w:right w:val="single" w:sz="8" w:color="auto"/>
            </w:tcBorders>
            <w:shd w:val="clear" w:color="auto" w:fill="003445"/>
          </w:tcPr>
          <w:p>
            <w:pPr>
              <w:jc w:val="right"/>
              <w:ind w:right="271"/>
              <w:spacing w:after="0"/>
              <w:rPr>
                <w:sz w:val="20"/>
                <w:szCs w:val="20"/>
                <w:color w:val="auto"/>
              </w:rPr>
            </w:pPr>
            <w:r>
              <w:rPr>
                <w:rFonts w:ascii="Arial" w:cs="Arial" w:eastAsia="Arial" w:hAnsi="Arial"/>
                <w:sz w:val="17"/>
                <w:szCs w:val="17"/>
                <w:b w:val="1"/>
                <w:bCs w:val="1"/>
                <w:color w:val="FFFFFF"/>
              </w:rPr>
              <w:t>(200%)</w:t>
            </w:r>
          </w:p>
        </w:tc>
        <w:tc>
          <w:tcPr>
            <w:tcW w:w="1400" w:type="dxa"/>
            <w:vAlign w:val="bottom"/>
            <w:tcBorders>
              <w:bottom w:val="single" w:sz="8" w:color="003445"/>
              <w:right w:val="single" w:sz="8" w:color="auto"/>
            </w:tcBorders>
            <w:shd w:val="clear" w:color="auto" w:fill="003445"/>
          </w:tcPr>
          <w:p>
            <w:pPr>
              <w:spacing w:after="0"/>
              <w:rPr>
                <w:sz w:val="24"/>
                <w:szCs w:val="24"/>
                <w:color w:val="auto"/>
              </w:rPr>
            </w:pPr>
          </w:p>
        </w:tc>
        <w:tc>
          <w:tcPr>
            <w:tcW w:w="1400" w:type="dxa"/>
            <w:vAlign w:val="bottom"/>
            <w:tcBorders>
              <w:bottom w:val="single" w:sz="8" w:color="003445"/>
              <w:right w:val="single" w:sz="8" w:color="auto"/>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3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EBITDA</w:t>
            </w:r>
          </w:p>
        </w:tc>
        <w:tc>
          <w:tcPr>
            <w:tcW w:w="1400" w:type="dxa"/>
            <w:vAlign w:val="bottom"/>
            <w:tcBorders>
              <w:top w:val="single" w:sz="8" w:color="auto"/>
              <w:bottom w:val="single" w:sz="8" w:color="auto"/>
              <w:right w:val="single" w:sz="8" w:color="auto"/>
            </w:tcBorders>
          </w:tcPr>
          <w:p>
            <w:pPr>
              <w:jc w:val="center"/>
              <w:ind w:left="5"/>
              <w:spacing w:after="0"/>
              <w:rPr>
                <w:sz w:val="20"/>
                <w:szCs w:val="20"/>
                <w:color w:val="auto"/>
              </w:rPr>
            </w:pPr>
            <w:r>
              <w:rPr>
                <w:rFonts w:ascii="Arial" w:cs="Arial" w:eastAsia="Arial" w:hAnsi="Arial"/>
                <w:sz w:val="19"/>
                <w:szCs w:val="19"/>
                <w:color w:val="auto"/>
                <w:w w:val="99"/>
              </w:rPr>
              <w:t>15%</w:t>
            </w:r>
          </w:p>
        </w:tc>
        <w:tc>
          <w:tcPr>
            <w:tcW w:w="14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$70M </w:t>
            </w:r>
          </w:p>
        </w:tc>
        <w:tc>
          <w:tcPr>
            <w:tcW w:w="138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$120M </w:t>
            </w:r>
          </w:p>
        </w:tc>
        <w:tc>
          <w:tcPr>
            <w:tcW w:w="1400" w:type="dxa"/>
            <w:vAlign w:val="bottom"/>
            <w:tcBorders>
              <w:top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$170M </w:t>
            </w:r>
          </w:p>
        </w:tc>
        <w:tc>
          <w:tcPr>
            <w:tcW w:w="1400" w:type="dxa"/>
            <w:vAlign w:val="bottom"/>
            <w:tcBorders>
              <w:top w:val="single" w:sz="8" w:color="auto"/>
              <w:bottom w:val="single" w:sz="8" w:color="auto"/>
              <w:right w:val="single" w:sz="8" w:color="auto"/>
            </w:tcBorders>
          </w:tcPr>
          <w:p>
            <w:pPr>
              <w:jc w:val="right"/>
              <w:spacing w:after="0" w:line="242" w:lineRule="exact"/>
              <w:rPr>
                <w:sz w:val="20"/>
                <w:szCs w:val="20"/>
                <w:color w:val="auto"/>
              </w:rPr>
            </w:pPr>
            <w:r>
              <w:rPr>
                <w:rFonts w:ascii="Arial" w:cs="Arial" w:eastAsia="Arial" w:hAnsi="Arial"/>
                <w:sz w:val="19"/>
                <w:szCs w:val="19"/>
                <w:color w:val="auto"/>
              </w:rPr>
              <w:t>$(215)M</w:t>
            </w:r>
            <w:r>
              <w:rPr>
                <w:rFonts w:ascii="Arial" w:cs="Arial" w:eastAsia="Arial" w:hAnsi="Arial"/>
                <w:sz w:val="28"/>
                <w:szCs w:val="28"/>
                <w:color w:val="auto"/>
                <w:vertAlign w:val="superscript"/>
              </w:rPr>
              <w:t>(2)</w:t>
            </w:r>
            <w:r>
              <w:rPr>
                <w:rFonts w:ascii="Arial" w:cs="Arial" w:eastAsia="Arial" w:hAnsi="Arial"/>
                <w:sz w:val="19"/>
                <w:szCs w:val="19"/>
                <w:color w:val="auto"/>
              </w:rPr>
              <w:t xml:space="preserve"> </w:t>
            </w:r>
          </w:p>
        </w:tc>
        <w:tc>
          <w:tcPr>
            <w:tcW w:w="1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42"/>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Operating Cash Flow</w:t>
            </w:r>
          </w:p>
        </w:tc>
        <w:tc>
          <w:tcPr>
            <w:tcW w:w="14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9"/>
                <w:szCs w:val="19"/>
                <w:color w:val="auto"/>
                <w:w w:val="99"/>
              </w:rPr>
              <w:t>15%</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$(27)M </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$23M 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$73M </w:t>
            </w:r>
          </w:p>
        </w:tc>
        <w:tc>
          <w:tcPr>
            <w:tcW w:w="1400" w:type="dxa"/>
            <w:vAlign w:val="bottom"/>
            <w:tcBorders>
              <w:bottom w:val="single" w:sz="8" w:color="auto"/>
              <w:right w:val="single" w:sz="8" w:color="auto"/>
            </w:tcBorders>
          </w:tcPr>
          <w:p>
            <w:pPr>
              <w:jc w:val="right"/>
              <w:spacing w:after="0" w:line="242" w:lineRule="exact"/>
              <w:rPr>
                <w:sz w:val="20"/>
                <w:szCs w:val="20"/>
                <w:color w:val="auto"/>
              </w:rPr>
            </w:pPr>
            <w:r>
              <w:rPr>
                <w:rFonts w:ascii="Arial" w:cs="Arial" w:eastAsia="Arial" w:hAnsi="Arial"/>
                <w:sz w:val="19"/>
                <w:szCs w:val="19"/>
                <w:color w:val="auto"/>
              </w:rPr>
              <w:t>$(123)M</w:t>
            </w:r>
            <w:r>
              <w:rPr>
                <w:rFonts w:ascii="Arial" w:cs="Arial" w:eastAsia="Arial" w:hAnsi="Arial"/>
                <w:sz w:val="28"/>
                <w:szCs w:val="28"/>
                <w:color w:val="auto"/>
                <w:vertAlign w:val="superscript"/>
              </w:rPr>
              <w:t>(2)</w:t>
            </w:r>
            <w:r>
              <w:rPr>
                <w:rFonts w:ascii="Arial" w:cs="Arial" w:eastAsia="Arial" w:hAnsi="Arial"/>
                <w:sz w:val="19"/>
                <w:szCs w:val="19"/>
                <w:color w:val="auto"/>
              </w:rPr>
              <w:t xml:space="preserve"> </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59"/>
        </w:trPr>
        <w:tc>
          <w:tcPr>
            <w:tcW w:w="23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Ship-On-Time</w:t>
            </w:r>
          </w:p>
        </w:tc>
        <w:tc>
          <w:tcPr>
            <w:tcW w:w="1400" w:type="dxa"/>
            <w:vAlign w:val="bottom"/>
            <w:tcBorders>
              <w:right w:val="single" w:sz="8" w:color="auto"/>
            </w:tcBorders>
          </w:tcPr>
          <w:p>
            <w:pPr>
              <w:jc w:val="center"/>
              <w:ind w:left="5"/>
              <w:spacing w:after="0"/>
              <w:rPr>
                <w:sz w:val="20"/>
                <w:szCs w:val="20"/>
                <w:color w:val="auto"/>
              </w:rPr>
            </w:pPr>
            <w:r>
              <w:rPr>
                <w:rFonts w:ascii="Arial" w:cs="Arial" w:eastAsia="Arial" w:hAnsi="Arial"/>
                <w:sz w:val="19"/>
                <w:szCs w:val="19"/>
                <w:color w:val="auto"/>
                <w:w w:val="99"/>
              </w:rPr>
              <w:t>10%</w:t>
            </w:r>
          </w:p>
        </w:tc>
        <w:tc>
          <w:tcPr>
            <w:tcW w:w="4180" w:type="dxa"/>
            <w:vAlign w:val="bottom"/>
            <w:gridSpan w:val="3"/>
          </w:tcPr>
          <w:p>
            <w:pPr>
              <w:jc w:val="right"/>
              <w:ind w:right="51"/>
              <w:spacing w:after="0"/>
              <w:rPr>
                <w:sz w:val="20"/>
                <w:szCs w:val="20"/>
                <w:color w:val="auto"/>
              </w:rPr>
            </w:pPr>
            <w:r>
              <w:rPr>
                <w:rFonts w:ascii="Arial" w:cs="Arial" w:eastAsia="Arial" w:hAnsi="Arial"/>
                <w:sz w:val="19"/>
                <w:szCs w:val="19"/>
                <w:i w:val="1"/>
                <w:iCs w:val="1"/>
                <w:color w:val="auto"/>
              </w:rPr>
              <w:t>Targets are competitively sensitive information</w:t>
            </w: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62"/>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3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Total Plate Shipments</w:t>
            </w:r>
          </w:p>
        </w:tc>
        <w:tc>
          <w:tcPr>
            <w:tcW w:w="1400" w:type="dxa"/>
            <w:vAlign w:val="bottom"/>
            <w:tcBorders>
              <w:right w:val="single" w:sz="8" w:color="auto"/>
            </w:tcBorders>
            <w:vMerge w:val="restart"/>
          </w:tcPr>
          <w:p>
            <w:pPr>
              <w:jc w:val="center"/>
              <w:ind w:left="5"/>
              <w:spacing w:after="0"/>
              <w:rPr>
                <w:sz w:val="20"/>
                <w:szCs w:val="20"/>
                <w:color w:val="auto"/>
              </w:rPr>
            </w:pPr>
            <w:r>
              <w:rPr>
                <w:rFonts w:ascii="Arial" w:cs="Arial" w:eastAsia="Arial" w:hAnsi="Arial"/>
                <w:sz w:val="19"/>
                <w:szCs w:val="19"/>
                <w:color w:val="auto"/>
                <w:w w:val="99"/>
              </w:rPr>
              <w:t>10%</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290 </w:t>
            </w: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333 </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370 </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301 </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6.3%</w:t>
            </w:r>
          </w:p>
        </w:tc>
        <w:tc>
          <w:tcPr>
            <w:tcW w:w="0" w:type="dxa"/>
            <w:vAlign w:val="bottom"/>
          </w:tcPr>
          <w:p>
            <w:pPr>
              <w:spacing w:after="0"/>
              <w:rPr>
                <w:sz w:val="1"/>
                <w:szCs w:val="1"/>
                <w:color w:val="auto"/>
              </w:rPr>
            </w:pPr>
          </w:p>
        </w:tc>
      </w:tr>
      <w:tr>
        <w:trPr>
          <w:trHeight w:val="151"/>
        </w:trPr>
        <w:tc>
          <w:tcPr>
            <w:tcW w:w="23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(KNT)</w:t>
            </w:r>
          </w:p>
        </w:tc>
        <w:tc>
          <w:tcPr>
            <w:tcW w:w="14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3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Safety (Lost Time</w:t>
            </w:r>
          </w:p>
        </w:tc>
        <w:tc>
          <w:tcPr>
            <w:tcW w:w="1400" w:type="dxa"/>
            <w:vAlign w:val="bottom"/>
            <w:tcBorders>
              <w:right w:val="single" w:sz="8" w:color="auto"/>
            </w:tcBorders>
            <w:vMerge w:val="restart"/>
          </w:tcPr>
          <w:p>
            <w:pPr>
              <w:jc w:val="center"/>
              <w:ind w:left="5"/>
              <w:spacing w:after="0"/>
              <w:rPr>
                <w:sz w:val="20"/>
                <w:szCs w:val="20"/>
                <w:color w:val="auto"/>
              </w:rPr>
            </w:pPr>
            <w:r>
              <w:rPr>
                <w:rFonts w:ascii="Arial" w:cs="Arial" w:eastAsia="Arial" w:hAnsi="Arial"/>
                <w:sz w:val="19"/>
                <w:szCs w:val="19"/>
                <w:color w:val="auto"/>
                <w:w w:val="99"/>
              </w:rPr>
              <w:t>10%</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0.20 </w:t>
            </w:r>
          </w:p>
        </w:tc>
        <w:tc>
          <w:tcPr>
            <w:tcW w:w="1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0.15 </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0.07 </w:t>
            </w:r>
          </w:p>
        </w:tc>
        <w:tc>
          <w:tcPr>
            <w:tcW w:w="1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9"/>
                <w:szCs w:val="19"/>
                <w:color w:val="auto"/>
              </w:rPr>
              <w:t>0.11 </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9"/>
              </w:rPr>
              <w:t>15%</w:t>
            </w:r>
          </w:p>
        </w:tc>
        <w:tc>
          <w:tcPr>
            <w:tcW w:w="0" w:type="dxa"/>
            <w:vAlign w:val="bottom"/>
          </w:tcPr>
          <w:p>
            <w:pPr>
              <w:spacing w:after="0"/>
              <w:rPr>
                <w:sz w:val="1"/>
                <w:szCs w:val="1"/>
                <w:color w:val="auto"/>
              </w:rPr>
            </w:pPr>
          </w:p>
        </w:tc>
      </w:tr>
      <w:tr>
        <w:trPr>
          <w:trHeight w:val="151"/>
        </w:trPr>
        <w:tc>
          <w:tcPr>
            <w:tcW w:w="23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Injury Ratio)</w:t>
            </w:r>
          </w:p>
        </w:tc>
        <w:tc>
          <w:tcPr>
            <w:tcW w:w="14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38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3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Environment (Spills)</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5%</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1 </w:t>
            </w:r>
          </w:p>
        </w:tc>
        <w:tc>
          <w:tcPr>
            <w:tcW w:w="13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N/A </w:t>
            </w:r>
          </w:p>
        </w:tc>
        <w:tc>
          <w:tcPr>
            <w:tcW w:w="1400" w:type="dxa"/>
            <w:vAlign w:val="bottom"/>
            <w:tcBorders>
              <w:bottom w:val="single" w:sz="8" w:color="auto"/>
              <w:right w:val="single" w:sz="8" w:color="auto"/>
            </w:tcBorders>
          </w:tcPr>
          <w:p>
            <w:pPr>
              <w:jc w:val="right"/>
              <w:spacing w:after="0" w:line="242" w:lineRule="exact"/>
              <w:rPr>
                <w:sz w:val="20"/>
                <w:szCs w:val="20"/>
                <w:color w:val="auto"/>
              </w:rPr>
            </w:pPr>
            <w:r>
              <w:rPr>
                <w:rFonts w:ascii="Arial" w:cs="Arial" w:eastAsia="Arial" w:hAnsi="Arial"/>
                <w:sz w:val="28"/>
                <w:szCs w:val="28"/>
                <w:color w:val="auto"/>
                <w:vertAlign w:val="subscript"/>
              </w:rPr>
              <w:t>0</w:t>
            </w:r>
            <w:r>
              <w:rPr>
                <w:rFonts w:ascii="Arial" w:cs="Arial" w:eastAsia="Arial" w:hAnsi="Arial"/>
                <w:sz w:val="12"/>
                <w:szCs w:val="12"/>
                <w:color w:val="auto"/>
              </w:rPr>
              <w:t>(3)</w:t>
            </w:r>
            <w:r>
              <w:rPr>
                <w:rFonts w:ascii="Arial" w:cs="Arial" w:eastAsia="Arial" w:hAnsi="Arial"/>
                <w:sz w:val="28"/>
                <w:szCs w:val="28"/>
                <w:color w:val="auto"/>
                <w:vertAlign w:val="subscript"/>
              </w:rPr>
              <w:t xml:space="preserve"> </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0 </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7.5%</w:t>
            </w:r>
          </w:p>
        </w:tc>
        <w:tc>
          <w:tcPr>
            <w:tcW w:w="0" w:type="dxa"/>
            <w:vAlign w:val="bottom"/>
          </w:tcPr>
          <w:p>
            <w:pPr>
              <w:spacing w:after="0"/>
              <w:rPr>
                <w:sz w:val="1"/>
                <w:szCs w:val="1"/>
                <w:color w:val="auto"/>
              </w:rPr>
            </w:pPr>
          </w:p>
        </w:tc>
      </w:tr>
      <w:tr>
        <w:trPr>
          <w:trHeight w:val="321"/>
        </w:trPr>
        <w:tc>
          <w:tcPr>
            <w:tcW w:w="2320" w:type="dxa"/>
            <w:vAlign w:val="bottom"/>
            <w:tcBorders>
              <w:left w:val="single" w:sz="8" w:color="auto"/>
              <w:bottom w:val="single" w:sz="8" w:color="auto"/>
              <w:right w:val="single" w:sz="8" w:color="auto"/>
            </w:tcBorders>
          </w:tcPr>
          <w:p>
            <w:pPr>
              <w:ind w:left="160"/>
              <w:spacing w:after="0" w:line="320" w:lineRule="exact"/>
              <w:rPr>
                <w:sz w:val="20"/>
                <w:szCs w:val="20"/>
                <w:color w:val="auto"/>
              </w:rPr>
            </w:pPr>
            <w:r>
              <w:rPr>
                <w:rFonts w:ascii="Arial" w:cs="Arial" w:eastAsia="Arial" w:hAnsi="Arial"/>
                <w:sz w:val="19"/>
                <w:szCs w:val="19"/>
                <w:b w:val="1"/>
                <w:bCs w:val="1"/>
                <w:color w:val="auto"/>
              </w:rPr>
              <w:t>EAF Goals</w:t>
            </w:r>
            <w:r>
              <w:rPr>
                <w:rFonts w:ascii="Arial" w:cs="Arial" w:eastAsia="Arial" w:hAnsi="Arial"/>
                <w:sz w:val="28"/>
                <w:szCs w:val="28"/>
                <w:b w:val="1"/>
                <w:bCs w:val="1"/>
                <w:color w:val="auto"/>
                <w:vertAlign w:val="superscript"/>
              </w:rPr>
              <w:t>(1)</w:t>
            </w:r>
          </w:p>
        </w:tc>
        <w:tc>
          <w:tcPr>
            <w:tcW w:w="14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9"/>
                <w:szCs w:val="19"/>
                <w:color w:val="auto"/>
                <w:w w:val="99"/>
              </w:rPr>
              <w:t>35%</w:t>
            </w:r>
          </w:p>
        </w:tc>
        <w:tc>
          <w:tcPr>
            <w:tcW w:w="418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9"/>
                <w:szCs w:val="19"/>
                <w:i w:val="1"/>
                <w:iCs w:val="1"/>
                <w:color w:val="auto"/>
              </w:rPr>
              <w:t>Targets are competitively sensitive information</w:t>
            </w:r>
          </w:p>
        </w:tc>
        <w:tc>
          <w:tcPr>
            <w:tcW w:w="140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59"/>
        </w:trPr>
        <w:tc>
          <w:tcPr>
            <w:tcW w:w="23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Total</w:t>
            </w:r>
          </w:p>
        </w:tc>
        <w:tc>
          <w:tcPr>
            <w:tcW w:w="1400" w:type="dxa"/>
            <w:vAlign w:val="bottom"/>
            <w:tcBorders>
              <w:right w:val="single" w:sz="8" w:color="auto"/>
            </w:tcBorders>
          </w:tcPr>
          <w:p>
            <w:pPr>
              <w:jc w:val="center"/>
              <w:ind w:left="5"/>
              <w:spacing w:after="0"/>
              <w:rPr>
                <w:sz w:val="20"/>
                <w:szCs w:val="20"/>
                <w:color w:val="auto"/>
              </w:rPr>
            </w:pPr>
            <w:r>
              <w:rPr>
                <w:rFonts w:ascii="Arial" w:cs="Arial" w:eastAsia="Arial" w:hAnsi="Arial"/>
                <w:sz w:val="19"/>
                <w:szCs w:val="19"/>
                <w:color w:val="auto"/>
              </w:rPr>
              <w:t>100%</w:t>
            </w:r>
          </w:p>
        </w:tc>
        <w:tc>
          <w:tcPr>
            <w:tcW w:w="1400" w:type="dxa"/>
            <w:vAlign w:val="bottom"/>
            <w:tcBorders>
              <w:right w:val="single" w:sz="8" w:color="D9D9D9"/>
            </w:tcBorders>
            <w:shd w:val="clear" w:color="auto" w:fill="D9D9D9"/>
          </w:tcPr>
          <w:p>
            <w:pPr>
              <w:spacing w:after="0"/>
              <w:rPr>
                <w:sz w:val="22"/>
                <w:szCs w:val="22"/>
                <w:color w:val="auto"/>
              </w:rPr>
            </w:pPr>
          </w:p>
        </w:tc>
        <w:tc>
          <w:tcPr>
            <w:tcW w:w="1380" w:type="dxa"/>
            <w:vAlign w:val="bottom"/>
            <w:tcBorders>
              <w:right w:val="single" w:sz="8" w:color="D9D9D9"/>
            </w:tcBorders>
            <w:shd w:val="clear" w:color="auto" w:fill="D9D9D9"/>
          </w:tcPr>
          <w:p>
            <w:pPr>
              <w:spacing w:after="0"/>
              <w:rPr>
                <w:sz w:val="22"/>
                <w:szCs w:val="22"/>
                <w:color w:val="auto"/>
              </w:rPr>
            </w:pPr>
          </w:p>
        </w:tc>
        <w:tc>
          <w:tcPr>
            <w:tcW w:w="1400" w:type="dxa"/>
            <w:vAlign w:val="bottom"/>
            <w:tcBorders>
              <w:right w:val="single" w:sz="8" w:color="D9D9D9"/>
            </w:tcBorders>
            <w:shd w:val="clear" w:color="auto" w:fill="D9D9D9"/>
          </w:tcPr>
          <w:p>
            <w:pPr>
              <w:spacing w:after="0"/>
              <w:rPr>
                <w:sz w:val="22"/>
                <w:szCs w:val="22"/>
                <w:color w:val="auto"/>
              </w:rPr>
            </w:pPr>
          </w:p>
        </w:tc>
        <w:tc>
          <w:tcPr>
            <w:tcW w:w="1400" w:type="dxa"/>
            <w:vAlign w:val="bottom"/>
            <w:tcBorders>
              <w:right w:val="single" w:sz="8" w:color="auto"/>
            </w:tcBorders>
            <w:shd w:val="clear" w:color="auto" w:fill="D9D9D9"/>
          </w:tcPr>
          <w:p>
            <w:pPr>
              <w:spacing w:after="0"/>
              <w:rPr>
                <w:sz w:val="22"/>
                <w:szCs w:val="22"/>
                <w:color w:val="auto"/>
              </w:rPr>
            </w:pP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34.4%</w:t>
            </w:r>
          </w:p>
        </w:tc>
        <w:tc>
          <w:tcPr>
            <w:tcW w:w="0" w:type="dxa"/>
            <w:vAlign w:val="bottom"/>
          </w:tcPr>
          <w:p>
            <w:pPr>
              <w:spacing w:after="0"/>
              <w:rPr>
                <w:sz w:val="1"/>
                <w:szCs w:val="1"/>
                <w:color w:val="auto"/>
              </w:rPr>
            </w:pPr>
          </w:p>
        </w:tc>
      </w:tr>
      <w:tr>
        <w:trPr>
          <w:trHeight w:val="62"/>
        </w:trPr>
        <w:tc>
          <w:tcPr>
            <w:tcW w:w="2320" w:type="dxa"/>
            <w:vAlign w:val="bottom"/>
            <w:tcBorders>
              <w:left w:val="single" w:sz="8" w:color="auto"/>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1400" w:type="dxa"/>
            <w:vAlign w:val="bottom"/>
            <w:tcBorders>
              <w:bottom w:val="single" w:sz="8" w:color="auto"/>
              <w:right w:val="single" w:sz="8" w:color="D9D9D9"/>
            </w:tcBorders>
            <w:shd w:val="clear" w:color="auto" w:fill="D9D9D9"/>
          </w:tcPr>
          <w:p>
            <w:pPr>
              <w:spacing w:after="0"/>
              <w:rPr>
                <w:sz w:val="5"/>
                <w:szCs w:val="5"/>
                <w:color w:val="auto"/>
              </w:rPr>
            </w:pPr>
          </w:p>
        </w:tc>
        <w:tc>
          <w:tcPr>
            <w:tcW w:w="1380" w:type="dxa"/>
            <w:vAlign w:val="bottom"/>
            <w:tcBorders>
              <w:bottom w:val="single" w:sz="8" w:color="auto"/>
              <w:right w:val="single" w:sz="8" w:color="D9D9D9"/>
            </w:tcBorders>
            <w:shd w:val="clear" w:color="auto" w:fill="D9D9D9"/>
          </w:tcPr>
          <w:p>
            <w:pPr>
              <w:spacing w:after="0"/>
              <w:rPr>
                <w:sz w:val="5"/>
                <w:szCs w:val="5"/>
                <w:color w:val="auto"/>
              </w:rPr>
            </w:pPr>
          </w:p>
        </w:tc>
        <w:tc>
          <w:tcPr>
            <w:tcW w:w="1400" w:type="dxa"/>
            <w:vAlign w:val="bottom"/>
            <w:tcBorders>
              <w:bottom w:val="single" w:sz="8" w:color="auto"/>
              <w:right w:val="single" w:sz="8" w:color="D9D9D9"/>
            </w:tcBorders>
            <w:shd w:val="clear" w:color="auto" w:fill="D9D9D9"/>
          </w:tcPr>
          <w:p>
            <w:pPr>
              <w:spacing w:after="0"/>
              <w:rPr>
                <w:sz w:val="5"/>
                <w:szCs w:val="5"/>
                <w:color w:val="auto"/>
              </w:rPr>
            </w:pPr>
          </w:p>
        </w:tc>
        <w:tc>
          <w:tcPr>
            <w:tcW w:w="1400" w:type="dxa"/>
            <w:vAlign w:val="bottom"/>
            <w:tcBorders>
              <w:bottom w:val="single" w:sz="8" w:color="auto"/>
              <w:right w:val="single" w:sz="8" w:color="auto"/>
            </w:tcBorders>
            <w:shd w:val="clear" w:color="auto" w:fill="D9D9D9"/>
          </w:tcPr>
          <w:p>
            <w:pPr>
              <w:spacing w:after="0"/>
              <w:rPr>
                <w:sz w:val="5"/>
                <w:szCs w:val="5"/>
                <w:color w:val="auto"/>
              </w:rPr>
            </w:pPr>
          </w:p>
        </w:tc>
        <w:tc>
          <w:tcPr>
            <w:tcW w:w="1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0700"/>
          </w:cols>
          <w:pgMar w:left="600" w:top="264" w:right="599" w:bottom="1440" w:gutter="0" w:footer="0" w:header="0"/>
        </w:sectPr>
      </w:pPr>
    </w:p>
    <w:bookmarkStart w:id="57" w:name="page58"/>
    <w:bookmarkEnd w:id="57"/>
    <w:p>
      <w:pPr>
        <w:spacing w:after="0"/>
        <w:rPr>
          <w:sz w:val="20"/>
          <w:szCs w:val="20"/>
          <w:color w:val="auto"/>
        </w:rPr>
      </w:pPr>
      <w:r>
        <w:rPr>
          <w:rFonts w:ascii="Arial" w:cs="Arial" w:eastAsia="Arial" w:hAnsi="Arial"/>
          <w:sz w:val="16"/>
          <w:szCs w:val="16"/>
          <w:i w:val="1"/>
          <w:i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page">
              <wp:posOffset>381000</wp:posOffset>
            </wp:positionH>
            <wp:positionV relativeFrom="page">
              <wp:posOffset>271780</wp:posOffset>
            </wp:positionV>
            <wp:extent cx="122237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22375" cy="8255"/>
                    </a:xfrm>
                    <a:prstGeom prst="rect">
                      <a:avLst/>
                    </a:prstGeom>
                    <a:noFill/>
                  </pic:spPr>
                </pic:pic>
              </a:graphicData>
            </a:graphic>
          </wp:anchor>
        </w:drawing>
        <w:t>Notes:</w:t>
      </w:r>
    </w:p>
    <w:p>
      <w:pPr>
        <w:spacing w:after="0" w:line="117" w:lineRule="exact"/>
        <w:rPr>
          <w:sz w:val="20"/>
          <w:szCs w:val="20"/>
          <w:color w:val="auto"/>
        </w:rPr>
      </w:pPr>
    </w:p>
    <w:p>
      <w:pPr>
        <w:ind w:left="520" w:right="20" w:hanging="415"/>
        <w:spacing w:after="0" w:line="248" w:lineRule="auto"/>
        <w:tabs>
          <w:tab w:leader="none" w:pos="520" w:val="left"/>
        </w:tabs>
        <w:numPr>
          <w:ilvl w:val="0"/>
          <w:numId w:val="26"/>
        </w:numPr>
        <w:rPr>
          <w:rFonts w:ascii="Arial" w:cs="Arial" w:eastAsia="Arial" w:hAnsi="Arial"/>
          <w:sz w:val="16"/>
          <w:szCs w:val="16"/>
          <w:i w:val="1"/>
          <w:iCs w:val="1"/>
          <w:color w:val="003445"/>
        </w:rPr>
      </w:pPr>
      <w:r>
        <w:rPr>
          <w:rFonts w:ascii="Arial" w:cs="Arial" w:eastAsia="Arial" w:hAnsi="Arial"/>
          <w:sz w:val="16"/>
          <w:szCs w:val="16"/>
          <w:i w:val="1"/>
          <w:iCs w:val="1"/>
          <w:color w:val="003445"/>
        </w:rPr>
        <w:t>EAF goals related to construction timeline and production goals. These goals were viewed by the HRCC at the time of setting these goals as rigorous and challenging to achieve (resulting in a payout of 0% for the nine months ending December 31, 2025).</w:t>
      </w:r>
    </w:p>
    <w:p>
      <w:pPr>
        <w:ind w:left="520" w:hanging="415"/>
        <w:spacing w:after="0"/>
        <w:tabs>
          <w:tab w:leader="none" w:pos="520" w:val="left"/>
        </w:tabs>
        <w:numPr>
          <w:ilvl w:val="0"/>
          <w:numId w:val="26"/>
        </w:numPr>
        <w:rPr>
          <w:rFonts w:ascii="Arial" w:cs="Arial" w:eastAsia="Arial" w:hAnsi="Arial"/>
          <w:sz w:val="16"/>
          <w:szCs w:val="16"/>
          <w:i w:val="1"/>
          <w:iCs w:val="1"/>
          <w:color w:val="003445"/>
        </w:rPr>
      </w:pPr>
      <w:r>
        <w:rPr>
          <w:rFonts w:ascii="Arial" w:cs="Arial" w:eastAsia="Arial" w:hAnsi="Arial"/>
          <w:sz w:val="16"/>
          <w:szCs w:val="16"/>
          <w:i w:val="1"/>
          <w:iCs w:val="1"/>
          <w:color w:val="003445"/>
        </w:rPr>
        <w:t>EBITDA and Cash Flow from Operations exclude any insurance proceeds.</w:t>
      </w:r>
    </w:p>
    <w:p>
      <w:pPr>
        <w:ind w:left="520" w:hanging="415"/>
        <w:spacing w:after="0"/>
        <w:tabs>
          <w:tab w:leader="none" w:pos="520" w:val="left"/>
        </w:tabs>
        <w:numPr>
          <w:ilvl w:val="0"/>
          <w:numId w:val="26"/>
        </w:numPr>
        <w:rPr>
          <w:rFonts w:ascii="Arial" w:cs="Arial" w:eastAsia="Arial" w:hAnsi="Arial"/>
          <w:sz w:val="16"/>
          <w:szCs w:val="16"/>
          <w:i w:val="1"/>
          <w:iCs w:val="1"/>
          <w:color w:val="003445"/>
        </w:rPr>
      </w:pPr>
      <w:r>
        <w:rPr>
          <w:rFonts w:ascii="Arial" w:cs="Arial" w:eastAsia="Arial" w:hAnsi="Arial"/>
          <w:sz w:val="16"/>
          <w:szCs w:val="16"/>
          <w:i w:val="1"/>
          <w:iCs w:val="1"/>
          <w:color w:val="003445"/>
        </w:rPr>
        <w:t>The maximum performance boundary for environmental goals was approved by the Board to be set at 150%, rather than at 200%.</w:t>
      </w:r>
    </w:p>
    <w:p>
      <w:pPr>
        <w:spacing w:after="0" w:line="186"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Sixty-five per cent (65%) of the total annual bonus payout for the CEO and other NEOs was based on the successful achievement of established corporate goals for financial, safety, and environmental performance, with the remainder based on the attainment of key milestones in the execution of the EAF transformation initiative. The HRCC placed a 35% weightage on EAF goals given the importance of the EAF to the future strategy of the Company as a green steel producer. This dual-focused incentive structure is designed to align executive performance with our strategic priorities, ensuring that leadership efforts drive both financial excellence and the advancement of our transformative projects.</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 xml:space="preserve">The performance-based annual bonuses, calculated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for the period January 1, 2025 to December 31, 2025 are summarized in the table below:</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920" w:type="dxa"/>
            <w:vAlign w:val="bottom"/>
            <w:tcBorders>
              <w:top w:val="single" w:sz="8" w:color="auto"/>
              <w:left w:val="single" w:sz="8" w:color="auto"/>
            </w:tcBorders>
            <w:shd w:val="clear" w:color="auto" w:fill="003445"/>
          </w:tcPr>
          <w:p>
            <w:pPr>
              <w:spacing w:after="0"/>
              <w:rPr>
                <w:sz w:val="20"/>
                <w:szCs w:val="20"/>
                <w:color w:val="auto"/>
              </w:rPr>
            </w:pPr>
          </w:p>
        </w:tc>
        <w:tc>
          <w:tcPr>
            <w:tcW w:w="1140" w:type="dxa"/>
            <w:vAlign w:val="bottom"/>
            <w:tcBorders>
              <w:top w:val="single" w:sz="8" w:color="auto"/>
              <w:right w:val="single" w:sz="8" w:color="auto"/>
            </w:tcBorders>
            <w:shd w:val="clear" w:color="auto" w:fill="003445"/>
          </w:tcPr>
          <w:p>
            <w:pPr>
              <w:spacing w:after="0"/>
              <w:rPr>
                <w:sz w:val="20"/>
                <w:szCs w:val="20"/>
                <w:color w:val="auto"/>
              </w:rPr>
            </w:pPr>
          </w:p>
        </w:tc>
        <w:tc>
          <w:tcPr>
            <w:tcW w:w="1520" w:type="dxa"/>
            <w:vAlign w:val="bottom"/>
            <w:tcBorders>
              <w:top w:val="single" w:sz="8" w:color="auto"/>
              <w:right w:val="single" w:sz="8" w:color="auto"/>
            </w:tcBorders>
            <w:shd w:val="clear" w:color="auto" w:fill="003445"/>
          </w:tcPr>
          <w:p>
            <w:pPr>
              <w:jc w:val="center"/>
              <w:ind w:left="4"/>
              <w:spacing w:after="0"/>
              <w:rPr>
                <w:sz w:val="20"/>
                <w:szCs w:val="20"/>
                <w:color w:val="auto"/>
              </w:rPr>
            </w:pPr>
            <w:r>
              <w:rPr>
                <w:rFonts w:ascii="Arial" w:cs="Arial" w:eastAsia="Arial" w:hAnsi="Arial"/>
                <w:sz w:val="19"/>
                <w:szCs w:val="19"/>
                <w:b w:val="1"/>
                <w:bCs w:val="1"/>
                <w:color w:val="FFFFFF"/>
                <w:w w:val="99"/>
              </w:rPr>
              <w:t>Target</w:t>
            </w:r>
          </w:p>
        </w:tc>
        <w:tc>
          <w:tcPr>
            <w:tcW w:w="3080" w:type="dxa"/>
            <w:vAlign w:val="bottom"/>
            <w:tcBorders>
              <w:top w:val="single" w:sz="8" w:color="auto"/>
              <w:right w:val="single" w:sz="8" w:color="auto"/>
            </w:tcBorders>
            <w:shd w:val="clear" w:color="auto" w:fill="003445"/>
          </w:tcPr>
          <w:p>
            <w:pPr>
              <w:spacing w:after="0"/>
              <w:rPr>
                <w:sz w:val="20"/>
                <w:szCs w:val="20"/>
                <w:color w:val="auto"/>
              </w:rPr>
            </w:pPr>
          </w:p>
        </w:tc>
        <w:tc>
          <w:tcPr>
            <w:tcW w:w="1520" w:type="dxa"/>
            <w:vAlign w:val="bottom"/>
            <w:tcBorders>
              <w:top w:val="single" w:sz="8" w:color="auto"/>
              <w:right w:val="single" w:sz="8" w:color="auto"/>
            </w:tcBorders>
            <w:shd w:val="clear" w:color="auto" w:fill="003445"/>
          </w:tcPr>
          <w:p>
            <w:pPr>
              <w:jc w:val="center"/>
              <w:ind w:left="26"/>
              <w:spacing w:after="0"/>
              <w:rPr>
                <w:sz w:val="20"/>
                <w:szCs w:val="20"/>
                <w:color w:val="auto"/>
              </w:rPr>
            </w:pPr>
            <w:r>
              <w:rPr>
                <w:rFonts w:ascii="Arial" w:cs="Arial" w:eastAsia="Arial" w:hAnsi="Arial"/>
                <w:sz w:val="19"/>
                <w:szCs w:val="19"/>
                <w:b w:val="1"/>
                <w:bCs w:val="1"/>
                <w:color w:val="FFFFFF"/>
                <w:w w:val="96"/>
              </w:rPr>
              <w:t>Total</w:t>
            </w:r>
          </w:p>
        </w:tc>
        <w:tc>
          <w:tcPr>
            <w:tcW w:w="1520" w:type="dxa"/>
            <w:vAlign w:val="bottom"/>
            <w:tcBorders>
              <w:top w:val="single" w:sz="8" w:color="auto"/>
              <w:right w:val="single" w:sz="8" w:color="auto"/>
            </w:tcBorders>
            <w:shd w:val="clear" w:color="auto" w:fill="003445"/>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20" w:type="dxa"/>
            <w:vAlign w:val="bottom"/>
            <w:tcBorders>
              <w:left w:val="single" w:sz="8" w:color="auto"/>
            </w:tcBorders>
            <w:shd w:val="clear" w:color="auto" w:fill="003445"/>
          </w:tcPr>
          <w:p>
            <w:pPr>
              <w:spacing w:after="0"/>
              <w:rPr>
                <w:sz w:val="18"/>
                <w:szCs w:val="18"/>
                <w:color w:val="auto"/>
              </w:rPr>
            </w:pPr>
          </w:p>
        </w:tc>
        <w:tc>
          <w:tcPr>
            <w:tcW w:w="1140" w:type="dxa"/>
            <w:vAlign w:val="bottom"/>
            <w:tcBorders>
              <w:right w:val="single" w:sz="8" w:color="auto"/>
            </w:tcBorders>
            <w:shd w:val="clear" w:color="auto" w:fill="003445"/>
          </w:tcPr>
          <w:p>
            <w:pPr>
              <w:spacing w:after="0"/>
              <w:rPr>
                <w:sz w:val="18"/>
                <w:szCs w:val="18"/>
                <w:color w:val="auto"/>
              </w:rPr>
            </w:pPr>
          </w:p>
        </w:tc>
        <w:tc>
          <w:tcPr>
            <w:tcW w:w="1520" w:type="dxa"/>
            <w:vAlign w:val="bottom"/>
            <w:tcBorders>
              <w:right w:val="single" w:sz="8" w:color="auto"/>
            </w:tcBorders>
            <w:shd w:val="clear" w:color="auto" w:fill="003445"/>
          </w:tcPr>
          <w:p>
            <w:pPr>
              <w:jc w:val="center"/>
              <w:ind w:left="4"/>
              <w:spacing w:after="0" w:line="210" w:lineRule="exact"/>
              <w:rPr>
                <w:sz w:val="20"/>
                <w:szCs w:val="20"/>
                <w:color w:val="auto"/>
              </w:rPr>
            </w:pPr>
            <w:r>
              <w:rPr>
                <w:rFonts w:ascii="Arial" w:cs="Arial" w:eastAsia="Arial" w:hAnsi="Arial"/>
                <w:sz w:val="19"/>
                <w:szCs w:val="19"/>
                <w:b w:val="1"/>
                <w:bCs w:val="1"/>
                <w:color w:val="FFFFFF"/>
              </w:rPr>
              <w:t>Incentive as</w:t>
            </w:r>
          </w:p>
        </w:tc>
        <w:tc>
          <w:tcPr>
            <w:tcW w:w="3080" w:type="dxa"/>
            <w:vAlign w:val="bottom"/>
            <w:tcBorders>
              <w:right w:val="single" w:sz="8" w:color="auto"/>
            </w:tcBorders>
            <w:shd w:val="clear" w:color="auto" w:fill="003445"/>
          </w:tcPr>
          <w:p>
            <w:pPr>
              <w:spacing w:after="0"/>
              <w:rPr>
                <w:sz w:val="18"/>
                <w:szCs w:val="18"/>
                <w:color w:val="auto"/>
              </w:rPr>
            </w:pPr>
          </w:p>
        </w:tc>
        <w:tc>
          <w:tcPr>
            <w:tcW w:w="1520" w:type="dxa"/>
            <w:vAlign w:val="bottom"/>
            <w:tcBorders>
              <w:right w:val="single" w:sz="8" w:color="auto"/>
            </w:tcBorders>
            <w:shd w:val="clear" w:color="auto" w:fill="003445"/>
          </w:tcPr>
          <w:p>
            <w:pPr>
              <w:jc w:val="center"/>
              <w:ind w:left="26"/>
              <w:spacing w:after="0" w:line="210" w:lineRule="exact"/>
              <w:rPr>
                <w:sz w:val="20"/>
                <w:szCs w:val="20"/>
                <w:color w:val="auto"/>
              </w:rPr>
            </w:pPr>
            <w:r>
              <w:rPr>
                <w:rFonts w:ascii="Arial" w:cs="Arial" w:eastAsia="Arial" w:hAnsi="Arial"/>
                <w:sz w:val="19"/>
                <w:szCs w:val="19"/>
                <w:b w:val="1"/>
                <w:bCs w:val="1"/>
                <w:color w:val="FFFFFF"/>
              </w:rPr>
              <w:t>Bonus</w:t>
            </w:r>
          </w:p>
        </w:tc>
        <w:tc>
          <w:tcPr>
            <w:tcW w:w="15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9"/>
                <w:szCs w:val="19"/>
                <w:b w:val="1"/>
                <w:bCs w:val="1"/>
                <w:color w:val="FFFFFF"/>
                <w:w w:val="96"/>
              </w:rPr>
              <w:t>Total</w:t>
            </w:r>
          </w:p>
        </w:tc>
        <w:tc>
          <w:tcPr>
            <w:tcW w:w="0" w:type="dxa"/>
            <w:vAlign w:val="bottom"/>
          </w:tcPr>
          <w:p>
            <w:pPr>
              <w:spacing w:after="0"/>
              <w:rPr>
                <w:sz w:val="1"/>
                <w:szCs w:val="1"/>
                <w:color w:val="auto"/>
              </w:rPr>
            </w:pPr>
          </w:p>
        </w:tc>
      </w:tr>
      <w:tr>
        <w:trPr>
          <w:trHeight w:val="105"/>
        </w:trPr>
        <w:tc>
          <w:tcPr>
            <w:tcW w:w="3060" w:type="dxa"/>
            <w:vAlign w:val="bottom"/>
            <w:tcBorders>
              <w:left w:val="single" w:sz="8" w:color="auto"/>
              <w:right w:val="single" w:sz="8" w:color="auto"/>
            </w:tcBorders>
            <w:gridSpan w:val="2"/>
            <w:vMerge w:val="restart"/>
            <w:shd w:val="clear" w:color="auto" w:fill="003445"/>
          </w:tcPr>
          <w:p>
            <w:pPr>
              <w:ind w:left="700"/>
              <w:spacing w:after="0" w:line="210" w:lineRule="exact"/>
              <w:rPr>
                <w:sz w:val="20"/>
                <w:szCs w:val="20"/>
                <w:color w:val="auto"/>
              </w:rPr>
            </w:pPr>
            <w:r>
              <w:rPr>
                <w:rFonts w:ascii="Arial" w:cs="Arial" w:eastAsia="Arial" w:hAnsi="Arial"/>
                <w:sz w:val="19"/>
                <w:szCs w:val="19"/>
                <w:b w:val="1"/>
                <w:bCs w:val="1"/>
                <w:color w:val="FFFFFF"/>
              </w:rPr>
              <w:t>Name and Principal</w:t>
            </w:r>
          </w:p>
        </w:tc>
        <w:tc>
          <w:tcPr>
            <w:tcW w:w="1520" w:type="dxa"/>
            <w:vAlign w:val="bottom"/>
            <w:tcBorders>
              <w:right w:val="single" w:sz="8" w:color="auto"/>
            </w:tcBorders>
            <w:vMerge w:val="restart"/>
            <w:shd w:val="clear" w:color="auto" w:fill="003445"/>
          </w:tcPr>
          <w:p>
            <w:pPr>
              <w:jc w:val="center"/>
              <w:ind w:left="4"/>
              <w:spacing w:after="0" w:line="210" w:lineRule="exact"/>
              <w:rPr>
                <w:sz w:val="20"/>
                <w:szCs w:val="20"/>
                <w:color w:val="auto"/>
              </w:rPr>
            </w:pPr>
            <w:r>
              <w:rPr>
                <w:rFonts w:ascii="Arial" w:cs="Arial" w:eastAsia="Arial" w:hAnsi="Arial"/>
                <w:sz w:val="19"/>
                <w:szCs w:val="19"/>
                <w:b w:val="1"/>
                <w:bCs w:val="1"/>
                <w:color w:val="FFFFFF"/>
                <w:w w:val="94"/>
              </w:rPr>
              <w:t>a</w:t>
            </w:r>
          </w:p>
        </w:tc>
        <w:tc>
          <w:tcPr>
            <w:tcW w:w="3080" w:type="dxa"/>
            <w:vAlign w:val="bottom"/>
            <w:tcBorders>
              <w:right w:val="single" w:sz="8" w:color="auto"/>
            </w:tcBorders>
            <w:shd w:val="clear" w:color="auto" w:fill="003445"/>
          </w:tcPr>
          <w:p>
            <w:pPr>
              <w:spacing w:after="0"/>
              <w:rPr>
                <w:sz w:val="9"/>
                <w:szCs w:val="9"/>
                <w:color w:val="auto"/>
              </w:rPr>
            </w:pPr>
          </w:p>
        </w:tc>
        <w:tc>
          <w:tcPr>
            <w:tcW w:w="1520" w:type="dxa"/>
            <w:vAlign w:val="bottom"/>
            <w:tcBorders>
              <w:right w:val="single" w:sz="8" w:color="auto"/>
            </w:tcBorders>
            <w:vMerge w:val="restart"/>
            <w:shd w:val="clear" w:color="auto" w:fill="003445"/>
          </w:tcPr>
          <w:p>
            <w:pPr>
              <w:jc w:val="center"/>
              <w:ind w:left="26"/>
              <w:spacing w:after="0" w:line="210" w:lineRule="exact"/>
              <w:rPr>
                <w:sz w:val="20"/>
                <w:szCs w:val="20"/>
                <w:color w:val="auto"/>
              </w:rPr>
            </w:pPr>
            <w:r>
              <w:rPr>
                <w:rFonts w:ascii="Arial" w:cs="Arial" w:eastAsia="Arial" w:hAnsi="Arial"/>
                <w:sz w:val="19"/>
                <w:szCs w:val="19"/>
                <w:b w:val="1"/>
                <w:bCs w:val="1"/>
                <w:color w:val="FFFFFF"/>
              </w:rPr>
              <w:t>Payout</w:t>
            </w: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060" w:type="dxa"/>
            <w:vAlign w:val="bottom"/>
            <w:tcBorders>
              <w:left w:val="single" w:sz="8" w:color="auto"/>
              <w:right w:val="single" w:sz="8" w:color="auto"/>
            </w:tcBorders>
            <w:gridSpan w:val="2"/>
            <w:vMerge w:val="continue"/>
            <w:shd w:val="clear" w:color="auto" w:fill="003445"/>
          </w:tcPr>
          <w:p>
            <w:pPr>
              <w:spacing w:after="0"/>
              <w:rPr>
                <w:sz w:val="9"/>
                <w:szCs w:val="9"/>
                <w:color w:val="auto"/>
              </w:rPr>
            </w:pP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3080" w:type="dxa"/>
            <w:vAlign w:val="bottom"/>
            <w:tcBorders>
              <w:right w:val="single" w:sz="8" w:color="auto"/>
            </w:tcBorders>
            <w:vMerge w:val="restart"/>
            <w:shd w:val="clear" w:color="auto" w:fill="003445"/>
          </w:tcPr>
          <w:p>
            <w:pPr>
              <w:ind w:left="860"/>
              <w:spacing w:after="0" w:line="210" w:lineRule="exact"/>
              <w:rPr>
                <w:sz w:val="20"/>
                <w:szCs w:val="20"/>
                <w:color w:val="auto"/>
              </w:rPr>
            </w:pPr>
            <w:r>
              <w:rPr>
                <w:rFonts w:ascii="Arial" w:cs="Arial" w:eastAsia="Arial" w:hAnsi="Arial"/>
                <w:sz w:val="19"/>
                <w:szCs w:val="19"/>
                <w:b w:val="1"/>
                <w:bCs w:val="1"/>
                <w:color w:val="FFFFFF"/>
              </w:rPr>
              <w:t>Target Incentive</w:t>
            </w: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1520" w:type="dxa"/>
            <w:vAlign w:val="bottom"/>
            <w:tcBorders>
              <w:right w:val="single" w:sz="8" w:color="auto"/>
            </w:tcBorders>
            <w:vMerge w:val="restart"/>
            <w:shd w:val="clear" w:color="auto" w:fill="003445"/>
          </w:tcPr>
          <w:p>
            <w:pPr>
              <w:jc w:val="center"/>
              <w:spacing w:after="0" w:line="210" w:lineRule="exact"/>
              <w:rPr>
                <w:sz w:val="20"/>
                <w:szCs w:val="20"/>
                <w:color w:val="auto"/>
              </w:rPr>
            </w:pPr>
            <w:r>
              <w:rPr>
                <w:rFonts w:ascii="Arial" w:cs="Arial" w:eastAsia="Arial" w:hAnsi="Arial"/>
                <w:sz w:val="19"/>
                <w:szCs w:val="19"/>
                <w:b w:val="1"/>
                <w:bCs w:val="1"/>
                <w:color w:val="FFFFFF"/>
              </w:rPr>
              <w:t>Bonus</w:t>
            </w:r>
          </w:p>
        </w:tc>
        <w:tc>
          <w:tcPr>
            <w:tcW w:w="0" w:type="dxa"/>
            <w:vAlign w:val="bottom"/>
          </w:tcPr>
          <w:p>
            <w:pPr>
              <w:spacing w:after="0"/>
              <w:rPr>
                <w:sz w:val="1"/>
                <w:szCs w:val="1"/>
                <w:color w:val="auto"/>
              </w:rPr>
            </w:pPr>
          </w:p>
        </w:tc>
      </w:tr>
      <w:tr>
        <w:trPr>
          <w:trHeight w:val="105"/>
        </w:trPr>
        <w:tc>
          <w:tcPr>
            <w:tcW w:w="3060" w:type="dxa"/>
            <w:vAlign w:val="bottom"/>
            <w:tcBorders>
              <w:left w:val="single" w:sz="8" w:color="auto"/>
              <w:right w:val="single" w:sz="8" w:color="auto"/>
            </w:tcBorders>
            <w:gridSpan w:val="2"/>
            <w:vMerge w:val="restart"/>
            <w:shd w:val="clear" w:color="auto" w:fill="003445"/>
          </w:tcPr>
          <w:p>
            <w:pPr>
              <w:ind w:left="1220"/>
              <w:spacing w:after="0" w:line="210" w:lineRule="exact"/>
              <w:rPr>
                <w:sz w:val="20"/>
                <w:szCs w:val="20"/>
                <w:color w:val="auto"/>
              </w:rPr>
            </w:pPr>
            <w:r>
              <w:rPr>
                <w:rFonts w:ascii="Arial" w:cs="Arial" w:eastAsia="Arial" w:hAnsi="Arial"/>
                <w:sz w:val="19"/>
                <w:szCs w:val="19"/>
                <w:b w:val="1"/>
                <w:bCs w:val="1"/>
                <w:color w:val="FFFFFF"/>
              </w:rPr>
              <w:t>Position</w:t>
            </w:r>
          </w:p>
        </w:tc>
        <w:tc>
          <w:tcPr>
            <w:tcW w:w="1520" w:type="dxa"/>
            <w:vAlign w:val="bottom"/>
            <w:tcBorders>
              <w:right w:val="single" w:sz="8" w:color="auto"/>
            </w:tcBorders>
            <w:vMerge w:val="restart"/>
            <w:shd w:val="clear" w:color="auto" w:fill="003445"/>
          </w:tcPr>
          <w:p>
            <w:pPr>
              <w:jc w:val="center"/>
              <w:spacing w:after="0" w:line="210" w:lineRule="exact"/>
              <w:rPr>
                <w:sz w:val="20"/>
                <w:szCs w:val="20"/>
                <w:color w:val="auto"/>
              </w:rPr>
            </w:pPr>
            <w:r>
              <w:rPr>
                <w:rFonts w:ascii="Arial" w:cs="Arial" w:eastAsia="Arial" w:hAnsi="Arial"/>
                <w:sz w:val="19"/>
                <w:szCs w:val="19"/>
                <w:b w:val="1"/>
                <w:bCs w:val="1"/>
                <w:color w:val="FFFFFF"/>
              </w:rPr>
              <w:t>Percentage</w:t>
            </w:r>
          </w:p>
        </w:tc>
        <w:tc>
          <w:tcPr>
            <w:tcW w:w="3080" w:type="dxa"/>
            <w:vAlign w:val="bottom"/>
            <w:tcBorders>
              <w:right w:val="single" w:sz="8" w:color="auto"/>
            </w:tcBorders>
            <w:vMerge w:val="continue"/>
            <w:shd w:val="clear" w:color="auto" w:fill="003445"/>
          </w:tcPr>
          <w:p>
            <w:pPr>
              <w:spacing w:after="0"/>
              <w:rPr>
                <w:sz w:val="9"/>
                <w:szCs w:val="9"/>
                <w:color w:val="auto"/>
              </w:rPr>
            </w:pPr>
          </w:p>
        </w:tc>
        <w:tc>
          <w:tcPr>
            <w:tcW w:w="1520" w:type="dxa"/>
            <w:vAlign w:val="bottom"/>
            <w:tcBorders>
              <w:right w:val="single" w:sz="8" w:color="auto"/>
            </w:tcBorders>
            <w:vMerge w:val="restart"/>
            <w:shd w:val="clear" w:color="auto" w:fill="003445"/>
          </w:tcPr>
          <w:p>
            <w:pPr>
              <w:jc w:val="center"/>
              <w:ind w:left="6"/>
              <w:spacing w:after="0" w:line="210" w:lineRule="exact"/>
              <w:rPr>
                <w:sz w:val="20"/>
                <w:szCs w:val="20"/>
                <w:color w:val="auto"/>
              </w:rPr>
            </w:pPr>
            <w:r>
              <w:rPr>
                <w:rFonts w:ascii="Arial" w:cs="Arial" w:eastAsia="Arial" w:hAnsi="Arial"/>
                <w:sz w:val="19"/>
                <w:szCs w:val="19"/>
                <w:b w:val="1"/>
                <w:bCs w:val="1"/>
                <w:color w:val="FFFFFF"/>
              </w:rPr>
              <w:t>Factor as a</w:t>
            </w: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060" w:type="dxa"/>
            <w:vAlign w:val="bottom"/>
            <w:tcBorders>
              <w:left w:val="single" w:sz="8" w:color="auto"/>
              <w:right w:val="single" w:sz="8" w:color="auto"/>
            </w:tcBorders>
            <w:gridSpan w:val="2"/>
            <w:vMerge w:val="continue"/>
            <w:shd w:val="clear" w:color="auto" w:fill="003445"/>
          </w:tcPr>
          <w:p>
            <w:pPr>
              <w:spacing w:after="0"/>
              <w:rPr>
                <w:sz w:val="9"/>
                <w:szCs w:val="9"/>
                <w:color w:val="auto"/>
              </w:rPr>
            </w:pP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3080" w:type="dxa"/>
            <w:vAlign w:val="bottom"/>
            <w:tcBorders>
              <w:right w:val="single" w:sz="8" w:color="auto"/>
            </w:tcBorders>
            <w:shd w:val="clear" w:color="auto" w:fill="003445"/>
          </w:tcPr>
          <w:p>
            <w:pPr>
              <w:spacing w:after="0"/>
              <w:rPr>
                <w:sz w:val="9"/>
                <w:szCs w:val="9"/>
                <w:color w:val="auto"/>
              </w:rPr>
            </w:pPr>
          </w:p>
        </w:tc>
        <w:tc>
          <w:tcPr>
            <w:tcW w:w="1520" w:type="dxa"/>
            <w:vAlign w:val="bottom"/>
            <w:tcBorders>
              <w:right w:val="single" w:sz="8" w:color="auto"/>
            </w:tcBorders>
            <w:vMerge w:val="continue"/>
            <w:shd w:val="clear" w:color="auto" w:fill="003445"/>
          </w:tcPr>
          <w:p>
            <w:pPr>
              <w:spacing w:after="0"/>
              <w:rPr>
                <w:sz w:val="9"/>
                <w:szCs w:val="9"/>
                <w:color w:val="auto"/>
              </w:rPr>
            </w:pPr>
          </w:p>
        </w:tc>
        <w:tc>
          <w:tcPr>
            <w:tcW w:w="15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9"/>
                <w:szCs w:val="19"/>
                <w:b w:val="1"/>
                <w:bCs w:val="1"/>
                <w:color w:val="FFFFFF"/>
                <w:w w:val="99"/>
              </w:rPr>
              <w:t>Earned</w:t>
            </w:r>
          </w:p>
        </w:tc>
        <w:tc>
          <w:tcPr>
            <w:tcW w:w="0" w:type="dxa"/>
            <w:vAlign w:val="bottom"/>
          </w:tcPr>
          <w:p>
            <w:pPr>
              <w:spacing w:after="0"/>
              <w:rPr>
                <w:sz w:val="1"/>
                <w:szCs w:val="1"/>
                <w:color w:val="auto"/>
              </w:rPr>
            </w:pPr>
          </w:p>
        </w:tc>
      </w:tr>
      <w:tr>
        <w:trPr>
          <w:trHeight w:val="161"/>
        </w:trPr>
        <w:tc>
          <w:tcPr>
            <w:tcW w:w="1920" w:type="dxa"/>
            <w:vAlign w:val="bottom"/>
            <w:tcBorders>
              <w:left w:val="single" w:sz="8" w:color="auto"/>
            </w:tcBorders>
            <w:shd w:val="clear" w:color="auto" w:fill="003445"/>
          </w:tcPr>
          <w:p>
            <w:pPr>
              <w:spacing w:after="0"/>
              <w:rPr>
                <w:sz w:val="14"/>
                <w:szCs w:val="14"/>
                <w:color w:val="auto"/>
              </w:rPr>
            </w:pPr>
          </w:p>
        </w:tc>
        <w:tc>
          <w:tcPr>
            <w:tcW w:w="1140" w:type="dxa"/>
            <w:vAlign w:val="bottom"/>
            <w:tcBorders>
              <w:right w:val="single" w:sz="8" w:color="auto"/>
            </w:tcBorders>
            <w:shd w:val="clear" w:color="auto" w:fill="003445"/>
          </w:tcPr>
          <w:p>
            <w:pPr>
              <w:spacing w:after="0"/>
              <w:rPr>
                <w:sz w:val="14"/>
                <w:szCs w:val="14"/>
                <w:color w:val="auto"/>
              </w:rPr>
            </w:pPr>
          </w:p>
        </w:tc>
        <w:tc>
          <w:tcPr>
            <w:tcW w:w="1520" w:type="dxa"/>
            <w:vAlign w:val="bottom"/>
            <w:tcBorders>
              <w:right w:val="single" w:sz="8" w:color="auto"/>
            </w:tcBorders>
            <w:vMerge w:val="restart"/>
            <w:shd w:val="clear" w:color="auto" w:fill="003445"/>
          </w:tcPr>
          <w:p>
            <w:pPr>
              <w:jc w:val="center"/>
              <w:ind w:left="4"/>
              <w:spacing w:after="0" w:line="210" w:lineRule="exact"/>
              <w:rPr>
                <w:sz w:val="20"/>
                <w:szCs w:val="20"/>
                <w:color w:val="auto"/>
              </w:rPr>
            </w:pPr>
            <w:r>
              <w:rPr>
                <w:rFonts w:ascii="Arial" w:cs="Arial" w:eastAsia="Arial" w:hAnsi="Arial"/>
                <w:sz w:val="19"/>
                <w:szCs w:val="19"/>
                <w:b w:val="1"/>
                <w:bCs w:val="1"/>
                <w:color w:val="FFFFFF"/>
              </w:rPr>
              <w:t>of Base</w:t>
            </w:r>
          </w:p>
        </w:tc>
        <w:tc>
          <w:tcPr>
            <w:tcW w:w="3080" w:type="dxa"/>
            <w:vAlign w:val="bottom"/>
            <w:tcBorders>
              <w:right w:val="single" w:sz="8" w:color="auto"/>
            </w:tcBorders>
            <w:shd w:val="clear" w:color="auto" w:fill="003445"/>
          </w:tcPr>
          <w:p>
            <w:pPr>
              <w:spacing w:after="0"/>
              <w:rPr>
                <w:sz w:val="14"/>
                <w:szCs w:val="14"/>
                <w:color w:val="auto"/>
              </w:rPr>
            </w:pPr>
          </w:p>
        </w:tc>
        <w:tc>
          <w:tcPr>
            <w:tcW w:w="1520" w:type="dxa"/>
            <w:vAlign w:val="bottom"/>
            <w:tcBorders>
              <w:right w:val="single" w:sz="8" w:color="auto"/>
            </w:tcBorders>
            <w:vMerge w:val="restart"/>
            <w:shd w:val="clear" w:color="auto" w:fill="003445"/>
          </w:tcPr>
          <w:p>
            <w:pPr>
              <w:jc w:val="center"/>
              <w:ind w:left="26"/>
              <w:spacing w:after="0" w:line="210" w:lineRule="exact"/>
              <w:rPr>
                <w:sz w:val="20"/>
                <w:szCs w:val="20"/>
                <w:color w:val="auto"/>
              </w:rPr>
            </w:pPr>
            <w:r>
              <w:rPr>
                <w:rFonts w:ascii="Arial" w:cs="Arial" w:eastAsia="Arial" w:hAnsi="Arial"/>
                <w:sz w:val="19"/>
                <w:szCs w:val="19"/>
                <w:b w:val="1"/>
                <w:bCs w:val="1"/>
                <w:color w:val="FFFFFF"/>
              </w:rPr>
              <w:t>Percentage</w:t>
            </w:r>
          </w:p>
        </w:tc>
        <w:tc>
          <w:tcPr>
            <w:tcW w:w="1520" w:type="dxa"/>
            <w:vAlign w:val="bottom"/>
            <w:tcBorders>
              <w:right w:val="single" w:sz="8" w:color="auto"/>
            </w:tcBorders>
            <w:vMerge w:val="continue"/>
            <w:shd w:val="clear" w:color="auto" w:fill="003445"/>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920" w:type="dxa"/>
            <w:vAlign w:val="bottom"/>
            <w:tcBorders>
              <w:left w:val="single" w:sz="8" w:color="auto"/>
            </w:tcBorders>
            <w:shd w:val="clear" w:color="auto" w:fill="003445"/>
          </w:tcPr>
          <w:p>
            <w:pPr>
              <w:spacing w:after="0"/>
              <w:rPr>
                <w:sz w:val="4"/>
                <w:szCs w:val="4"/>
                <w:color w:val="auto"/>
              </w:rPr>
            </w:pPr>
          </w:p>
        </w:tc>
        <w:tc>
          <w:tcPr>
            <w:tcW w:w="1140" w:type="dxa"/>
            <w:vAlign w:val="bottom"/>
            <w:tcBorders>
              <w:right w:val="single" w:sz="8" w:color="auto"/>
            </w:tcBorders>
            <w:shd w:val="clear" w:color="auto" w:fill="003445"/>
          </w:tcPr>
          <w:p>
            <w:pPr>
              <w:spacing w:after="0"/>
              <w:rPr>
                <w:sz w:val="4"/>
                <w:szCs w:val="4"/>
                <w:color w:val="auto"/>
              </w:rPr>
            </w:pPr>
          </w:p>
        </w:tc>
        <w:tc>
          <w:tcPr>
            <w:tcW w:w="1520" w:type="dxa"/>
            <w:vAlign w:val="bottom"/>
            <w:tcBorders>
              <w:right w:val="single" w:sz="8" w:color="auto"/>
            </w:tcBorders>
            <w:vMerge w:val="continue"/>
            <w:shd w:val="clear" w:color="auto" w:fill="003445"/>
          </w:tcPr>
          <w:p>
            <w:pPr>
              <w:spacing w:after="0"/>
              <w:rPr>
                <w:sz w:val="4"/>
                <w:szCs w:val="4"/>
                <w:color w:val="auto"/>
              </w:rPr>
            </w:pPr>
          </w:p>
        </w:tc>
        <w:tc>
          <w:tcPr>
            <w:tcW w:w="3080" w:type="dxa"/>
            <w:vAlign w:val="bottom"/>
            <w:tcBorders>
              <w:right w:val="single" w:sz="8" w:color="auto"/>
            </w:tcBorders>
            <w:shd w:val="clear" w:color="auto" w:fill="003445"/>
          </w:tcPr>
          <w:p>
            <w:pPr>
              <w:spacing w:after="0"/>
              <w:rPr>
                <w:sz w:val="4"/>
                <w:szCs w:val="4"/>
                <w:color w:val="auto"/>
              </w:rPr>
            </w:pPr>
          </w:p>
        </w:tc>
        <w:tc>
          <w:tcPr>
            <w:tcW w:w="1520" w:type="dxa"/>
            <w:vAlign w:val="bottom"/>
            <w:tcBorders>
              <w:right w:val="single" w:sz="8" w:color="auto"/>
            </w:tcBorders>
            <w:vMerge w:val="continue"/>
            <w:shd w:val="clear" w:color="auto" w:fill="003445"/>
          </w:tcPr>
          <w:p>
            <w:pPr>
              <w:spacing w:after="0"/>
              <w:rPr>
                <w:sz w:val="4"/>
                <w:szCs w:val="4"/>
                <w:color w:val="auto"/>
              </w:rPr>
            </w:pPr>
          </w:p>
        </w:tc>
        <w:tc>
          <w:tcPr>
            <w:tcW w:w="1520" w:type="dxa"/>
            <w:vAlign w:val="bottom"/>
            <w:tcBorders>
              <w:right w:val="single" w:sz="8" w:color="auto"/>
            </w:tcBorders>
            <w:shd w:val="clear" w:color="auto" w:fill="003445"/>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920" w:type="dxa"/>
            <w:vAlign w:val="bottom"/>
            <w:tcBorders>
              <w:left w:val="single" w:sz="8" w:color="auto"/>
              <w:bottom w:val="single" w:sz="8" w:color="003445"/>
            </w:tcBorders>
            <w:shd w:val="clear" w:color="auto" w:fill="003445"/>
          </w:tcPr>
          <w:p>
            <w:pPr>
              <w:spacing w:after="0"/>
              <w:rPr>
                <w:sz w:val="24"/>
                <w:szCs w:val="24"/>
                <w:color w:val="auto"/>
              </w:rPr>
            </w:pPr>
          </w:p>
        </w:tc>
        <w:tc>
          <w:tcPr>
            <w:tcW w:w="1140" w:type="dxa"/>
            <w:vAlign w:val="bottom"/>
            <w:tcBorders>
              <w:bottom w:val="single" w:sz="8" w:color="003445"/>
              <w:right w:val="single" w:sz="8" w:color="auto"/>
            </w:tcBorders>
            <w:shd w:val="clear" w:color="auto" w:fill="003445"/>
          </w:tcPr>
          <w:p>
            <w:pPr>
              <w:spacing w:after="0"/>
              <w:rPr>
                <w:sz w:val="24"/>
                <w:szCs w:val="24"/>
                <w:color w:val="auto"/>
              </w:rPr>
            </w:pPr>
          </w:p>
        </w:tc>
        <w:tc>
          <w:tcPr>
            <w:tcW w:w="1520" w:type="dxa"/>
            <w:vAlign w:val="bottom"/>
            <w:tcBorders>
              <w:bottom w:val="single" w:sz="8" w:color="003445"/>
              <w:right w:val="single" w:sz="8" w:color="auto"/>
            </w:tcBorders>
            <w:shd w:val="clear" w:color="auto" w:fill="003445"/>
          </w:tcPr>
          <w:p>
            <w:pPr>
              <w:jc w:val="center"/>
              <w:ind w:left="4"/>
              <w:spacing w:after="0"/>
              <w:rPr>
                <w:sz w:val="20"/>
                <w:szCs w:val="20"/>
                <w:color w:val="auto"/>
              </w:rPr>
            </w:pPr>
            <w:r>
              <w:rPr>
                <w:rFonts w:ascii="Arial" w:cs="Arial" w:eastAsia="Arial" w:hAnsi="Arial"/>
                <w:sz w:val="19"/>
                <w:szCs w:val="19"/>
                <w:b w:val="1"/>
                <w:bCs w:val="1"/>
                <w:color w:val="FFFFFF"/>
              </w:rPr>
              <w:t>Salary</w:t>
            </w:r>
          </w:p>
        </w:tc>
        <w:tc>
          <w:tcPr>
            <w:tcW w:w="3080" w:type="dxa"/>
            <w:vAlign w:val="bottom"/>
            <w:tcBorders>
              <w:bottom w:val="single" w:sz="8" w:color="003445"/>
              <w:right w:val="single" w:sz="8" w:color="auto"/>
            </w:tcBorders>
            <w:shd w:val="clear" w:color="auto" w:fill="003445"/>
          </w:tcPr>
          <w:p>
            <w:pPr>
              <w:spacing w:after="0"/>
              <w:rPr>
                <w:sz w:val="24"/>
                <w:szCs w:val="24"/>
                <w:color w:val="auto"/>
              </w:rPr>
            </w:pPr>
          </w:p>
        </w:tc>
        <w:tc>
          <w:tcPr>
            <w:tcW w:w="1520" w:type="dxa"/>
            <w:vAlign w:val="bottom"/>
            <w:tcBorders>
              <w:bottom w:val="single" w:sz="8" w:color="003445"/>
              <w:right w:val="single" w:sz="8" w:color="auto"/>
            </w:tcBorders>
            <w:shd w:val="clear" w:color="auto" w:fill="003445"/>
          </w:tcPr>
          <w:p>
            <w:pPr>
              <w:jc w:val="center"/>
              <w:ind w:left="26"/>
              <w:spacing w:after="0"/>
              <w:rPr>
                <w:sz w:val="20"/>
                <w:szCs w:val="20"/>
                <w:color w:val="auto"/>
              </w:rPr>
            </w:pPr>
            <w:r>
              <w:rPr>
                <w:rFonts w:ascii="Arial" w:cs="Arial" w:eastAsia="Arial" w:hAnsi="Arial"/>
                <w:sz w:val="19"/>
                <w:szCs w:val="19"/>
                <w:b w:val="1"/>
                <w:bCs w:val="1"/>
                <w:color w:val="FFFFFF"/>
                <w:w w:val="98"/>
              </w:rPr>
              <w:t>of Target</w:t>
            </w:r>
          </w:p>
        </w:tc>
        <w:tc>
          <w:tcPr>
            <w:tcW w:w="1520" w:type="dxa"/>
            <w:vAlign w:val="bottom"/>
            <w:tcBorders>
              <w:bottom w:val="single" w:sz="8" w:color="003445"/>
              <w:right w:val="single" w:sz="8" w:color="auto"/>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Borders>
              <w:top w:val="single" w:sz="8" w:color="auto"/>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Michael Garcia</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115%</w:t>
            </w:r>
          </w:p>
        </w:tc>
        <w:tc>
          <w:tcPr>
            <w:tcW w:w="3080" w:type="dxa"/>
            <w:vAlign w:val="bottom"/>
            <w:tcBorders>
              <w:top w:val="single" w:sz="8" w:color="auto"/>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w w:val="96"/>
              </w:rPr>
              <w:t>$1,229,715</w:t>
            </w:r>
            <w:r>
              <w:rPr>
                <w:rFonts w:ascii="Arial" w:cs="Arial" w:eastAsia="Arial" w:hAnsi="Arial"/>
                <w:sz w:val="28"/>
                <w:szCs w:val="28"/>
                <w:color w:val="auto"/>
                <w:w w:val="96"/>
                <w:vertAlign w:val="superscript"/>
              </w:rPr>
              <w:t>(1)</w:t>
            </w:r>
          </w:p>
        </w:tc>
        <w:tc>
          <w:tcPr>
            <w:tcW w:w="1520" w:type="dxa"/>
            <w:vAlign w:val="bottom"/>
            <w:tcBorders>
              <w:top w:val="single" w:sz="8" w:color="auto"/>
              <w:right w:val="single" w:sz="8" w:color="auto"/>
            </w:tcBorders>
            <w:vMerge w:val="restart"/>
          </w:tcPr>
          <w:p>
            <w:pPr>
              <w:jc w:val="center"/>
              <w:ind w:left="6"/>
              <w:spacing w:after="0" w:line="412" w:lineRule="exact"/>
              <w:rPr>
                <w:sz w:val="20"/>
                <w:szCs w:val="20"/>
                <w:color w:val="auto"/>
              </w:rPr>
            </w:pPr>
            <w:r>
              <w:rPr>
                <w:rFonts w:ascii="Arial" w:cs="Arial" w:eastAsia="Arial" w:hAnsi="Arial"/>
                <w:sz w:val="38"/>
                <w:szCs w:val="38"/>
                <w:color w:val="auto"/>
                <w:w w:val="85"/>
                <w:vertAlign w:val="subscript"/>
              </w:rPr>
              <w:t>5%</w:t>
            </w:r>
            <w:r>
              <w:rPr>
                <w:rFonts w:ascii="Arial" w:cs="Arial" w:eastAsia="Arial" w:hAnsi="Arial"/>
                <w:sz w:val="14"/>
                <w:szCs w:val="14"/>
                <w:color w:val="auto"/>
                <w:w w:val="85"/>
              </w:rPr>
              <w:t>(2)</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9"/>
                <w:szCs w:val="19"/>
                <w:color w:val="auto"/>
              </w:rPr>
              <w:t>$63,131</w:t>
            </w:r>
          </w:p>
        </w:tc>
        <w:tc>
          <w:tcPr>
            <w:tcW w:w="0" w:type="dxa"/>
            <w:vAlign w:val="bottom"/>
          </w:tcPr>
          <w:p>
            <w:pPr>
              <w:spacing w:after="0"/>
              <w:rPr>
                <w:sz w:val="1"/>
                <w:szCs w:val="1"/>
                <w:color w:val="auto"/>
              </w:rPr>
            </w:pPr>
          </w:p>
        </w:tc>
      </w:tr>
      <w:tr>
        <w:trPr>
          <w:trHeight w:val="190"/>
        </w:trPr>
        <w:tc>
          <w:tcPr>
            <w:tcW w:w="30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9"/>
                <w:szCs w:val="19"/>
                <w:i w:val="1"/>
                <w:iCs w:val="1"/>
                <w:color w:val="auto"/>
              </w:rPr>
              <w:t>Former Chief Executive Officer</w:t>
            </w:r>
          </w:p>
        </w:tc>
        <w:tc>
          <w:tcPr>
            <w:tcW w:w="1520" w:type="dxa"/>
            <w:vAlign w:val="bottom"/>
            <w:tcBorders>
              <w:right w:val="single" w:sz="8" w:color="auto"/>
            </w:tcBorders>
            <w:vMerge w:val="continue"/>
          </w:tcPr>
          <w:p>
            <w:pPr>
              <w:spacing w:after="0"/>
              <w:rPr>
                <w:sz w:val="16"/>
                <w:szCs w:val="16"/>
                <w:color w:val="auto"/>
              </w:rPr>
            </w:pPr>
          </w:p>
        </w:tc>
        <w:tc>
          <w:tcPr>
            <w:tcW w:w="308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060" w:type="dxa"/>
            <w:vAlign w:val="bottom"/>
            <w:tcBorders>
              <w:left w:val="single" w:sz="8" w:color="auto"/>
              <w:right w:val="single" w:sz="8" w:color="auto"/>
            </w:tcBorders>
            <w:gridSpan w:val="2"/>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308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Rajat Marwah</w:t>
            </w:r>
          </w:p>
        </w:tc>
        <w:tc>
          <w:tcPr>
            <w:tcW w:w="152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1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60" w:type="dxa"/>
            <w:vAlign w:val="bottom"/>
            <w:tcBorders>
              <w:left w:val="single" w:sz="8" w:color="auto"/>
              <w:right w:val="single" w:sz="8" w:color="auto"/>
            </w:tcBorders>
            <w:gridSpan w:val="2"/>
          </w:tcPr>
          <w:p>
            <w:pPr>
              <w:ind w:left="160"/>
              <w:spacing w:after="0" w:line="210" w:lineRule="exact"/>
              <w:rPr>
                <w:sz w:val="20"/>
                <w:szCs w:val="20"/>
                <w:color w:val="auto"/>
              </w:rPr>
            </w:pPr>
            <w:r>
              <w:rPr>
                <w:rFonts w:ascii="Arial" w:cs="Arial" w:eastAsia="Arial" w:hAnsi="Arial"/>
                <w:sz w:val="19"/>
                <w:szCs w:val="19"/>
                <w:i w:val="1"/>
                <w:iCs w:val="1"/>
                <w:color w:val="auto"/>
              </w:rPr>
              <w:t>Chief Executive Officer / Former</w:t>
            </w:r>
          </w:p>
        </w:tc>
        <w:tc>
          <w:tcPr>
            <w:tcW w:w="152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w w:val="99"/>
              </w:rPr>
              <w:t>80%</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$435,010</w:t>
            </w:r>
          </w:p>
        </w:tc>
        <w:tc>
          <w:tcPr>
            <w:tcW w:w="1520" w:type="dxa"/>
            <w:vAlign w:val="bottom"/>
            <w:tcBorders>
              <w:right w:val="single" w:sz="8" w:color="auto"/>
            </w:tcBorders>
            <w:vMerge w:val="restart"/>
          </w:tcPr>
          <w:p>
            <w:pPr>
              <w:jc w:val="center"/>
              <w:ind w:left="26"/>
              <w:spacing w:after="0"/>
              <w:rPr>
                <w:sz w:val="20"/>
                <w:szCs w:val="20"/>
                <w:color w:val="auto"/>
              </w:rPr>
            </w:pPr>
            <w:r>
              <w:rPr>
                <w:rFonts w:ascii="Arial" w:cs="Arial" w:eastAsia="Arial" w:hAnsi="Arial"/>
                <w:sz w:val="19"/>
                <w:szCs w:val="19"/>
                <w:color w:val="auto"/>
                <w:w w:val="91"/>
              </w:rPr>
              <w:t>31%</w:t>
            </w:r>
            <w:r>
              <w:rPr>
                <w:rFonts w:ascii="Arial" w:cs="Arial" w:eastAsia="Arial" w:hAnsi="Arial"/>
                <w:sz w:val="28"/>
                <w:szCs w:val="28"/>
                <w:color w:val="auto"/>
                <w:w w:val="91"/>
                <w:vertAlign w:val="superscript"/>
              </w:rPr>
              <w:t>(1)</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$133,914</w:t>
            </w:r>
          </w:p>
        </w:tc>
        <w:tc>
          <w:tcPr>
            <w:tcW w:w="0" w:type="dxa"/>
            <w:vAlign w:val="bottom"/>
          </w:tcPr>
          <w:p>
            <w:pPr>
              <w:spacing w:after="0"/>
              <w:rPr>
                <w:sz w:val="1"/>
                <w:szCs w:val="1"/>
                <w:color w:val="auto"/>
              </w:rPr>
            </w:pPr>
          </w:p>
        </w:tc>
      </w:tr>
      <w:tr>
        <w:trPr>
          <w:trHeight w:val="210"/>
        </w:trPr>
        <w:tc>
          <w:tcPr>
            <w:tcW w:w="3060" w:type="dxa"/>
            <w:vAlign w:val="bottom"/>
            <w:tcBorders>
              <w:left w:val="single" w:sz="8" w:color="auto"/>
              <w:right w:val="single" w:sz="8" w:color="auto"/>
            </w:tcBorders>
            <w:gridSpan w:val="2"/>
          </w:tcPr>
          <w:p>
            <w:pPr>
              <w:ind w:left="160"/>
              <w:spacing w:after="0" w:line="210" w:lineRule="exact"/>
              <w:rPr>
                <w:sz w:val="20"/>
                <w:szCs w:val="20"/>
                <w:color w:val="auto"/>
              </w:rPr>
            </w:pPr>
            <w:r>
              <w:rPr>
                <w:rFonts w:ascii="Arial" w:cs="Arial" w:eastAsia="Arial" w:hAnsi="Arial"/>
                <w:sz w:val="19"/>
                <w:szCs w:val="19"/>
                <w:i w:val="1"/>
                <w:iCs w:val="1"/>
                <w:color w:val="auto"/>
              </w:rPr>
              <w:t>President and Chief Financial</w:t>
            </w:r>
          </w:p>
        </w:tc>
        <w:tc>
          <w:tcPr>
            <w:tcW w:w="1520" w:type="dxa"/>
            <w:vAlign w:val="bottom"/>
            <w:tcBorders>
              <w:right w:val="single" w:sz="8" w:color="auto"/>
            </w:tcBorders>
            <w:vMerge w:val="continue"/>
          </w:tcPr>
          <w:p>
            <w:pPr>
              <w:spacing w:after="0"/>
              <w:rPr>
                <w:sz w:val="18"/>
                <w:szCs w:val="18"/>
                <w:color w:val="auto"/>
              </w:rPr>
            </w:pPr>
          </w:p>
        </w:tc>
        <w:tc>
          <w:tcPr>
            <w:tcW w:w="308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0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i w:val="1"/>
                <w:iCs w:val="1"/>
                <w:color w:val="auto"/>
              </w:rPr>
              <w:t>Officer</w:t>
            </w:r>
          </w:p>
        </w:tc>
        <w:tc>
          <w:tcPr>
            <w:tcW w:w="152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John Naccarato</w:t>
            </w:r>
          </w:p>
        </w:tc>
        <w:tc>
          <w:tcPr>
            <w:tcW w:w="152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w w:val="99"/>
              </w:rPr>
              <w:t>80%</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$403,920</w:t>
            </w:r>
          </w:p>
        </w:tc>
        <w:tc>
          <w:tcPr>
            <w:tcW w:w="1520" w:type="dxa"/>
            <w:vAlign w:val="bottom"/>
            <w:tcBorders>
              <w:right w:val="single" w:sz="8" w:color="auto"/>
            </w:tcBorders>
            <w:vMerge w:val="restart"/>
          </w:tcPr>
          <w:p>
            <w:pPr>
              <w:jc w:val="center"/>
              <w:ind w:left="26"/>
              <w:spacing w:after="0"/>
              <w:rPr>
                <w:sz w:val="20"/>
                <w:szCs w:val="20"/>
                <w:color w:val="auto"/>
              </w:rPr>
            </w:pPr>
            <w:r>
              <w:rPr>
                <w:rFonts w:ascii="Arial" w:cs="Arial" w:eastAsia="Arial" w:hAnsi="Arial"/>
                <w:sz w:val="19"/>
                <w:szCs w:val="19"/>
                <w:color w:val="auto"/>
                <w:w w:val="91"/>
              </w:rPr>
              <w:t>31%</w:t>
            </w:r>
            <w:r>
              <w:rPr>
                <w:rFonts w:ascii="Arial" w:cs="Arial" w:eastAsia="Arial" w:hAnsi="Arial"/>
                <w:sz w:val="28"/>
                <w:szCs w:val="28"/>
                <w:color w:val="auto"/>
                <w:w w:val="91"/>
                <w:vertAlign w:val="superscript"/>
              </w:rPr>
              <w:t>(3)</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$124,344</w:t>
            </w:r>
          </w:p>
        </w:tc>
        <w:tc>
          <w:tcPr>
            <w:tcW w:w="0" w:type="dxa"/>
            <w:vAlign w:val="bottom"/>
          </w:tcPr>
          <w:p>
            <w:pPr>
              <w:spacing w:after="0"/>
              <w:rPr>
                <w:sz w:val="1"/>
                <w:szCs w:val="1"/>
                <w:color w:val="auto"/>
              </w:rPr>
            </w:pPr>
          </w:p>
        </w:tc>
      </w:tr>
      <w:tr>
        <w:trPr>
          <w:trHeight w:val="210"/>
        </w:trPr>
        <w:tc>
          <w:tcPr>
            <w:tcW w:w="3060" w:type="dxa"/>
            <w:vAlign w:val="bottom"/>
            <w:tcBorders>
              <w:left w:val="single" w:sz="8" w:color="auto"/>
              <w:right w:val="single" w:sz="8" w:color="auto"/>
            </w:tcBorders>
            <w:gridSpan w:val="2"/>
          </w:tcPr>
          <w:p>
            <w:pPr>
              <w:ind w:left="160"/>
              <w:spacing w:after="0" w:line="210" w:lineRule="exact"/>
              <w:rPr>
                <w:sz w:val="20"/>
                <w:szCs w:val="20"/>
                <w:color w:val="auto"/>
              </w:rPr>
            </w:pPr>
            <w:r>
              <w:rPr>
                <w:rFonts w:ascii="Arial" w:cs="Arial" w:eastAsia="Arial" w:hAnsi="Arial"/>
                <w:sz w:val="19"/>
                <w:szCs w:val="19"/>
                <w:i w:val="1"/>
                <w:iCs w:val="1"/>
                <w:color w:val="auto"/>
              </w:rPr>
              <w:t>Vice President – Strategy and</w:t>
            </w:r>
          </w:p>
        </w:tc>
        <w:tc>
          <w:tcPr>
            <w:tcW w:w="1520" w:type="dxa"/>
            <w:vAlign w:val="bottom"/>
            <w:tcBorders>
              <w:right w:val="single" w:sz="8" w:color="auto"/>
            </w:tcBorders>
            <w:vMerge w:val="continue"/>
          </w:tcPr>
          <w:p>
            <w:pPr>
              <w:spacing w:after="0"/>
              <w:rPr>
                <w:sz w:val="18"/>
                <w:szCs w:val="18"/>
                <w:color w:val="auto"/>
              </w:rPr>
            </w:pPr>
          </w:p>
        </w:tc>
        <w:tc>
          <w:tcPr>
            <w:tcW w:w="308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0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i w:val="1"/>
                <w:iCs w:val="1"/>
                <w:color w:val="auto"/>
              </w:rPr>
              <w:t>Chief Legal Officer</w:t>
            </w:r>
          </w:p>
        </w:tc>
        <w:tc>
          <w:tcPr>
            <w:tcW w:w="152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Mark Nogalo</w:t>
            </w:r>
          </w:p>
        </w:tc>
        <w:tc>
          <w:tcPr>
            <w:tcW w:w="152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w w:val="99"/>
              </w:rPr>
              <w:t>80%</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$340,000</w:t>
            </w:r>
          </w:p>
        </w:tc>
        <w:tc>
          <w:tcPr>
            <w:tcW w:w="1520" w:type="dxa"/>
            <w:vAlign w:val="bottom"/>
            <w:tcBorders>
              <w:right w:val="single" w:sz="8" w:color="auto"/>
            </w:tcBorders>
            <w:vMerge w:val="restart"/>
          </w:tcPr>
          <w:p>
            <w:pPr>
              <w:jc w:val="center"/>
              <w:ind w:left="26"/>
              <w:spacing w:after="0"/>
              <w:rPr>
                <w:sz w:val="20"/>
                <w:szCs w:val="20"/>
                <w:color w:val="auto"/>
              </w:rPr>
            </w:pPr>
            <w:r>
              <w:rPr>
                <w:rFonts w:ascii="Arial" w:cs="Arial" w:eastAsia="Arial" w:hAnsi="Arial"/>
                <w:sz w:val="19"/>
                <w:szCs w:val="19"/>
                <w:color w:val="auto"/>
                <w:w w:val="91"/>
              </w:rPr>
              <w:t>31%</w:t>
            </w:r>
            <w:r>
              <w:rPr>
                <w:rFonts w:ascii="Arial" w:cs="Arial" w:eastAsia="Arial" w:hAnsi="Arial"/>
                <w:sz w:val="28"/>
                <w:szCs w:val="28"/>
                <w:color w:val="auto"/>
                <w:w w:val="91"/>
                <w:vertAlign w:val="superscript"/>
              </w:rPr>
              <w:t>(3)</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$104,666</w:t>
            </w:r>
          </w:p>
        </w:tc>
        <w:tc>
          <w:tcPr>
            <w:tcW w:w="0" w:type="dxa"/>
            <w:vAlign w:val="bottom"/>
          </w:tcPr>
          <w:p>
            <w:pPr>
              <w:spacing w:after="0"/>
              <w:rPr>
                <w:sz w:val="1"/>
                <w:szCs w:val="1"/>
                <w:color w:val="auto"/>
              </w:rPr>
            </w:pPr>
          </w:p>
        </w:tc>
      </w:tr>
      <w:tr>
        <w:trPr>
          <w:trHeight w:val="210"/>
        </w:trPr>
        <w:tc>
          <w:tcPr>
            <w:tcW w:w="3060" w:type="dxa"/>
            <w:vAlign w:val="bottom"/>
            <w:tcBorders>
              <w:left w:val="single" w:sz="8" w:color="auto"/>
              <w:right w:val="single" w:sz="8" w:color="auto"/>
            </w:tcBorders>
            <w:gridSpan w:val="2"/>
          </w:tcPr>
          <w:p>
            <w:pPr>
              <w:ind w:left="160"/>
              <w:spacing w:after="0" w:line="210" w:lineRule="exact"/>
              <w:rPr>
                <w:sz w:val="20"/>
                <w:szCs w:val="20"/>
                <w:color w:val="auto"/>
              </w:rPr>
            </w:pPr>
            <w:r>
              <w:rPr>
                <w:rFonts w:ascii="Arial" w:cs="Arial" w:eastAsia="Arial" w:hAnsi="Arial"/>
                <w:sz w:val="19"/>
                <w:szCs w:val="19"/>
                <w:i w:val="1"/>
                <w:iCs w:val="1"/>
                <w:color w:val="auto"/>
              </w:rPr>
              <w:t>Former Vice President – Strategic</w:t>
            </w:r>
          </w:p>
        </w:tc>
        <w:tc>
          <w:tcPr>
            <w:tcW w:w="1520" w:type="dxa"/>
            <w:vAlign w:val="bottom"/>
            <w:tcBorders>
              <w:right w:val="single" w:sz="8" w:color="auto"/>
            </w:tcBorders>
            <w:vMerge w:val="continue"/>
          </w:tcPr>
          <w:p>
            <w:pPr>
              <w:spacing w:after="0"/>
              <w:rPr>
                <w:sz w:val="18"/>
                <w:szCs w:val="18"/>
                <w:color w:val="auto"/>
              </w:rPr>
            </w:pPr>
          </w:p>
        </w:tc>
        <w:tc>
          <w:tcPr>
            <w:tcW w:w="308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15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0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i w:val="1"/>
                <w:iCs w:val="1"/>
                <w:color w:val="auto"/>
              </w:rPr>
              <w:t>Transformation</w:t>
            </w:r>
          </w:p>
        </w:tc>
        <w:tc>
          <w:tcPr>
            <w:tcW w:w="152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Michael Panzeri</w:t>
            </w:r>
          </w:p>
        </w:tc>
        <w:tc>
          <w:tcPr>
            <w:tcW w:w="1520" w:type="dxa"/>
            <w:vAlign w:val="bottom"/>
            <w:tcBorders>
              <w:right w:val="single" w:sz="8" w:color="auto"/>
            </w:tcBorders>
            <w:vMerge w:val="restart"/>
          </w:tcPr>
          <w:p>
            <w:pPr>
              <w:jc w:val="center"/>
              <w:ind w:left="4"/>
              <w:spacing w:after="0"/>
              <w:rPr>
                <w:sz w:val="20"/>
                <w:szCs w:val="20"/>
                <w:color w:val="auto"/>
              </w:rPr>
            </w:pPr>
            <w:r>
              <w:rPr>
                <w:rFonts w:ascii="Arial" w:cs="Arial" w:eastAsia="Arial" w:hAnsi="Arial"/>
                <w:sz w:val="19"/>
                <w:szCs w:val="19"/>
                <w:color w:val="auto"/>
                <w:w w:val="99"/>
              </w:rPr>
              <w:t>80%</w:t>
            </w:r>
          </w:p>
        </w:tc>
        <w:tc>
          <w:tcPr>
            <w:tcW w:w="3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$477,360</w:t>
            </w:r>
          </w:p>
        </w:tc>
        <w:tc>
          <w:tcPr>
            <w:tcW w:w="1520" w:type="dxa"/>
            <w:vAlign w:val="bottom"/>
            <w:tcBorders>
              <w:right w:val="single" w:sz="8" w:color="auto"/>
            </w:tcBorders>
            <w:vMerge w:val="restart"/>
          </w:tcPr>
          <w:p>
            <w:pPr>
              <w:jc w:val="center"/>
              <w:ind w:left="26"/>
              <w:spacing w:after="0"/>
              <w:rPr>
                <w:sz w:val="20"/>
                <w:szCs w:val="20"/>
                <w:color w:val="auto"/>
              </w:rPr>
            </w:pPr>
            <w:r>
              <w:rPr>
                <w:rFonts w:ascii="Arial" w:cs="Arial" w:eastAsia="Arial" w:hAnsi="Arial"/>
                <w:sz w:val="19"/>
                <w:szCs w:val="19"/>
                <w:color w:val="auto"/>
                <w:w w:val="91"/>
              </w:rPr>
              <w:t>31%</w:t>
            </w:r>
            <w:r>
              <w:rPr>
                <w:rFonts w:ascii="Arial" w:cs="Arial" w:eastAsia="Arial" w:hAnsi="Arial"/>
                <w:sz w:val="28"/>
                <w:szCs w:val="28"/>
                <w:color w:val="auto"/>
                <w:w w:val="91"/>
                <w:vertAlign w:val="superscript"/>
              </w:rPr>
              <w:t>(3)</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$146,952</w:t>
            </w:r>
          </w:p>
        </w:tc>
        <w:tc>
          <w:tcPr>
            <w:tcW w:w="0" w:type="dxa"/>
            <w:vAlign w:val="bottom"/>
          </w:tcPr>
          <w:p>
            <w:pPr>
              <w:spacing w:after="0"/>
              <w:rPr>
                <w:sz w:val="1"/>
                <w:szCs w:val="1"/>
                <w:color w:val="auto"/>
              </w:rPr>
            </w:pPr>
          </w:p>
        </w:tc>
      </w:tr>
      <w:tr>
        <w:trPr>
          <w:trHeight w:val="190"/>
        </w:trPr>
        <w:tc>
          <w:tcPr>
            <w:tcW w:w="30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9"/>
                <w:szCs w:val="19"/>
                <w:i w:val="1"/>
                <w:iCs w:val="1"/>
                <w:color w:val="auto"/>
              </w:rPr>
              <w:t>Senior Vice President, Production</w:t>
            </w:r>
          </w:p>
        </w:tc>
        <w:tc>
          <w:tcPr>
            <w:tcW w:w="1520" w:type="dxa"/>
            <w:vAlign w:val="bottom"/>
            <w:tcBorders>
              <w:right w:val="single" w:sz="8" w:color="auto"/>
            </w:tcBorders>
            <w:vMerge w:val="continue"/>
          </w:tcPr>
          <w:p>
            <w:pPr>
              <w:spacing w:after="0"/>
              <w:rPr>
                <w:sz w:val="16"/>
                <w:szCs w:val="16"/>
                <w:color w:val="auto"/>
              </w:rPr>
            </w:pPr>
          </w:p>
        </w:tc>
        <w:tc>
          <w:tcPr>
            <w:tcW w:w="308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15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060" w:type="dxa"/>
            <w:vAlign w:val="bottom"/>
            <w:tcBorders>
              <w:left w:val="single" w:sz="8" w:color="auto"/>
              <w:right w:val="single" w:sz="8" w:color="auto"/>
            </w:tcBorders>
            <w:gridSpan w:val="2"/>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308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92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92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ind w:left="520" w:right="20" w:hanging="415"/>
        <w:spacing w:after="0" w:line="268" w:lineRule="auto"/>
        <w:tabs>
          <w:tab w:leader="none" w:pos="520" w:val="left"/>
        </w:tabs>
        <w:numPr>
          <w:ilvl w:val="0"/>
          <w:numId w:val="27"/>
        </w:numPr>
        <w:rPr>
          <w:rFonts w:ascii="Arial" w:cs="Arial" w:eastAsia="Arial" w:hAnsi="Arial"/>
          <w:sz w:val="16"/>
          <w:szCs w:val="16"/>
          <w:i w:val="1"/>
          <w:iCs w:val="1"/>
          <w:color w:val="003445"/>
        </w:rPr>
      </w:pPr>
      <w:r>
        <w:rPr>
          <w:rFonts w:ascii="Arial" w:cs="Arial" w:eastAsia="Arial" w:hAnsi="Arial"/>
          <w:sz w:val="16"/>
          <w:szCs w:val="16"/>
          <w:i w:val="1"/>
          <w:iCs w:val="1"/>
          <w:color w:val="003445"/>
        </w:rPr>
        <w:t>Converted from U.S. dollars to Canadian dollars using the Bank of Canada average exchange rate for the period January 1, 2025 to December 31, 2025 being US$1 to C$1.3978.</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0700"/>
          </w:cols>
          <w:pgMar w:left="600" w:top="455" w:right="599" w:bottom="1440" w:gutter="0" w:footer="0" w:header="0"/>
        </w:sectPr>
      </w:pPr>
    </w:p>
    <w:bookmarkStart w:id="58" w:name="page59"/>
    <w:bookmarkEnd w:id="58"/>
    <w:p>
      <w:pPr>
        <w:ind w:left="520" w:hanging="415"/>
        <w:spacing w:after="0" w:line="248" w:lineRule="auto"/>
        <w:tabs>
          <w:tab w:leader="none" w:pos="520" w:val="left"/>
        </w:tabs>
        <w:numPr>
          <w:ilvl w:val="0"/>
          <w:numId w:val="28"/>
        </w:numPr>
        <w:rPr>
          <w:rFonts w:ascii="Arial" w:cs="Arial" w:eastAsia="Arial" w:hAnsi="Arial"/>
          <w:sz w:val="16"/>
          <w:szCs w:val="16"/>
          <w:i w:val="1"/>
          <w:iCs w:val="1"/>
          <w:color w:val="003445"/>
        </w:rPr>
      </w:pPr>
      <w:r>
        <w:rPr>
          <w:rFonts w:ascii="Arial" w:cs="Arial" w:eastAsia="Arial" w:hAnsi="Arial"/>
          <w:sz w:val="16"/>
          <w:szCs w:val="16"/>
          <w:i w:val="1"/>
          <w:i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Calculated pro rata at 3/12 x 20% for the three-month period January 1, 2025 to March 31, 2025, plus 9/12 x 0.0% for the nine-month period April 1, 2025 to December 31, 2025. Refer to “Contractual obligation arising from Mr. Garcia’s retirement.” for further details.</w:t>
      </w:r>
    </w:p>
    <w:p>
      <w:pPr>
        <w:ind w:left="520" w:hanging="415"/>
        <w:spacing w:after="0" w:line="249" w:lineRule="auto"/>
        <w:tabs>
          <w:tab w:leader="none" w:pos="520" w:val="left"/>
        </w:tabs>
        <w:numPr>
          <w:ilvl w:val="0"/>
          <w:numId w:val="28"/>
        </w:numPr>
        <w:rPr>
          <w:rFonts w:ascii="Arial" w:cs="Arial" w:eastAsia="Arial" w:hAnsi="Arial"/>
          <w:sz w:val="16"/>
          <w:szCs w:val="16"/>
          <w:i w:val="1"/>
          <w:iCs w:val="1"/>
          <w:color w:val="003445"/>
        </w:rPr>
      </w:pPr>
      <w:r>
        <w:rPr>
          <w:rFonts w:ascii="Arial" w:cs="Arial" w:eastAsia="Arial" w:hAnsi="Arial"/>
          <w:sz w:val="16"/>
          <w:szCs w:val="16"/>
          <w:i w:val="1"/>
          <w:iCs w:val="1"/>
          <w:color w:val="003445"/>
        </w:rPr>
        <w:t>Calculated pro rata at 3/12 x 20%, for the three-month period January 1, 2025 to March 31, 2025, plus 9/12 x 34.4% for the nine-month period April 1, 2025 to December 31, 2025.</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158750</wp:posOffset>
            </wp:positionV>
            <wp:extent cx="1729740" cy="21374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29740" cy="213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27" w:lineRule="auto"/>
        <w:rPr>
          <w:sz w:val="20"/>
          <w:szCs w:val="20"/>
          <w:color w:val="auto"/>
        </w:rPr>
      </w:pPr>
      <w:r>
        <w:rPr>
          <w:rFonts w:ascii="Arial" w:cs="Arial" w:eastAsia="Arial" w:hAnsi="Arial"/>
          <w:sz w:val="19"/>
          <w:szCs w:val="19"/>
          <w:color w:val="auto"/>
        </w:rPr>
        <w:t>In Fiscal 2025, long-term incentives were granted to NEOs in the form of RSUs with 3-year vesting (40% of mix) and PSUs with a 3-year performance period (60% of mix). The maximum number of Shares which may become issuable upon achieving maximum performance on the PSUs (above 75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percentile performance relative to the “TSR Performance Group”, being a 10-company peer group of North American companies with strong share price correlation to the Company and similar business profiles, referenced below) is 200% of the target PSUs originally granted. No Shares are issuable unless the threshold achievement of the 25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percentile is achieved.</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color w:val="auto"/>
        </w:rPr>
        <w:t>The three-year performance period for the PSUs granted in March 2025 starts January 1, 2025 and ends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157480</wp:posOffset>
            </wp:positionV>
            <wp:extent cx="5264785" cy="16465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64785" cy="164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connection with the grants of equity-based awards, the HRCC determines the grant size and terms to be recommended to the Board based on a variety of input factors, such as market data provided by Meridian.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0680"/>
          </w:cols>
          <w:pgMar w:left="600" w:top="271" w:right="619" w:bottom="1440" w:gutter="0" w:footer="0" w:header="0"/>
        </w:sectPr>
      </w:pPr>
    </w:p>
    <w:bookmarkStart w:id="59" w:name="page60"/>
    <w:bookmarkEnd w:id="59"/>
    <w:p>
      <w:pPr>
        <w:jc w:val="both"/>
        <w:ind w:right="20"/>
        <w:spacing w:after="0" w:line="24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total equity-based awards granted to each NEO in Fiscal 2025 under the Omnibus Incentive Plan is as follows. Upon Mr. Garcia’s retirement and as part of his retirement agreement with Algoma, all unvested equity awards were forfeited (including the 237,886 PSUs and 158,591 RSUs below).</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4660" w:type="dxa"/>
            <w:vAlign w:val="bottom"/>
            <w:tcBorders>
              <w:top w:val="single" w:sz="8" w:color="auto"/>
              <w:left w:val="single" w:sz="8" w:color="auto"/>
              <w:right w:val="single" w:sz="8" w:color="auto"/>
            </w:tcBorders>
            <w:gridSpan w:val="2"/>
            <w:shd w:val="clear" w:color="auto" w:fill="003445"/>
          </w:tcPr>
          <w:p>
            <w:pPr>
              <w:ind w:left="1220"/>
              <w:spacing w:after="0"/>
              <w:rPr>
                <w:sz w:val="20"/>
                <w:szCs w:val="20"/>
                <w:color w:val="auto"/>
              </w:rPr>
            </w:pPr>
            <w:r>
              <w:rPr>
                <w:rFonts w:ascii="Arial" w:cs="Arial" w:eastAsia="Arial" w:hAnsi="Arial"/>
                <w:sz w:val="17"/>
                <w:szCs w:val="17"/>
                <w:b w:val="1"/>
                <w:bCs w:val="1"/>
                <w:color w:val="FFFFFF"/>
              </w:rPr>
              <w:t>Name and Principal Position</w:t>
            </w:r>
          </w:p>
        </w:tc>
        <w:tc>
          <w:tcPr>
            <w:tcW w:w="1500" w:type="dxa"/>
            <w:vAlign w:val="bottom"/>
            <w:tcBorders>
              <w:top w:val="single" w:sz="8" w:color="auto"/>
              <w:right w:val="single" w:sz="8" w:color="auto"/>
            </w:tcBorders>
            <w:shd w:val="clear" w:color="auto" w:fill="003445"/>
          </w:tcPr>
          <w:p>
            <w:pPr>
              <w:ind w:left="480"/>
              <w:spacing w:after="0" w:line="203" w:lineRule="exact"/>
              <w:rPr>
                <w:sz w:val="20"/>
                <w:szCs w:val="20"/>
                <w:color w:val="auto"/>
              </w:rPr>
            </w:pPr>
            <w:r>
              <w:rPr>
                <w:rFonts w:ascii="Arial" w:cs="Arial" w:eastAsia="Arial" w:hAnsi="Arial"/>
                <w:sz w:val="16"/>
                <w:szCs w:val="16"/>
                <w:b w:val="1"/>
                <w:bCs w:val="1"/>
                <w:color w:val="FFFFFF"/>
              </w:rPr>
              <w:t>PSUs</w:t>
            </w:r>
            <w:r>
              <w:rPr>
                <w:rFonts w:ascii="Arial" w:cs="Arial" w:eastAsia="Arial" w:hAnsi="Arial"/>
                <w:sz w:val="23"/>
                <w:szCs w:val="23"/>
                <w:b w:val="1"/>
                <w:bCs w:val="1"/>
                <w:color w:val="FFFFFF"/>
                <w:vertAlign w:val="superscript"/>
              </w:rPr>
              <w:t>(1)</w:t>
            </w:r>
          </w:p>
        </w:tc>
        <w:tc>
          <w:tcPr>
            <w:tcW w:w="1520" w:type="dxa"/>
            <w:vAlign w:val="bottom"/>
            <w:tcBorders>
              <w:top w:val="single" w:sz="8" w:color="auto"/>
              <w:right w:val="single" w:sz="8" w:color="auto"/>
            </w:tcBorders>
            <w:shd w:val="clear" w:color="auto" w:fill="003445"/>
          </w:tcPr>
          <w:p>
            <w:pPr>
              <w:jc w:val="center"/>
              <w:ind w:left="6"/>
              <w:spacing w:after="0"/>
              <w:rPr>
                <w:sz w:val="20"/>
                <w:szCs w:val="20"/>
                <w:color w:val="auto"/>
              </w:rPr>
            </w:pPr>
            <w:r>
              <w:rPr>
                <w:rFonts w:ascii="Arial" w:cs="Arial" w:eastAsia="Arial" w:hAnsi="Arial"/>
                <w:sz w:val="17"/>
                <w:szCs w:val="17"/>
                <w:b w:val="1"/>
                <w:bCs w:val="1"/>
                <w:color w:val="FFFFFF"/>
                <w:w w:val="99"/>
              </w:rPr>
              <w:t>Value of</w:t>
            </w:r>
          </w:p>
        </w:tc>
        <w:tc>
          <w:tcPr>
            <w:tcW w:w="1500" w:type="dxa"/>
            <w:vAlign w:val="bottom"/>
            <w:tcBorders>
              <w:top w:val="single" w:sz="8" w:color="auto"/>
              <w:right w:val="single" w:sz="8" w:color="auto"/>
            </w:tcBorders>
            <w:shd w:val="clear" w:color="auto" w:fill="003445"/>
          </w:tcPr>
          <w:p>
            <w:pPr>
              <w:ind w:left="480"/>
              <w:spacing w:after="0" w:line="203" w:lineRule="exact"/>
              <w:rPr>
                <w:sz w:val="20"/>
                <w:szCs w:val="20"/>
                <w:color w:val="auto"/>
              </w:rPr>
            </w:pPr>
            <w:r>
              <w:rPr>
                <w:rFonts w:ascii="Arial" w:cs="Arial" w:eastAsia="Arial" w:hAnsi="Arial"/>
                <w:sz w:val="16"/>
                <w:szCs w:val="16"/>
                <w:b w:val="1"/>
                <w:bCs w:val="1"/>
                <w:color w:val="FFFFFF"/>
              </w:rPr>
              <w:t>RSUs</w:t>
            </w:r>
            <w:r>
              <w:rPr>
                <w:rFonts w:ascii="Arial" w:cs="Arial" w:eastAsia="Arial" w:hAnsi="Arial"/>
                <w:sz w:val="23"/>
                <w:szCs w:val="23"/>
                <w:b w:val="1"/>
                <w:bCs w:val="1"/>
                <w:color w:val="FFFFFF"/>
                <w:vertAlign w:val="superscript"/>
              </w:rPr>
              <w:t>(1)</w:t>
            </w:r>
          </w:p>
        </w:tc>
        <w:tc>
          <w:tcPr>
            <w:tcW w:w="1520" w:type="dxa"/>
            <w:vAlign w:val="bottom"/>
            <w:tcBorders>
              <w:top w:val="single" w:sz="8" w:color="auto"/>
              <w:right w:val="single" w:sz="8" w:color="auto"/>
            </w:tcBorders>
            <w:shd w:val="clear" w:color="auto" w:fill="003445"/>
          </w:tcPr>
          <w:p>
            <w:pPr>
              <w:ind w:left="460"/>
              <w:spacing w:after="0"/>
              <w:rPr>
                <w:sz w:val="20"/>
                <w:szCs w:val="20"/>
                <w:color w:val="auto"/>
              </w:rPr>
            </w:pPr>
            <w:r>
              <w:rPr>
                <w:rFonts w:ascii="Arial" w:cs="Arial" w:eastAsia="Arial" w:hAnsi="Arial"/>
                <w:sz w:val="17"/>
                <w:szCs w:val="17"/>
                <w:b w:val="1"/>
                <w:bCs w:val="1"/>
                <w:color w:val="FFFFFF"/>
              </w:rPr>
              <w:t>Value of</w:t>
            </w:r>
          </w:p>
        </w:tc>
        <w:tc>
          <w:tcPr>
            <w:tcW w:w="0" w:type="dxa"/>
            <w:vAlign w:val="bottom"/>
          </w:tcPr>
          <w:p>
            <w:pPr>
              <w:spacing w:after="0"/>
              <w:rPr>
                <w:sz w:val="1"/>
                <w:szCs w:val="1"/>
                <w:color w:val="auto"/>
              </w:rPr>
            </w:pPr>
          </w:p>
        </w:tc>
      </w:tr>
      <w:tr>
        <w:trPr>
          <w:trHeight w:val="255"/>
        </w:trPr>
        <w:tc>
          <w:tcPr>
            <w:tcW w:w="1920" w:type="dxa"/>
            <w:vAlign w:val="bottom"/>
            <w:tcBorders>
              <w:left w:val="single" w:sz="8" w:color="auto"/>
              <w:bottom w:val="single" w:sz="8" w:color="auto"/>
            </w:tcBorders>
            <w:shd w:val="clear" w:color="auto" w:fill="003445"/>
          </w:tcPr>
          <w:p>
            <w:pPr>
              <w:spacing w:after="0"/>
              <w:rPr>
                <w:sz w:val="22"/>
                <w:szCs w:val="22"/>
                <w:color w:val="auto"/>
              </w:rPr>
            </w:pPr>
          </w:p>
        </w:tc>
        <w:tc>
          <w:tcPr>
            <w:tcW w:w="2740" w:type="dxa"/>
            <w:vAlign w:val="bottom"/>
            <w:tcBorders>
              <w:bottom w:val="single" w:sz="8" w:color="auto"/>
              <w:right w:val="single" w:sz="8" w:color="auto"/>
            </w:tcBorders>
            <w:shd w:val="clear" w:color="auto" w:fill="003445"/>
          </w:tcPr>
          <w:p>
            <w:pPr>
              <w:spacing w:after="0"/>
              <w:rPr>
                <w:sz w:val="22"/>
                <w:szCs w:val="22"/>
                <w:color w:val="auto"/>
              </w:rPr>
            </w:pPr>
          </w:p>
        </w:tc>
        <w:tc>
          <w:tcPr>
            <w:tcW w:w="1500" w:type="dxa"/>
            <w:vAlign w:val="bottom"/>
            <w:tcBorders>
              <w:bottom w:val="single" w:sz="8" w:color="auto"/>
              <w:right w:val="single" w:sz="8" w:color="auto"/>
            </w:tcBorders>
            <w:shd w:val="clear" w:color="auto" w:fill="003445"/>
          </w:tcPr>
          <w:p>
            <w:pPr>
              <w:spacing w:after="0"/>
              <w:rPr>
                <w:sz w:val="22"/>
                <w:szCs w:val="22"/>
                <w:color w:val="auto"/>
              </w:rPr>
            </w:pPr>
          </w:p>
        </w:tc>
        <w:tc>
          <w:tcPr>
            <w:tcW w:w="1520" w:type="dxa"/>
            <w:vAlign w:val="bottom"/>
            <w:tcBorders>
              <w:bottom w:val="single" w:sz="8" w:color="auto"/>
              <w:right w:val="single" w:sz="8" w:color="auto"/>
            </w:tcBorders>
            <w:shd w:val="clear" w:color="auto" w:fill="003445"/>
          </w:tcPr>
          <w:p>
            <w:pPr>
              <w:jc w:val="center"/>
              <w:ind w:left="6"/>
              <w:spacing w:after="0" w:line="255" w:lineRule="exact"/>
              <w:rPr>
                <w:sz w:val="20"/>
                <w:szCs w:val="20"/>
                <w:color w:val="auto"/>
              </w:rPr>
            </w:pPr>
            <w:r>
              <w:rPr>
                <w:rFonts w:ascii="Arial" w:cs="Arial" w:eastAsia="Arial" w:hAnsi="Arial"/>
                <w:sz w:val="17"/>
                <w:szCs w:val="17"/>
                <w:b w:val="1"/>
                <w:bCs w:val="1"/>
                <w:color w:val="FFFFFF"/>
                <w:w w:val="94"/>
              </w:rPr>
              <w:t>PSUs</w:t>
            </w:r>
            <w:r>
              <w:rPr>
                <w:rFonts w:ascii="Arial" w:cs="Arial" w:eastAsia="Arial" w:hAnsi="Arial"/>
                <w:sz w:val="26"/>
                <w:szCs w:val="26"/>
                <w:b w:val="1"/>
                <w:bCs w:val="1"/>
                <w:color w:val="FFFFFF"/>
                <w:w w:val="94"/>
                <w:vertAlign w:val="superscript"/>
              </w:rPr>
              <w:t>(2)</w:t>
            </w:r>
          </w:p>
        </w:tc>
        <w:tc>
          <w:tcPr>
            <w:tcW w:w="1500" w:type="dxa"/>
            <w:vAlign w:val="bottom"/>
            <w:tcBorders>
              <w:bottom w:val="single" w:sz="8" w:color="auto"/>
              <w:right w:val="single" w:sz="8" w:color="auto"/>
            </w:tcBorders>
            <w:shd w:val="clear" w:color="auto" w:fill="003445"/>
          </w:tcPr>
          <w:p>
            <w:pPr>
              <w:spacing w:after="0"/>
              <w:rPr>
                <w:sz w:val="22"/>
                <w:szCs w:val="22"/>
                <w:color w:val="auto"/>
              </w:rPr>
            </w:pPr>
          </w:p>
        </w:tc>
        <w:tc>
          <w:tcPr>
            <w:tcW w:w="1520" w:type="dxa"/>
            <w:vAlign w:val="bottom"/>
            <w:tcBorders>
              <w:bottom w:val="single" w:sz="8" w:color="auto"/>
              <w:right w:val="single" w:sz="8" w:color="auto"/>
            </w:tcBorders>
            <w:shd w:val="clear" w:color="auto" w:fill="003445"/>
          </w:tcPr>
          <w:p>
            <w:pPr>
              <w:ind w:left="480"/>
              <w:spacing w:after="0" w:line="255" w:lineRule="exact"/>
              <w:rPr>
                <w:sz w:val="20"/>
                <w:szCs w:val="20"/>
                <w:color w:val="auto"/>
              </w:rPr>
            </w:pPr>
            <w:r>
              <w:rPr>
                <w:rFonts w:ascii="Arial" w:cs="Arial" w:eastAsia="Arial" w:hAnsi="Arial"/>
                <w:sz w:val="17"/>
                <w:szCs w:val="17"/>
                <w:b w:val="1"/>
                <w:bCs w:val="1"/>
                <w:color w:val="FFFFFF"/>
              </w:rPr>
              <w:t>RSUs</w:t>
            </w:r>
            <w:r>
              <w:rPr>
                <w:rFonts w:ascii="Arial" w:cs="Arial" w:eastAsia="Arial" w:hAnsi="Arial"/>
                <w:sz w:val="26"/>
                <w:szCs w:val="26"/>
                <w:b w:val="1"/>
                <w:bCs w:val="1"/>
                <w:color w:val="FFFFFF"/>
                <w:vertAlign w:val="superscript"/>
              </w:rPr>
              <w:t>(2)</w:t>
            </w:r>
          </w:p>
        </w:tc>
        <w:tc>
          <w:tcPr>
            <w:tcW w:w="0" w:type="dxa"/>
            <w:vAlign w:val="bottom"/>
          </w:tcPr>
          <w:p>
            <w:pPr>
              <w:spacing w:after="0"/>
              <w:rPr>
                <w:sz w:val="1"/>
                <w:szCs w:val="1"/>
                <w:color w:val="auto"/>
              </w:rPr>
            </w:pPr>
          </w:p>
        </w:tc>
      </w:tr>
      <w:tr>
        <w:trPr>
          <w:trHeight w:val="204"/>
        </w:trPr>
        <w:tc>
          <w:tcPr>
            <w:tcW w:w="46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Michael Garcia</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237,886</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$2,155,247</w:t>
            </w:r>
          </w:p>
        </w:tc>
        <w:tc>
          <w:tcPr>
            <w:tcW w:w="15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9"/>
                <w:szCs w:val="19"/>
                <w:color w:val="auto"/>
                <w:w w:val="98"/>
              </w:rPr>
              <w:t>158,591</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$1,436,834</w:t>
            </w:r>
          </w:p>
        </w:tc>
        <w:tc>
          <w:tcPr>
            <w:tcW w:w="0" w:type="dxa"/>
            <w:vAlign w:val="bottom"/>
          </w:tcPr>
          <w:p>
            <w:pPr>
              <w:spacing w:after="0"/>
              <w:rPr>
                <w:sz w:val="1"/>
                <w:szCs w:val="1"/>
                <w:color w:val="auto"/>
              </w:rPr>
            </w:pPr>
          </w:p>
        </w:tc>
      </w:tr>
      <w:tr>
        <w:trPr>
          <w:trHeight w:val="140"/>
        </w:trPr>
        <w:tc>
          <w:tcPr>
            <w:tcW w:w="46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6"/>
                <w:szCs w:val="16"/>
                <w:i w:val="1"/>
                <w:iCs w:val="1"/>
                <w:color w:val="auto"/>
              </w:rPr>
              <w:t>Former Chief Executive Officer</w:t>
            </w:r>
          </w:p>
        </w:tc>
        <w:tc>
          <w:tcPr>
            <w:tcW w:w="15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4660" w:type="dxa"/>
            <w:vAlign w:val="bottom"/>
            <w:tcBorders>
              <w:left w:val="single" w:sz="8" w:color="auto"/>
              <w:bottom w:val="single" w:sz="8" w:color="auto"/>
              <w:right w:val="single" w:sz="8" w:color="auto"/>
            </w:tcBorders>
            <w:gridSpan w:val="2"/>
            <w:vMerge w:val="continue"/>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6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Rajat Marwah</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9"/>
              </w:rPr>
              <w:t>50,403</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$456,651</w:t>
            </w:r>
          </w:p>
        </w:tc>
        <w:tc>
          <w:tcPr>
            <w:tcW w:w="15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9"/>
                <w:szCs w:val="19"/>
                <w:color w:val="auto"/>
              </w:rPr>
              <w:t>33,602</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$304,434</w:t>
            </w:r>
          </w:p>
        </w:tc>
        <w:tc>
          <w:tcPr>
            <w:tcW w:w="0" w:type="dxa"/>
            <w:vAlign w:val="bottom"/>
          </w:tcPr>
          <w:p>
            <w:pPr>
              <w:spacing w:after="0"/>
              <w:rPr>
                <w:sz w:val="1"/>
                <w:szCs w:val="1"/>
                <w:color w:val="auto"/>
              </w:rPr>
            </w:pPr>
          </w:p>
        </w:tc>
      </w:tr>
      <w:tr>
        <w:trPr>
          <w:trHeight w:val="183"/>
        </w:trPr>
        <w:tc>
          <w:tcPr>
            <w:tcW w:w="46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i w:val="1"/>
                <w:iCs w:val="1"/>
                <w:color w:val="auto"/>
              </w:rPr>
              <w:t>Chief Executive Officer / Former President and Chief Financial</w:t>
            </w:r>
          </w:p>
        </w:tc>
        <w:tc>
          <w:tcPr>
            <w:tcW w:w="1500" w:type="dxa"/>
            <w:vAlign w:val="bottom"/>
            <w:tcBorders>
              <w:right w:val="single" w:sz="8" w:color="auto"/>
            </w:tcBorders>
            <w:vMerge w:val="continue"/>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15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6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6"/>
                <w:szCs w:val="16"/>
                <w:i w:val="1"/>
                <w:iCs w:val="1"/>
                <w:color w:val="auto"/>
              </w:rPr>
              <w:t>Officer</w:t>
            </w:r>
          </w:p>
        </w:tc>
        <w:tc>
          <w:tcPr>
            <w:tcW w:w="15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John Naccarato</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9"/>
              </w:rPr>
              <w:t>46,801</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$424,017</w:t>
            </w:r>
          </w:p>
        </w:tc>
        <w:tc>
          <w:tcPr>
            <w:tcW w:w="15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9"/>
                <w:szCs w:val="19"/>
                <w:color w:val="auto"/>
              </w:rPr>
              <w:t>31,201</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$282,681</w:t>
            </w:r>
          </w:p>
        </w:tc>
        <w:tc>
          <w:tcPr>
            <w:tcW w:w="0" w:type="dxa"/>
            <w:vAlign w:val="bottom"/>
          </w:tcPr>
          <w:p>
            <w:pPr>
              <w:spacing w:after="0"/>
              <w:rPr>
                <w:sz w:val="1"/>
                <w:szCs w:val="1"/>
                <w:color w:val="auto"/>
              </w:rPr>
            </w:pPr>
          </w:p>
        </w:tc>
      </w:tr>
      <w:tr>
        <w:trPr>
          <w:trHeight w:val="140"/>
        </w:trPr>
        <w:tc>
          <w:tcPr>
            <w:tcW w:w="46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6"/>
                <w:szCs w:val="16"/>
                <w:i w:val="1"/>
                <w:iCs w:val="1"/>
                <w:color w:val="auto"/>
              </w:rPr>
              <w:t>Vice President – Strategy and Chief Legal Officer</w:t>
            </w:r>
          </w:p>
        </w:tc>
        <w:tc>
          <w:tcPr>
            <w:tcW w:w="15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4660" w:type="dxa"/>
            <w:vAlign w:val="bottom"/>
            <w:tcBorders>
              <w:left w:val="single" w:sz="8" w:color="auto"/>
              <w:bottom w:val="single" w:sz="8" w:color="auto"/>
              <w:right w:val="single" w:sz="8" w:color="auto"/>
            </w:tcBorders>
            <w:gridSpan w:val="2"/>
            <w:vMerge w:val="continue"/>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6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Mark Nogalo</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9"/>
              </w:rPr>
              <w:t>19,697</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$178,455</w:t>
            </w:r>
          </w:p>
        </w:tc>
        <w:tc>
          <w:tcPr>
            <w:tcW w:w="15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9"/>
                <w:szCs w:val="19"/>
                <w:color w:val="auto"/>
              </w:rPr>
              <w:t>13,131</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$118,967</w:t>
            </w:r>
          </w:p>
        </w:tc>
        <w:tc>
          <w:tcPr>
            <w:tcW w:w="0" w:type="dxa"/>
            <w:vAlign w:val="bottom"/>
          </w:tcPr>
          <w:p>
            <w:pPr>
              <w:spacing w:after="0"/>
              <w:rPr>
                <w:sz w:val="1"/>
                <w:szCs w:val="1"/>
                <w:color w:val="auto"/>
              </w:rPr>
            </w:pPr>
          </w:p>
        </w:tc>
      </w:tr>
      <w:tr>
        <w:trPr>
          <w:trHeight w:val="140"/>
        </w:trPr>
        <w:tc>
          <w:tcPr>
            <w:tcW w:w="46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6"/>
                <w:szCs w:val="16"/>
                <w:i w:val="1"/>
                <w:iCs w:val="1"/>
                <w:color w:val="auto"/>
              </w:rPr>
              <w:t>Former Vice President – Strategic Transformation</w:t>
            </w:r>
          </w:p>
        </w:tc>
        <w:tc>
          <w:tcPr>
            <w:tcW w:w="15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4660" w:type="dxa"/>
            <w:vAlign w:val="bottom"/>
            <w:tcBorders>
              <w:left w:val="single" w:sz="8" w:color="auto"/>
              <w:bottom w:val="single" w:sz="8" w:color="auto"/>
              <w:right w:val="single" w:sz="8" w:color="auto"/>
            </w:tcBorders>
            <w:gridSpan w:val="2"/>
            <w:vMerge w:val="continue"/>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66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Michael Panzeri</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9"/>
              </w:rPr>
              <w:t>55,310</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$501,109</w:t>
            </w:r>
          </w:p>
        </w:tc>
        <w:tc>
          <w:tcPr>
            <w:tcW w:w="15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9"/>
                <w:szCs w:val="19"/>
                <w:color w:val="auto"/>
              </w:rPr>
              <w:t>36,873</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$334,069</w:t>
            </w:r>
          </w:p>
        </w:tc>
        <w:tc>
          <w:tcPr>
            <w:tcW w:w="0" w:type="dxa"/>
            <w:vAlign w:val="bottom"/>
          </w:tcPr>
          <w:p>
            <w:pPr>
              <w:spacing w:after="0"/>
              <w:rPr>
                <w:sz w:val="1"/>
                <w:szCs w:val="1"/>
                <w:color w:val="auto"/>
              </w:rPr>
            </w:pPr>
          </w:p>
        </w:tc>
      </w:tr>
      <w:tr>
        <w:trPr>
          <w:trHeight w:val="140"/>
        </w:trPr>
        <w:tc>
          <w:tcPr>
            <w:tcW w:w="466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6"/>
                <w:szCs w:val="16"/>
                <w:i w:val="1"/>
                <w:iCs w:val="1"/>
                <w:color w:val="auto"/>
              </w:rPr>
              <w:t>Senior Vice President, Production</w:t>
            </w:r>
          </w:p>
        </w:tc>
        <w:tc>
          <w:tcPr>
            <w:tcW w:w="15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5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4660" w:type="dxa"/>
            <w:vAlign w:val="bottom"/>
            <w:tcBorders>
              <w:left w:val="single" w:sz="8" w:color="auto"/>
              <w:bottom w:val="single" w:sz="8" w:color="auto"/>
              <w:right w:val="single" w:sz="8" w:color="auto"/>
            </w:tcBorders>
            <w:gridSpan w:val="2"/>
            <w:vMerge w:val="continue"/>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192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4660" w:type="dxa"/>
            <w:vAlign w:val="bottom"/>
            <w:gridSpan w:val="2"/>
          </w:tcPr>
          <w:p>
            <w:pPr>
              <w:spacing w:after="0"/>
              <w:rPr>
                <w:sz w:val="20"/>
                <w:szCs w:val="20"/>
                <w:color w:val="auto"/>
              </w:rPr>
            </w:pPr>
            <w:r>
              <w:rPr>
                <w:rFonts w:ascii="Arial" w:cs="Arial" w:eastAsia="Arial" w:hAnsi="Arial"/>
                <w:sz w:val="16"/>
                <w:szCs w:val="16"/>
                <w:i w:val="1"/>
                <w:iCs w:val="1"/>
                <w:color w:val="003445"/>
              </w:rPr>
              <w:t>Notes:</w:t>
            </w: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20" w:right="20" w:hanging="415"/>
        <w:spacing w:after="0" w:line="248" w:lineRule="auto"/>
        <w:tabs>
          <w:tab w:leader="none" w:pos="520" w:val="left"/>
        </w:tabs>
        <w:numPr>
          <w:ilvl w:val="0"/>
          <w:numId w:val="29"/>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the number of units of PSUs and RSUs granted under the Omnibus Incentive Plan, reflecting the 100% target as determined by the long-term incentive performance measurements defined above.</w:t>
      </w:r>
    </w:p>
    <w:p>
      <w:pPr>
        <w:ind w:left="520" w:right="20" w:hanging="415"/>
        <w:spacing w:after="0" w:line="249" w:lineRule="auto"/>
        <w:tabs>
          <w:tab w:leader="none" w:pos="520" w:val="left"/>
        </w:tabs>
        <w:numPr>
          <w:ilvl w:val="0"/>
          <w:numId w:val="29"/>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the value of PSUs and RSUs granted under the Omnibus Incentive Plan in Fiscal 2025, in each case multiplied by the VWAP (C$9.06) on the award date (March 11, 2025).</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Omnibus Incentive Plan Awards</w:t>
      </w:r>
    </w:p>
    <w:p>
      <w:pPr>
        <w:spacing w:after="0" w:line="207"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The Company has adopted an Omnibus Incentive Plan which allows our Board to grant long-term equity- based awards, including options, RSUs, PSUs and DSUs to eligible participants. The purpose of the Omnibus Incentive Plan is to, among other things, (a) provide the Company with a mechanism to attract, retain and motivate qualified Directors, officers, employees and consultants of the Company, including its subsidiaries, (b) reward Directors, officers, employees and consultants that have been granted awards under the Omnibus Incentive Plan for their contributions toward the long-term goals and success of the Company, and (c) enable and encourage such Directors, officers, employees and consultants to acquire Shares as long- term investments and proprietary interests in the Company. The material features of the Omnibus Incentive Plan, including the types of awards granted thereunder, are summarized under “</w:t>
      </w:r>
      <w:r>
        <w:rPr>
          <w:rFonts w:ascii="Arial" w:cs="Arial" w:eastAsia="Arial" w:hAnsi="Arial"/>
          <w:sz w:val="19"/>
          <w:szCs w:val="19"/>
          <w:i w:val="1"/>
          <w:iCs w:val="1"/>
          <w:color w:val="auto"/>
        </w:rPr>
        <w:t>Equity Incentive Plans – Omnibus</w:t>
      </w:r>
      <w:r>
        <w:rPr>
          <w:rFonts w:ascii="Arial" w:cs="Arial" w:eastAsia="Arial" w:hAnsi="Arial"/>
          <w:sz w:val="19"/>
          <w:szCs w:val="19"/>
          <w:color w:val="auto"/>
        </w:rPr>
        <w:t xml:space="preserve"> </w:t>
      </w:r>
      <w:r>
        <w:rPr>
          <w:rFonts w:ascii="Arial" w:cs="Arial" w:eastAsia="Arial" w:hAnsi="Arial"/>
          <w:sz w:val="19"/>
          <w:szCs w:val="19"/>
          <w:i w:val="1"/>
          <w:iCs w:val="1"/>
          <w:color w:val="auto"/>
        </w:rPr>
        <w:t>Incentive Plan</w:t>
      </w:r>
      <w:r>
        <w:rPr>
          <w:rFonts w:ascii="Arial" w:cs="Arial" w:eastAsia="Arial" w:hAnsi="Arial"/>
          <w:sz w:val="19"/>
          <w:szCs w:val="19"/>
          <w:color w:val="auto"/>
        </w:rPr>
        <w:t>”.</w:t>
      </w:r>
    </w:p>
    <w:p>
      <w:pPr>
        <w:spacing w:after="0" w:line="348"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Prior to adoption of the Omnibus Incentive Plan, Algoma Steel Holdings Inc., a wholly owned subsidiary of the Company, adopted a long-term incentive plan on May 13, 2020 (the “</w:t>
      </w:r>
      <w:r>
        <w:rPr>
          <w:rFonts w:ascii="Arial" w:cs="Arial" w:eastAsia="Arial" w:hAnsi="Arial"/>
          <w:sz w:val="19"/>
          <w:szCs w:val="19"/>
          <w:b w:val="1"/>
          <w:bCs w:val="1"/>
          <w:color w:val="auto"/>
        </w:rPr>
        <w:t>Legacy Incentive Plan</w:t>
      </w:r>
      <w:r>
        <w:rPr>
          <w:rFonts w:ascii="Arial" w:cs="Arial" w:eastAsia="Arial" w:hAnsi="Arial"/>
          <w:sz w:val="19"/>
          <w:szCs w:val="19"/>
          <w:color w:val="auto"/>
        </w:rPr>
        <w:t>”), pursuant to which certain LTIP awards (the “</w:t>
      </w:r>
      <w:r>
        <w:rPr>
          <w:rFonts w:ascii="Arial" w:cs="Arial" w:eastAsia="Arial" w:hAnsi="Arial"/>
          <w:sz w:val="19"/>
          <w:szCs w:val="19"/>
          <w:b w:val="1"/>
          <w:bCs w:val="1"/>
          <w:color w:val="auto"/>
        </w:rPr>
        <w:t>LTIP Awards</w:t>
      </w:r>
      <w:r>
        <w:rPr>
          <w:rFonts w:ascii="Arial" w:cs="Arial" w:eastAsia="Arial" w:hAnsi="Arial"/>
          <w:sz w:val="19"/>
          <w:szCs w:val="19"/>
          <w:color w:val="auto"/>
        </w:rPr>
        <w:t>”) were granted to employees and directors of Algoma Steel Holdings Inc. and its affiliates. Algoma’s Named Executive Officers were generally awarded an initial grant of LTIP Awards in connection with their commencement of employment with Algoma. In connection with the completion of the merger (the “</w:t>
      </w:r>
      <w:r>
        <w:rPr>
          <w:rFonts w:ascii="Arial" w:cs="Arial" w:eastAsia="Arial" w:hAnsi="Arial"/>
          <w:sz w:val="19"/>
          <w:szCs w:val="19"/>
          <w:b w:val="1"/>
          <w:bCs w:val="1"/>
          <w:color w:val="auto"/>
        </w:rPr>
        <w:t>Merger</w:t>
      </w:r>
      <w:r>
        <w:rPr>
          <w:rFonts w:ascii="Arial" w:cs="Arial" w:eastAsia="Arial" w:hAnsi="Arial"/>
          <w:sz w:val="19"/>
          <w:szCs w:val="19"/>
          <w:color w:val="auto"/>
        </w:rPr>
        <w:t>”) by a subsidiary of the Company with Legato Merger Corp. in October 2021, each outstanding LTIP Award that had vested was exchanged for a replacement LTIP Award (the “</w:t>
      </w:r>
      <w:r>
        <w:rPr>
          <w:rFonts w:ascii="Arial" w:cs="Arial" w:eastAsia="Arial" w:hAnsi="Arial"/>
          <w:sz w:val="19"/>
          <w:szCs w:val="19"/>
          <w:b w:val="1"/>
          <w:bCs w:val="1"/>
          <w:color w:val="auto"/>
        </w:rPr>
        <w:t>Replacement LTIP Awards</w:t>
      </w:r>
      <w:r>
        <w:rPr>
          <w:rFonts w:ascii="Arial" w:cs="Arial" w:eastAsia="Arial" w:hAnsi="Arial"/>
          <w:sz w:val="19"/>
          <w:szCs w:val="19"/>
          <w:color w:val="auto"/>
        </w:rPr>
        <w:t>”). Each Replacement LTIP Award may be exchanged for one Share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0700"/>
          </w:cols>
          <w:pgMar w:left="600" w:top="262" w:right="599" w:bottom="1440" w:gutter="0" w:footer="0" w:header="0"/>
        </w:sectPr>
      </w:pPr>
    </w:p>
    <w:bookmarkStart w:id="60" w:name="page61"/>
    <w:bookmarkEnd w:id="60"/>
    <w:p>
      <w:pPr>
        <w:jc w:val="both"/>
        <w:spacing w:after="0" w:line="24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of the Company at a nominal exercise price of approximately $ 0.01. The Legacy Incentive Plan was discontinued following the Merger and no additional LTIP Awards will be issued under the Legacy Incentive Plan. For further information regarding the Legacy Incentive Plan, see “</w:t>
      </w:r>
      <w:r>
        <w:rPr>
          <w:rFonts w:ascii="Arial" w:cs="Arial" w:eastAsia="Arial" w:hAnsi="Arial"/>
          <w:sz w:val="19"/>
          <w:szCs w:val="19"/>
          <w:i w:val="1"/>
          <w:iCs w:val="1"/>
          <w:color w:val="auto"/>
        </w:rPr>
        <w:t>Equity Incentive Plans – Legacy Incentive Plan</w:t>
      </w:r>
      <w:r>
        <w:rPr>
          <w:rFonts w:ascii="Arial" w:cs="Arial" w:eastAsia="Arial" w:hAnsi="Arial"/>
          <w:sz w:val="19"/>
          <w:szCs w:val="19"/>
          <w:color w:val="auto"/>
        </w:rPr>
        <w:t>”.</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addition, in connection with the Merger, certain Shareholders and each holder of Replacement LTIP Awards (including certain NEOs) were granted the contingent right to receive their pro rata portion of up to 37.5 million common shares of the Company if certain conditions were met as of December 31, 2021 and thereafter (the “</w:t>
      </w:r>
      <w:r>
        <w:rPr>
          <w:rFonts w:ascii="Arial" w:cs="Arial" w:eastAsia="Arial" w:hAnsi="Arial"/>
          <w:sz w:val="19"/>
          <w:szCs w:val="19"/>
          <w:b w:val="1"/>
          <w:bCs w:val="1"/>
          <w:color w:val="auto"/>
        </w:rPr>
        <w:t>Earnout Rights</w:t>
      </w:r>
      <w:r>
        <w:rPr>
          <w:rFonts w:ascii="Arial" w:cs="Arial" w:eastAsia="Arial" w:hAnsi="Arial"/>
          <w:sz w:val="19"/>
          <w:szCs w:val="19"/>
          <w:color w:val="auto"/>
        </w:rPr>
        <w:t>”). Each Earnout Right represents the right to receive one Share of the Company.</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As of December 31, 2021, all requisite conditions were satisfied in respect of the Earnout Rights held by non-management Shareholders. On February 9, 2022, the Company issued 35,883,692 Shares in connection with the Earnout Rights granted to non-management Shareholders. As of December 31, 2025, 655,453 Earnout Rights held by holders of Replacement LTIP Awards remained outstanding, vested, and unrestricted.</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Performance Graphs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graphs below compare the cumulative total Shareholder return (“</w:t>
      </w:r>
      <w:r>
        <w:rPr>
          <w:rFonts w:ascii="Arial" w:cs="Arial" w:eastAsia="Arial" w:hAnsi="Arial"/>
          <w:sz w:val="19"/>
          <w:szCs w:val="19"/>
          <w:b w:val="1"/>
          <w:bCs w:val="1"/>
          <w:color w:val="auto"/>
        </w:rPr>
        <w:t>TSR</w:t>
      </w:r>
      <w:r>
        <w:rPr>
          <w:rFonts w:ascii="Arial" w:cs="Arial" w:eastAsia="Arial" w:hAnsi="Arial"/>
          <w:sz w:val="19"/>
          <w:szCs w:val="19"/>
          <w:color w:val="auto"/>
        </w:rPr>
        <w:t>”) of (i) C$100 invested in Shares of the Company on the TSX with the cumulative total return of the S&amp;P/TSX Composite Index and (ii) US$100 invested in Shares of the Company on Nasdaq with the cumulative total return of the Nasdaq 100 Index for the period the Company has been a reporting issuer (from October 20, 2021 to December 31, 2025). During this period, the cumulative TSR for $100 invested in Shares of the Company was $ 39.10 on TSX, as compared to $149.67 for the S&amp;P/TSX Composite Index, and was US$34.95 on Nasdaq, as compared with US$164.08 for the Nasdaq 100 Index.</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Over the same timeframe, results on the Company’s Corporate Scorecard (which drive a portion of the Company’s short-term incentives) have directionally aligned with the Company’s Share price performance. In addition, as all of Algoma’s long-term incentive awards are in the form of equity, the value of which aligns with the Company’s financial performance and the value of its equity over the lifetime of the award, the value realized and the realizable value of these awards, rather than their grant date value, is tied directly to Algoma’s Share price. The PSUs issued in Fiscal 2025 are linked 100% to relative TSR and pay out in relation to the Company’s Share price performance. The value of the PSUs and RSUs precisely track the underlying value of the Shares, so there is significant alignment with Share price performance over the same timeframe.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0680"/>
          </w:cols>
          <w:pgMar w:left="600" w:top="262" w:right="61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60883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675" cy="6088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Summary Compensation Table – Named Executive Officers</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following table sets out information concerning the compensation earned by the NEOs in respect of Fiscal 2025, Fiscal 2024, or Fiscal 2023.</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0680"/>
          </w:cols>
          <w:pgMar w:left="600" w:top="1440" w:right="619" w:bottom="1440" w:gutter="0" w:footer="0" w:header="0"/>
        </w:sectPr>
      </w:pPr>
    </w:p>
    <w:bookmarkStart w:id="62" w:name="page63"/>
    <w:bookmarkEnd w:id="62"/>
    <w:tbl>
      <w:tblPr>
        <w:tblLayout w:type="fixed"/>
        <w:tblInd w:w="10" w:type="dxa"/>
        <w:tblCellMar>
          <w:top w:w="0" w:type="dxa"/>
          <w:left w:w="0" w:type="dxa"/>
          <w:bottom w:w="0" w:type="dxa"/>
          <w:right w:w="0" w:type="dxa"/>
        </w:tblCellMar>
      </w:tblPr>
      <w:tr>
        <w:trPr>
          <w:trHeight w:val="139"/>
        </w:trPr>
        <w:tc>
          <w:tcPr>
            <w:tcW w:w="1600" w:type="dxa"/>
            <w:vAlign w:val="bottom"/>
            <w:tcBorders>
              <w:left w:val="single" w:sz="8" w:color="auto"/>
              <w:right w:val="single" w:sz="8" w:color="auto"/>
            </w:tcBorders>
            <w:shd w:val="clear" w:color="auto" w:fill="003445"/>
          </w:tcPr>
          <w:p>
            <w:pPr>
              <w:spacing w:after="0"/>
              <w:rPr>
                <w:sz w:val="12"/>
                <w:szCs w:val="12"/>
                <w:color w:val="auto"/>
              </w:rPr>
            </w:pPr>
          </w:p>
        </w:tc>
        <w:tc>
          <w:tcPr>
            <w:tcW w:w="320" w:type="dxa"/>
            <w:vAlign w:val="bottom"/>
            <w:shd w:val="clear" w:color="auto" w:fill="003445"/>
          </w:tcPr>
          <w:p>
            <w:pPr>
              <w:spacing w:after="0"/>
              <w:rPr>
                <w:sz w:val="12"/>
                <w:szCs w:val="12"/>
                <w:color w:val="auto"/>
              </w:rPr>
            </w:pPr>
          </w:p>
        </w:tc>
        <w:tc>
          <w:tcPr>
            <w:tcW w:w="620" w:type="dxa"/>
            <w:vAlign w:val="bottom"/>
            <w:tcBorders>
              <w:right w:val="single" w:sz="8" w:color="auto"/>
            </w:tcBorders>
            <w:shd w:val="clear" w:color="auto" w:fill="003445"/>
          </w:tcPr>
          <w:p>
            <w:pPr>
              <w:spacing w:after="0"/>
              <w:rPr>
                <w:sz w:val="12"/>
                <w:szCs w:val="12"/>
                <w:color w:val="auto"/>
              </w:rPr>
            </w:pPr>
          </w:p>
        </w:tc>
        <w:tc>
          <w:tcPr>
            <w:tcW w:w="940" w:type="dxa"/>
            <w:vAlign w:val="bottom"/>
            <w:tcBorders>
              <w:right w:val="single" w:sz="8" w:color="auto"/>
            </w:tcBorders>
            <w:shd w:val="clear" w:color="auto" w:fill="003445"/>
          </w:tcPr>
          <w:p>
            <w:pPr>
              <w:spacing w:after="0"/>
              <w:rPr>
                <w:sz w:val="12"/>
                <w:szCs w:val="12"/>
                <w:color w:val="auto"/>
              </w:rPr>
            </w:pPr>
          </w:p>
        </w:tc>
        <w:tc>
          <w:tcPr>
            <w:tcW w:w="960" w:type="dxa"/>
            <w:vAlign w:val="bottom"/>
            <w:tcBorders>
              <w:right w:val="single" w:sz="8" w:color="auto"/>
            </w:tcBorders>
            <w:shd w:val="clear" w:color="auto" w:fill="003445"/>
          </w:tcPr>
          <w:p>
            <w:pPr>
              <w:spacing w:after="0"/>
              <w:rPr>
                <w:sz w:val="12"/>
                <w:szCs w:val="12"/>
                <w:color w:val="auto"/>
              </w:rPr>
            </w:pPr>
          </w:p>
        </w:tc>
        <w:tc>
          <w:tcPr>
            <w:tcW w:w="540" w:type="dxa"/>
            <w:vAlign w:val="bottom"/>
            <w:tcBorders>
              <w:right w:val="single" w:sz="8" w:color="auto"/>
            </w:tcBorders>
            <w:shd w:val="clear" w:color="auto" w:fill="003445"/>
          </w:tcPr>
          <w:p>
            <w:pPr>
              <w:spacing w:after="0"/>
              <w:rPr>
                <w:sz w:val="12"/>
                <w:szCs w:val="12"/>
                <w:color w:val="auto"/>
              </w:rPr>
            </w:pPr>
          </w:p>
        </w:tc>
        <w:tc>
          <w:tcPr>
            <w:tcW w:w="2320" w:type="dxa"/>
            <w:vAlign w:val="bottom"/>
            <w:tcBorders>
              <w:right w:val="single" w:sz="8" w:color="auto"/>
            </w:tcBorders>
            <w:gridSpan w:val="3"/>
            <w:shd w:val="clear" w:color="auto" w:fill="003445"/>
          </w:tcPr>
          <w:p>
            <w:pPr>
              <w:jc w:val="center"/>
              <w:ind w:left="19"/>
              <w:spacing w:after="0"/>
              <w:rPr>
                <w:sz w:val="20"/>
                <w:szCs w:val="20"/>
                <w:color w:val="auto"/>
              </w:rPr>
            </w:pPr>
            <w:r>
              <w:rPr>
                <w:rFonts w:ascii="Arial" w:cs="Arial" w:eastAsia="Arial" w:hAnsi="Arial"/>
                <w:sz w:val="12"/>
                <w:szCs w:val="12"/>
                <w:b w:val="1"/>
                <w:bCs w:val="1"/>
                <w:color w:val="FFFFFF"/>
              </w:rPr>
              <w:t>Non-equity incentive plan</w:t>
            </w:r>
          </w:p>
        </w:tc>
        <w:tc>
          <w:tcPr>
            <w:tcW w:w="860" w:type="dxa"/>
            <w:vAlign w:val="bottom"/>
            <w:tcBorders>
              <w:right w:val="single" w:sz="8" w:color="auto"/>
            </w:tcBorders>
            <w:shd w:val="clear" w:color="auto" w:fill="003445"/>
          </w:tcPr>
          <w:p>
            <w:pPr>
              <w:spacing w:after="0"/>
              <w:rPr>
                <w:sz w:val="12"/>
                <w:szCs w:val="12"/>
                <w:color w:val="auto"/>
              </w:rPr>
            </w:pPr>
          </w:p>
        </w:tc>
        <w:tc>
          <w:tcPr>
            <w:tcW w:w="1060" w:type="dxa"/>
            <w:vAlign w:val="bottom"/>
            <w:tcBorders>
              <w:right w:val="single" w:sz="8" w:color="auto"/>
            </w:tcBorders>
            <w:shd w:val="clear" w:color="auto" w:fill="003445"/>
          </w:tcPr>
          <w:p>
            <w:pPr>
              <w:spacing w:after="0"/>
              <w:rPr>
                <w:sz w:val="12"/>
                <w:szCs w:val="12"/>
                <w:color w:val="auto"/>
              </w:rPr>
            </w:pPr>
          </w:p>
        </w:tc>
        <w:tc>
          <w:tcPr>
            <w:tcW w:w="1480" w:type="dxa"/>
            <w:vAlign w:val="bottom"/>
            <w:tcBorders>
              <w:right w:val="single" w:sz="8" w:color="auto"/>
            </w:tcBorders>
            <w:shd w:val="clear" w:color="auto" w:fill="003445"/>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00" w:type="dxa"/>
            <w:vAlign w:val="bottom"/>
            <w:tcBorders>
              <w:left w:val="single" w:sz="8" w:color="auto"/>
              <w:bottom w:val="single" w:sz="8" w:color="003445"/>
              <w:right w:val="single" w:sz="8" w:color="auto"/>
            </w:tcBorders>
            <w:shd w:val="clear" w:color="auto" w:fill="003445"/>
          </w:tcPr>
          <w:p>
            <w:pPr>
              <w:spacing w:after="0"/>
              <w:rPr>
                <w:sz w:val="14"/>
                <w:szCs w:val="14"/>
                <w:color w:val="auto"/>
              </w:rPr>
            </w:pPr>
          </w:p>
        </w:tc>
        <w:tc>
          <w:tcPr>
            <w:tcW w:w="320" w:type="dxa"/>
            <w:vAlign w:val="bottom"/>
            <w:tcBorders>
              <w:bottom w:val="single" w:sz="8" w:color="003445"/>
            </w:tcBorders>
            <w:shd w:val="clear" w:color="auto" w:fill="003445"/>
          </w:tcPr>
          <w:p>
            <w:pPr>
              <w:spacing w:after="0"/>
              <w:rPr>
                <w:sz w:val="14"/>
                <w:szCs w:val="14"/>
                <w:color w:val="auto"/>
              </w:rPr>
            </w:pPr>
          </w:p>
        </w:tc>
        <w:tc>
          <w:tcPr>
            <w:tcW w:w="620" w:type="dxa"/>
            <w:vAlign w:val="bottom"/>
            <w:tcBorders>
              <w:bottom w:val="single" w:sz="8" w:color="003445"/>
              <w:right w:val="single" w:sz="8" w:color="auto"/>
            </w:tcBorders>
            <w:shd w:val="clear" w:color="auto" w:fill="003445"/>
          </w:tcPr>
          <w:p>
            <w:pPr>
              <w:spacing w:after="0"/>
              <w:rPr>
                <w:sz w:val="14"/>
                <w:szCs w:val="14"/>
                <w:color w:val="auto"/>
              </w:rPr>
            </w:pPr>
          </w:p>
        </w:tc>
        <w:tc>
          <w:tcPr>
            <w:tcW w:w="940" w:type="dxa"/>
            <w:vAlign w:val="bottom"/>
            <w:tcBorders>
              <w:bottom w:val="single" w:sz="8" w:color="003445"/>
              <w:right w:val="single" w:sz="8" w:color="auto"/>
            </w:tcBorders>
            <w:shd w:val="clear" w:color="auto" w:fill="003445"/>
          </w:tcPr>
          <w:p>
            <w:pPr>
              <w:spacing w:after="0"/>
              <w:rPr>
                <w:sz w:val="14"/>
                <w:szCs w:val="14"/>
                <w:color w:val="auto"/>
              </w:rPr>
            </w:pPr>
          </w:p>
        </w:tc>
        <w:tc>
          <w:tcPr>
            <w:tcW w:w="960" w:type="dxa"/>
            <w:vAlign w:val="bottom"/>
            <w:tcBorders>
              <w:bottom w:val="single" w:sz="8" w:color="003445"/>
              <w:right w:val="single" w:sz="8" w:color="auto"/>
            </w:tcBorders>
            <w:shd w:val="clear" w:color="auto" w:fill="003445"/>
          </w:tcPr>
          <w:p>
            <w:pPr>
              <w:spacing w:after="0"/>
              <w:rPr>
                <w:sz w:val="14"/>
                <w:szCs w:val="14"/>
                <w:color w:val="auto"/>
              </w:rPr>
            </w:pPr>
          </w:p>
        </w:tc>
        <w:tc>
          <w:tcPr>
            <w:tcW w:w="540" w:type="dxa"/>
            <w:vAlign w:val="bottom"/>
            <w:tcBorders>
              <w:bottom w:val="single" w:sz="8" w:color="003445"/>
              <w:right w:val="single" w:sz="8" w:color="auto"/>
            </w:tcBorders>
            <w:shd w:val="clear" w:color="auto" w:fill="003445"/>
          </w:tcPr>
          <w:p>
            <w:pPr>
              <w:spacing w:after="0"/>
              <w:rPr>
                <w:sz w:val="14"/>
                <w:szCs w:val="14"/>
                <w:color w:val="auto"/>
              </w:rPr>
            </w:pPr>
          </w:p>
        </w:tc>
        <w:tc>
          <w:tcPr>
            <w:tcW w:w="1640" w:type="dxa"/>
            <w:vAlign w:val="bottom"/>
            <w:tcBorders>
              <w:bottom w:val="single" w:sz="8" w:color="auto"/>
            </w:tcBorders>
            <w:gridSpan w:val="2"/>
            <w:shd w:val="clear" w:color="auto" w:fill="003445"/>
          </w:tcPr>
          <w:p>
            <w:pPr>
              <w:jc w:val="center"/>
              <w:ind w:left="699"/>
              <w:spacing w:after="0"/>
              <w:rPr>
                <w:sz w:val="20"/>
                <w:szCs w:val="20"/>
                <w:color w:val="auto"/>
              </w:rPr>
            </w:pPr>
            <w:r>
              <w:rPr>
                <w:rFonts w:ascii="Arial" w:cs="Arial" w:eastAsia="Arial" w:hAnsi="Arial"/>
                <w:sz w:val="12"/>
                <w:szCs w:val="12"/>
                <w:b w:val="1"/>
                <w:bCs w:val="1"/>
                <w:color w:val="FFFFFF"/>
              </w:rPr>
              <w:t>compensation</w:t>
            </w:r>
          </w:p>
        </w:tc>
        <w:tc>
          <w:tcPr>
            <w:tcW w:w="680" w:type="dxa"/>
            <w:vAlign w:val="bottom"/>
            <w:tcBorders>
              <w:bottom w:val="single" w:sz="8" w:color="auto"/>
              <w:right w:val="single" w:sz="8" w:color="auto"/>
            </w:tcBorders>
            <w:shd w:val="clear" w:color="auto" w:fill="003445"/>
          </w:tcPr>
          <w:p>
            <w:pPr>
              <w:spacing w:after="0"/>
              <w:rPr>
                <w:sz w:val="14"/>
                <w:szCs w:val="14"/>
                <w:color w:val="auto"/>
              </w:rPr>
            </w:pPr>
          </w:p>
        </w:tc>
        <w:tc>
          <w:tcPr>
            <w:tcW w:w="860" w:type="dxa"/>
            <w:vAlign w:val="bottom"/>
            <w:tcBorders>
              <w:bottom w:val="single" w:sz="8" w:color="003445"/>
              <w:right w:val="single" w:sz="8" w:color="auto"/>
            </w:tcBorders>
            <w:shd w:val="clear" w:color="auto" w:fill="003445"/>
          </w:tcPr>
          <w:p>
            <w:pPr>
              <w:spacing w:after="0"/>
              <w:rPr>
                <w:sz w:val="14"/>
                <w:szCs w:val="14"/>
                <w:color w:val="auto"/>
              </w:rPr>
            </w:pPr>
          </w:p>
        </w:tc>
        <w:tc>
          <w:tcPr>
            <w:tcW w:w="1060" w:type="dxa"/>
            <w:vAlign w:val="bottom"/>
            <w:tcBorders>
              <w:bottom w:val="single" w:sz="8" w:color="003445"/>
              <w:right w:val="single" w:sz="8" w:color="auto"/>
            </w:tcBorders>
            <w:shd w:val="clear" w:color="auto" w:fill="003445"/>
          </w:tcPr>
          <w:p>
            <w:pPr>
              <w:spacing w:after="0"/>
              <w:rPr>
                <w:sz w:val="14"/>
                <w:szCs w:val="14"/>
                <w:color w:val="auto"/>
              </w:rPr>
            </w:pPr>
          </w:p>
        </w:tc>
        <w:tc>
          <w:tcPr>
            <w:tcW w:w="1480" w:type="dxa"/>
            <w:vAlign w:val="bottom"/>
            <w:tcBorders>
              <w:bottom w:val="single" w:sz="8" w:color="003445"/>
              <w:right w:val="single" w:sz="8" w:color="auto"/>
            </w:tcBorders>
            <w:shd w:val="clear" w:color="auto" w:fill="003445"/>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shd w:val="clear" w:color="auto" w:fill="003445"/>
          </w:tcPr>
          <w:p>
            <w:pPr>
              <w:jc w:val="center"/>
              <w:ind w:left="81"/>
              <w:spacing w:after="0" w:line="126" w:lineRule="exact"/>
              <w:rPr>
                <w:sz w:val="20"/>
                <w:szCs w:val="20"/>
                <w:color w:val="auto"/>
              </w:rPr>
            </w:pPr>
            <w:r>
              <w:rPr>
                <w:rFonts w:ascii="Arial" w:cs="Arial" w:eastAsia="Arial" w:hAnsi="Arial"/>
                <w:sz w:val="12"/>
                <w:szCs w:val="12"/>
                <w:b w:val="1"/>
                <w:bCs w:val="1"/>
                <w:color w:val="FFFFFF"/>
              </w:rPr>
              <w:t>Name and</w:t>
            </w:r>
          </w:p>
        </w:tc>
        <w:tc>
          <w:tcPr>
            <w:tcW w:w="940" w:type="dxa"/>
            <w:vAlign w:val="bottom"/>
            <w:tcBorders>
              <w:right w:val="single" w:sz="8" w:color="auto"/>
            </w:tcBorders>
            <w:gridSpan w:val="2"/>
            <w:shd w:val="clear" w:color="auto" w:fill="003445"/>
          </w:tcPr>
          <w:p>
            <w:pPr>
              <w:jc w:val="center"/>
              <w:spacing w:after="0" w:line="126" w:lineRule="exact"/>
              <w:rPr>
                <w:sz w:val="20"/>
                <w:szCs w:val="20"/>
                <w:color w:val="auto"/>
              </w:rPr>
            </w:pPr>
            <w:r>
              <w:rPr>
                <w:rFonts w:ascii="Arial" w:cs="Arial" w:eastAsia="Arial" w:hAnsi="Arial"/>
                <w:sz w:val="12"/>
                <w:szCs w:val="12"/>
                <w:b w:val="1"/>
                <w:bCs w:val="1"/>
                <w:color w:val="FFFFFF"/>
                <w:w w:val="99"/>
              </w:rPr>
              <w:t>Fiscal</w:t>
            </w:r>
          </w:p>
        </w:tc>
        <w:tc>
          <w:tcPr>
            <w:tcW w:w="940" w:type="dxa"/>
            <w:vAlign w:val="bottom"/>
            <w:tcBorders>
              <w:right w:val="single" w:sz="8" w:color="auto"/>
            </w:tcBorders>
            <w:shd w:val="clear" w:color="auto" w:fill="003445"/>
          </w:tcPr>
          <w:p>
            <w:pPr>
              <w:ind w:left="320"/>
              <w:spacing w:after="0" w:line="126" w:lineRule="exact"/>
              <w:rPr>
                <w:sz w:val="20"/>
                <w:szCs w:val="20"/>
                <w:color w:val="auto"/>
              </w:rPr>
            </w:pPr>
            <w:r>
              <w:rPr>
                <w:rFonts w:ascii="Arial" w:cs="Arial" w:eastAsia="Arial" w:hAnsi="Arial"/>
                <w:sz w:val="12"/>
                <w:szCs w:val="12"/>
                <w:b w:val="1"/>
                <w:bCs w:val="1"/>
                <w:color w:val="FFFFFF"/>
              </w:rPr>
              <w:t>Salary</w:t>
            </w:r>
          </w:p>
        </w:tc>
        <w:tc>
          <w:tcPr>
            <w:tcW w:w="960" w:type="dxa"/>
            <w:vAlign w:val="bottom"/>
            <w:tcBorders>
              <w:right w:val="single" w:sz="8" w:color="auto"/>
            </w:tcBorders>
            <w:shd w:val="clear" w:color="auto" w:fill="003445"/>
          </w:tcPr>
          <w:p>
            <w:pPr>
              <w:jc w:val="center"/>
              <w:spacing w:after="0" w:line="126" w:lineRule="exact"/>
              <w:rPr>
                <w:sz w:val="20"/>
                <w:szCs w:val="20"/>
                <w:color w:val="auto"/>
              </w:rPr>
            </w:pPr>
            <w:r>
              <w:rPr>
                <w:rFonts w:ascii="Arial" w:cs="Arial" w:eastAsia="Arial" w:hAnsi="Arial"/>
                <w:sz w:val="12"/>
                <w:szCs w:val="12"/>
                <w:b w:val="1"/>
                <w:bCs w:val="1"/>
                <w:color w:val="FFFFFF"/>
              </w:rPr>
              <w:t>Share-</w:t>
            </w:r>
          </w:p>
        </w:tc>
        <w:tc>
          <w:tcPr>
            <w:tcW w:w="540" w:type="dxa"/>
            <w:vAlign w:val="bottom"/>
            <w:tcBorders>
              <w:right w:val="single" w:sz="8" w:color="auto"/>
            </w:tcBorders>
            <w:shd w:val="clear" w:color="auto" w:fill="003445"/>
          </w:tcPr>
          <w:p>
            <w:pPr>
              <w:jc w:val="center"/>
              <w:spacing w:after="0" w:line="126" w:lineRule="exact"/>
              <w:rPr>
                <w:sz w:val="20"/>
                <w:szCs w:val="20"/>
                <w:color w:val="auto"/>
              </w:rPr>
            </w:pPr>
            <w:r>
              <w:rPr>
                <w:rFonts w:ascii="Arial" w:cs="Arial" w:eastAsia="Arial" w:hAnsi="Arial"/>
                <w:sz w:val="12"/>
                <w:szCs w:val="12"/>
                <w:b w:val="1"/>
                <w:bCs w:val="1"/>
                <w:color w:val="FFFFFF"/>
              </w:rPr>
              <w:t>Option-</w:t>
            </w:r>
          </w:p>
        </w:tc>
        <w:tc>
          <w:tcPr>
            <w:tcW w:w="1640" w:type="dxa"/>
            <w:vAlign w:val="bottom"/>
            <w:gridSpan w:val="2"/>
            <w:shd w:val="clear" w:color="auto" w:fill="003445"/>
          </w:tcPr>
          <w:p>
            <w:pPr>
              <w:jc w:val="center"/>
              <w:ind w:right="100"/>
              <w:spacing w:after="0" w:line="126" w:lineRule="exact"/>
              <w:rPr>
                <w:sz w:val="20"/>
                <w:szCs w:val="20"/>
                <w:color w:val="auto"/>
              </w:rPr>
            </w:pPr>
            <w:r>
              <w:rPr>
                <w:rFonts w:ascii="Arial" w:cs="Arial" w:eastAsia="Arial" w:hAnsi="Arial"/>
                <w:sz w:val="12"/>
                <w:szCs w:val="12"/>
                <w:b w:val="1"/>
                <w:bCs w:val="1"/>
                <w:color w:val="FFFFFF"/>
              </w:rPr>
              <w:t>Annual</w:t>
            </w:r>
          </w:p>
        </w:tc>
        <w:tc>
          <w:tcPr>
            <w:tcW w:w="680" w:type="dxa"/>
            <w:vAlign w:val="bottom"/>
            <w:tcBorders>
              <w:right w:val="single" w:sz="8" w:color="auto"/>
            </w:tcBorders>
            <w:shd w:val="clear" w:color="auto" w:fill="003445"/>
          </w:tcPr>
          <w:p>
            <w:pPr>
              <w:jc w:val="center"/>
              <w:ind w:right="39"/>
              <w:spacing w:after="0" w:line="126" w:lineRule="exact"/>
              <w:rPr>
                <w:sz w:val="20"/>
                <w:szCs w:val="20"/>
                <w:color w:val="auto"/>
              </w:rPr>
            </w:pPr>
            <w:r>
              <w:rPr>
                <w:rFonts w:ascii="Arial" w:cs="Arial" w:eastAsia="Arial" w:hAnsi="Arial"/>
                <w:sz w:val="12"/>
                <w:szCs w:val="12"/>
                <w:b w:val="1"/>
                <w:bCs w:val="1"/>
                <w:color w:val="FFFFFF"/>
              </w:rPr>
              <w:t>Long-</w:t>
            </w:r>
          </w:p>
        </w:tc>
        <w:tc>
          <w:tcPr>
            <w:tcW w:w="860" w:type="dxa"/>
            <w:vAlign w:val="bottom"/>
            <w:tcBorders>
              <w:right w:val="single" w:sz="8" w:color="auto"/>
            </w:tcBorders>
            <w:shd w:val="clear" w:color="auto" w:fill="003445"/>
          </w:tcPr>
          <w:p>
            <w:pPr>
              <w:jc w:val="center"/>
              <w:spacing w:after="0" w:line="126" w:lineRule="exact"/>
              <w:rPr>
                <w:sz w:val="20"/>
                <w:szCs w:val="20"/>
                <w:color w:val="auto"/>
              </w:rPr>
            </w:pPr>
            <w:r>
              <w:rPr>
                <w:rFonts w:ascii="Arial" w:cs="Arial" w:eastAsia="Arial" w:hAnsi="Arial"/>
                <w:sz w:val="12"/>
                <w:szCs w:val="12"/>
                <w:b w:val="1"/>
                <w:bCs w:val="1"/>
                <w:color w:val="FFFFFF"/>
              </w:rPr>
              <w:t>Pension</w:t>
            </w:r>
          </w:p>
        </w:tc>
        <w:tc>
          <w:tcPr>
            <w:tcW w:w="1060" w:type="dxa"/>
            <w:vAlign w:val="bottom"/>
            <w:tcBorders>
              <w:right w:val="single" w:sz="8" w:color="auto"/>
            </w:tcBorders>
            <w:shd w:val="clear" w:color="auto" w:fill="003445"/>
          </w:tcPr>
          <w:p>
            <w:pPr>
              <w:jc w:val="center"/>
              <w:spacing w:after="0" w:line="126" w:lineRule="exact"/>
              <w:rPr>
                <w:sz w:val="20"/>
                <w:szCs w:val="20"/>
                <w:color w:val="auto"/>
              </w:rPr>
            </w:pPr>
            <w:r>
              <w:rPr>
                <w:rFonts w:ascii="Arial" w:cs="Arial" w:eastAsia="Arial" w:hAnsi="Arial"/>
                <w:sz w:val="12"/>
                <w:szCs w:val="12"/>
                <w:b w:val="1"/>
                <w:bCs w:val="1"/>
                <w:color w:val="FFFFFF"/>
              </w:rPr>
              <w:t>All other</w:t>
            </w:r>
          </w:p>
        </w:tc>
        <w:tc>
          <w:tcPr>
            <w:tcW w:w="1480" w:type="dxa"/>
            <w:vAlign w:val="bottom"/>
            <w:tcBorders>
              <w:right w:val="single" w:sz="8" w:color="auto"/>
            </w:tcBorders>
            <w:shd w:val="clear" w:color="auto" w:fill="003445"/>
          </w:tcPr>
          <w:p>
            <w:pPr>
              <w:jc w:val="center"/>
              <w:spacing w:after="0" w:line="126" w:lineRule="exact"/>
              <w:rPr>
                <w:sz w:val="20"/>
                <w:szCs w:val="20"/>
                <w:color w:val="auto"/>
              </w:rPr>
            </w:pPr>
            <w:r>
              <w:rPr>
                <w:rFonts w:ascii="Arial" w:cs="Arial" w:eastAsia="Arial" w:hAnsi="Arial"/>
                <w:sz w:val="12"/>
                <w:szCs w:val="12"/>
                <w:b w:val="1"/>
                <w:bCs w:val="1"/>
                <w:color w:val="FFFFFF"/>
                <w:w w:val="97"/>
              </w:rPr>
              <w:t>Total</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shd w:val="clear" w:color="auto" w:fill="003445"/>
          </w:tcPr>
          <w:p>
            <w:pPr>
              <w:jc w:val="center"/>
              <w:ind w:left="61"/>
              <w:spacing w:after="0" w:line="131" w:lineRule="exact"/>
              <w:rPr>
                <w:sz w:val="20"/>
                <w:szCs w:val="20"/>
                <w:color w:val="auto"/>
              </w:rPr>
            </w:pPr>
            <w:r>
              <w:rPr>
                <w:rFonts w:ascii="Arial" w:cs="Arial" w:eastAsia="Arial" w:hAnsi="Arial"/>
                <w:sz w:val="12"/>
                <w:szCs w:val="12"/>
                <w:b w:val="1"/>
                <w:bCs w:val="1"/>
                <w:color w:val="FFFFFF"/>
              </w:rPr>
              <w:t>Principal</w:t>
            </w:r>
          </w:p>
        </w:tc>
        <w:tc>
          <w:tcPr>
            <w:tcW w:w="320" w:type="dxa"/>
            <w:vAlign w:val="bottom"/>
            <w:shd w:val="clear" w:color="auto" w:fill="003445"/>
          </w:tcPr>
          <w:p>
            <w:pPr>
              <w:spacing w:after="0"/>
              <w:rPr>
                <w:sz w:val="11"/>
                <w:szCs w:val="11"/>
                <w:color w:val="auto"/>
              </w:rPr>
            </w:pPr>
          </w:p>
        </w:tc>
        <w:tc>
          <w:tcPr>
            <w:tcW w:w="620" w:type="dxa"/>
            <w:vAlign w:val="bottom"/>
            <w:tcBorders>
              <w:right w:val="single" w:sz="8" w:color="auto"/>
            </w:tcBorders>
            <w:shd w:val="clear" w:color="auto" w:fill="003445"/>
          </w:tcPr>
          <w:p>
            <w:pPr>
              <w:jc w:val="center"/>
              <w:ind w:right="219"/>
              <w:spacing w:after="0" w:line="131" w:lineRule="exact"/>
              <w:rPr>
                <w:sz w:val="20"/>
                <w:szCs w:val="20"/>
                <w:color w:val="auto"/>
              </w:rPr>
            </w:pPr>
            <w:r>
              <w:rPr>
                <w:rFonts w:ascii="Arial" w:cs="Arial" w:eastAsia="Arial" w:hAnsi="Arial"/>
                <w:sz w:val="12"/>
                <w:szCs w:val="12"/>
                <w:b w:val="1"/>
                <w:bCs w:val="1"/>
                <w:color w:val="FFFFFF"/>
                <w:w w:val="99"/>
              </w:rPr>
              <w:t>Year</w:t>
            </w:r>
          </w:p>
        </w:tc>
        <w:tc>
          <w:tcPr>
            <w:tcW w:w="94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0"/>
                <w:szCs w:val="10"/>
                <w:b w:val="1"/>
                <w:bCs w:val="1"/>
                <w:color w:val="FFFFFF"/>
              </w:rPr>
              <w:t>($)</w:t>
            </w:r>
            <w:r>
              <w:rPr>
                <w:rFonts w:ascii="Arial" w:cs="Arial" w:eastAsia="Arial" w:hAnsi="Arial"/>
                <w:sz w:val="15"/>
                <w:szCs w:val="15"/>
                <w:b w:val="1"/>
                <w:bCs w:val="1"/>
                <w:color w:val="FFFFFF"/>
                <w:vertAlign w:val="superscript"/>
              </w:rPr>
              <w:t>(1)</w:t>
            </w:r>
          </w:p>
        </w:tc>
        <w:tc>
          <w:tcPr>
            <w:tcW w:w="9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w w:val="97"/>
              </w:rPr>
              <w:t>based</w:t>
            </w:r>
          </w:p>
        </w:tc>
        <w:tc>
          <w:tcPr>
            <w:tcW w:w="54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based</w:t>
            </w:r>
          </w:p>
        </w:tc>
        <w:tc>
          <w:tcPr>
            <w:tcW w:w="1640" w:type="dxa"/>
            <w:vAlign w:val="bottom"/>
            <w:gridSpan w:val="2"/>
            <w:shd w:val="clear" w:color="auto" w:fill="003445"/>
          </w:tcPr>
          <w:p>
            <w:pPr>
              <w:jc w:val="center"/>
              <w:ind w:right="100"/>
              <w:spacing w:after="0" w:line="131" w:lineRule="exact"/>
              <w:rPr>
                <w:sz w:val="20"/>
                <w:szCs w:val="20"/>
                <w:color w:val="auto"/>
              </w:rPr>
            </w:pPr>
            <w:r>
              <w:rPr>
                <w:rFonts w:ascii="Arial" w:cs="Arial" w:eastAsia="Arial" w:hAnsi="Arial"/>
                <w:sz w:val="12"/>
                <w:szCs w:val="12"/>
                <w:b w:val="1"/>
                <w:bCs w:val="1"/>
                <w:color w:val="FFFFFF"/>
              </w:rPr>
              <w:t>incentive</w:t>
            </w:r>
          </w:p>
        </w:tc>
        <w:tc>
          <w:tcPr>
            <w:tcW w:w="680" w:type="dxa"/>
            <w:vAlign w:val="bottom"/>
            <w:tcBorders>
              <w:right w:val="single" w:sz="8" w:color="auto"/>
            </w:tcBorders>
            <w:shd w:val="clear" w:color="auto" w:fill="003445"/>
          </w:tcPr>
          <w:p>
            <w:pPr>
              <w:jc w:val="center"/>
              <w:ind w:right="39"/>
              <w:spacing w:after="0" w:line="131" w:lineRule="exact"/>
              <w:rPr>
                <w:sz w:val="20"/>
                <w:szCs w:val="20"/>
                <w:color w:val="auto"/>
              </w:rPr>
            </w:pPr>
            <w:r>
              <w:rPr>
                <w:rFonts w:ascii="Arial" w:cs="Arial" w:eastAsia="Arial" w:hAnsi="Arial"/>
                <w:sz w:val="12"/>
                <w:szCs w:val="12"/>
                <w:b w:val="1"/>
                <w:bCs w:val="1"/>
                <w:color w:val="FFFFFF"/>
                <w:w w:val="99"/>
              </w:rPr>
              <w:t>term</w:t>
            </w:r>
          </w:p>
        </w:tc>
        <w:tc>
          <w:tcPr>
            <w:tcW w:w="8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value</w:t>
            </w:r>
          </w:p>
        </w:tc>
        <w:tc>
          <w:tcPr>
            <w:tcW w:w="10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compensation</w:t>
            </w:r>
          </w:p>
        </w:tc>
        <w:tc>
          <w:tcPr>
            <w:tcW w:w="148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compensation</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shd w:val="clear" w:color="auto" w:fill="003445"/>
          </w:tcPr>
          <w:p>
            <w:pPr>
              <w:jc w:val="center"/>
              <w:ind w:left="61"/>
              <w:spacing w:after="0" w:line="131" w:lineRule="exact"/>
              <w:rPr>
                <w:sz w:val="20"/>
                <w:szCs w:val="20"/>
                <w:color w:val="auto"/>
              </w:rPr>
            </w:pPr>
            <w:r>
              <w:rPr>
                <w:rFonts w:ascii="Arial" w:cs="Arial" w:eastAsia="Arial" w:hAnsi="Arial"/>
                <w:sz w:val="12"/>
                <w:szCs w:val="12"/>
                <w:b w:val="1"/>
                <w:bCs w:val="1"/>
                <w:color w:val="FFFFFF"/>
              </w:rPr>
              <w:t>Position</w:t>
            </w:r>
          </w:p>
        </w:tc>
        <w:tc>
          <w:tcPr>
            <w:tcW w:w="320" w:type="dxa"/>
            <w:vAlign w:val="bottom"/>
            <w:shd w:val="clear" w:color="auto" w:fill="003445"/>
          </w:tcPr>
          <w:p>
            <w:pPr>
              <w:spacing w:after="0"/>
              <w:rPr>
                <w:sz w:val="11"/>
                <w:szCs w:val="11"/>
                <w:color w:val="auto"/>
              </w:rPr>
            </w:pPr>
          </w:p>
        </w:tc>
        <w:tc>
          <w:tcPr>
            <w:tcW w:w="620" w:type="dxa"/>
            <w:vAlign w:val="bottom"/>
            <w:tcBorders>
              <w:right w:val="single" w:sz="8" w:color="auto"/>
            </w:tcBorders>
            <w:shd w:val="clear" w:color="auto" w:fill="003445"/>
          </w:tcPr>
          <w:p>
            <w:pPr>
              <w:spacing w:after="0"/>
              <w:rPr>
                <w:sz w:val="11"/>
                <w:szCs w:val="11"/>
                <w:color w:val="auto"/>
              </w:rPr>
            </w:pPr>
          </w:p>
        </w:tc>
        <w:tc>
          <w:tcPr>
            <w:tcW w:w="940" w:type="dxa"/>
            <w:vAlign w:val="bottom"/>
            <w:tcBorders>
              <w:right w:val="single" w:sz="8" w:color="auto"/>
            </w:tcBorders>
            <w:shd w:val="clear" w:color="auto" w:fill="003445"/>
          </w:tcPr>
          <w:p>
            <w:pPr>
              <w:spacing w:after="0"/>
              <w:rPr>
                <w:sz w:val="11"/>
                <w:szCs w:val="11"/>
                <w:color w:val="auto"/>
              </w:rPr>
            </w:pPr>
          </w:p>
        </w:tc>
        <w:tc>
          <w:tcPr>
            <w:tcW w:w="9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awards</w:t>
            </w:r>
          </w:p>
        </w:tc>
        <w:tc>
          <w:tcPr>
            <w:tcW w:w="540" w:type="dxa"/>
            <w:vAlign w:val="bottom"/>
            <w:tcBorders>
              <w:right w:val="single" w:sz="8" w:color="auto"/>
            </w:tcBorders>
            <w:shd w:val="clear" w:color="auto" w:fill="003445"/>
          </w:tcPr>
          <w:p>
            <w:pPr>
              <w:jc w:val="center"/>
              <w:ind w:left="19"/>
              <w:spacing w:after="0" w:line="131" w:lineRule="exact"/>
              <w:rPr>
                <w:sz w:val="20"/>
                <w:szCs w:val="20"/>
                <w:color w:val="auto"/>
              </w:rPr>
            </w:pPr>
            <w:r>
              <w:rPr>
                <w:rFonts w:ascii="Arial" w:cs="Arial" w:eastAsia="Arial" w:hAnsi="Arial"/>
                <w:sz w:val="12"/>
                <w:szCs w:val="12"/>
                <w:b w:val="1"/>
                <w:bCs w:val="1"/>
                <w:color w:val="FFFFFF"/>
              </w:rPr>
              <w:t>awards</w:t>
            </w:r>
          </w:p>
        </w:tc>
        <w:tc>
          <w:tcPr>
            <w:tcW w:w="1640" w:type="dxa"/>
            <w:vAlign w:val="bottom"/>
            <w:gridSpan w:val="2"/>
            <w:shd w:val="clear" w:color="auto" w:fill="003445"/>
          </w:tcPr>
          <w:p>
            <w:pPr>
              <w:jc w:val="center"/>
              <w:ind w:right="100"/>
              <w:spacing w:after="0" w:line="131" w:lineRule="exact"/>
              <w:rPr>
                <w:sz w:val="20"/>
                <w:szCs w:val="20"/>
                <w:color w:val="auto"/>
              </w:rPr>
            </w:pPr>
            <w:r>
              <w:rPr>
                <w:rFonts w:ascii="Arial" w:cs="Arial" w:eastAsia="Arial" w:hAnsi="Arial"/>
                <w:sz w:val="10"/>
                <w:szCs w:val="10"/>
                <w:b w:val="1"/>
                <w:bCs w:val="1"/>
                <w:color w:val="FFFFFF"/>
              </w:rPr>
              <w:t>plans ($)</w:t>
            </w:r>
            <w:r>
              <w:rPr>
                <w:rFonts w:ascii="Arial" w:cs="Arial" w:eastAsia="Arial" w:hAnsi="Arial"/>
                <w:sz w:val="15"/>
                <w:szCs w:val="15"/>
                <w:b w:val="1"/>
                <w:bCs w:val="1"/>
                <w:color w:val="FFFFFF"/>
                <w:vertAlign w:val="superscript"/>
              </w:rPr>
              <w:t>(3)</w:t>
            </w:r>
          </w:p>
        </w:tc>
        <w:tc>
          <w:tcPr>
            <w:tcW w:w="680" w:type="dxa"/>
            <w:vAlign w:val="bottom"/>
            <w:tcBorders>
              <w:right w:val="single" w:sz="8" w:color="auto"/>
            </w:tcBorders>
            <w:shd w:val="clear" w:color="auto" w:fill="003445"/>
          </w:tcPr>
          <w:p>
            <w:pPr>
              <w:jc w:val="center"/>
              <w:ind w:right="39"/>
              <w:spacing w:after="0" w:line="131" w:lineRule="exact"/>
              <w:rPr>
                <w:sz w:val="20"/>
                <w:szCs w:val="20"/>
                <w:color w:val="auto"/>
              </w:rPr>
            </w:pPr>
            <w:r>
              <w:rPr>
                <w:rFonts w:ascii="Arial" w:cs="Arial" w:eastAsia="Arial" w:hAnsi="Arial"/>
                <w:sz w:val="12"/>
                <w:szCs w:val="12"/>
                <w:b w:val="1"/>
                <w:bCs w:val="1"/>
                <w:color w:val="FFFFFF"/>
              </w:rPr>
              <w:t>incentive</w:t>
            </w:r>
          </w:p>
        </w:tc>
        <w:tc>
          <w:tcPr>
            <w:tcW w:w="8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w:t>
            </w:r>
          </w:p>
        </w:tc>
        <w:tc>
          <w:tcPr>
            <w:tcW w:w="10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w:t>
            </w:r>
          </w:p>
        </w:tc>
        <w:tc>
          <w:tcPr>
            <w:tcW w:w="148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shd w:val="clear" w:color="auto" w:fill="003445"/>
          </w:tcPr>
          <w:p>
            <w:pPr>
              <w:spacing w:after="0"/>
              <w:rPr>
                <w:sz w:val="11"/>
                <w:szCs w:val="11"/>
                <w:color w:val="auto"/>
              </w:rPr>
            </w:pPr>
          </w:p>
        </w:tc>
        <w:tc>
          <w:tcPr>
            <w:tcW w:w="320" w:type="dxa"/>
            <w:vAlign w:val="bottom"/>
            <w:shd w:val="clear" w:color="auto" w:fill="003445"/>
          </w:tcPr>
          <w:p>
            <w:pPr>
              <w:spacing w:after="0"/>
              <w:rPr>
                <w:sz w:val="11"/>
                <w:szCs w:val="11"/>
                <w:color w:val="auto"/>
              </w:rPr>
            </w:pPr>
          </w:p>
        </w:tc>
        <w:tc>
          <w:tcPr>
            <w:tcW w:w="620" w:type="dxa"/>
            <w:vAlign w:val="bottom"/>
            <w:tcBorders>
              <w:right w:val="single" w:sz="8" w:color="auto"/>
            </w:tcBorders>
            <w:shd w:val="clear" w:color="auto" w:fill="003445"/>
          </w:tcPr>
          <w:p>
            <w:pPr>
              <w:spacing w:after="0"/>
              <w:rPr>
                <w:sz w:val="11"/>
                <w:szCs w:val="11"/>
                <w:color w:val="auto"/>
              </w:rPr>
            </w:pPr>
          </w:p>
        </w:tc>
        <w:tc>
          <w:tcPr>
            <w:tcW w:w="940" w:type="dxa"/>
            <w:vAlign w:val="bottom"/>
            <w:tcBorders>
              <w:right w:val="single" w:sz="8" w:color="auto"/>
            </w:tcBorders>
            <w:shd w:val="clear" w:color="auto" w:fill="003445"/>
          </w:tcPr>
          <w:p>
            <w:pPr>
              <w:spacing w:after="0"/>
              <w:rPr>
                <w:sz w:val="11"/>
                <w:szCs w:val="11"/>
                <w:color w:val="auto"/>
              </w:rPr>
            </w:pPr>
          </w:p>
        </w:tc>
        <w:tc>
          <w:tcPr>
            <w:tcW w:w="9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0"/>
                <w:szCs w:val="10"/>
                <w:b w:val="1"/>
                <w:bCs w:val="1"/>
                <w:color w:val="FFFFFF"/>
              </w:rPr>
              <w:t>($)</w:t>
            </w:r>
            <w:r>
              <w:rPr>
                <w:rFonts w:ascii="Arial" w:cs="Arial" w:eastAsia="Arial" w:hAnsi="Arial"/>
                <w:sz w:val="15"/>
                <w:szCs w:val="15"/>
                <w:b w:val="1"/>
                <w:bCs w:val="1"/>
                <w:color w:val="FFFFFF"/>
                <w:vertAlign w:val="superscript"/>
              </w:rPr>
              <w:t>(2)</w:t>
            </w:r>
          </w:p>
        </w:tc>
        <w:tc>
          <w:tcPr>
            <w:tcW w:w="54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w:t>
            </w:r>
          </w:p>
        </w:tc>
        <w:tc>
          <w:tcPr>
            <w:tcW w:w="1480" w:type="dxa"/>
            <w:vAlign w:val="bottom"/>
            <w:tcBorders>
              <w:right w:val="single" w:sz="8" w:color="003445"/>
            </w:tcBorders>
            <w:shd w:val="clear" w:color="auto" w:fill="003445"/>
          </w:tcPr>
          <w:p>
            <w:pPr>
              <w:spacing w:after="0"/>
              <w:rPr>
                <w:sz w:val="11"/>
                <w:szCs w:val="11"/>
                <w:color w:val="auto"/>
              </w:rPr>
            </w:pPr>
          </w:p>
        </w:tc>
        <w:tc>
          <w:tcPr>
            <w:tcW w:w="160" w:type="dxa"/>
            <w:vAlign w:val="bottom"/>
            <w:shd w:val="clear" w:color="auto" w:fill="003445"/>
          </w:tcPr>
          <w:p>
            <w:pPr>
              <w:spacing w:after="0"/>
              <w:rPr>
                <w:sz w:val="11"/>
                <w:szCs w:val="11"/>
                <w:color w:val="auto"/>
              </w:rPr>
            </w:pPr>
          </w:p>
        </w:tc>
        <w:tc>
          <w:tcPr>
            <w:tcW w:w="680" w:type="dxa"/>
            <w:vAlign w:val="bottom"/>
            <w:tcBorders>
              <w:right w:val="single" w:sz="8" w:color="auto"/>
            </w:tcBorders>
            <w:shd w:val="clear" w:color="auto" w:fill="003445"/>
          </w:tcPr>
          <w:p>
            <w:pPr>
              <w:jc w:val="center"/>
              <w:ind w:right="59"/>
              <w:spacing w:after="0" w:line="131" w:lineRule="exact"/>
              <w:rPr>
                <w:sz w:val="20"/>
                <w:szCs w:val="20"/>
                <w:color w:val="auto"/>
              </w:rPr>
            </w:pPr>
            <w:r>
              <w:rPr>
                <w:rFonts w:ascii="Arial" w:cs="Arial" w:eastAsia="Arial" w:hAnsi="Arial"/>
                <w:sz w:val="12"/>
                <w:szCs w:val="12"/>
                <w:b w:val="1"/>
                <w:bCs w:val="1"/>
                <w:color w:val="FFFFFF"/>
              </w:rPr>
              <w:t>plans</w:t>
            </w:r>
          </w:p>
        </w:tc>
        <w:tc>
          <w:tcPr>
            <w:tcW w:w="860" w:type="dxa"/>
            <w:vAlign w:val="bottom"/>
            <w:tcBorders>
              <w:right w:val="single" w:sz="8" w:color="auto"/>
            </w:tcBorders>
            <w:shd w:val="clear" w:color="auto" w:fill="003445"/>
          </w:tcPr>
          <w:p>
            <w:pPr>
              <w:spacing w:after="0"/>
              <w:rPr>
                <w:sz w:val="11"/>
                <w:szCs w:val="11"/>
                <w:color w:val="auto"/>
              </w:rPr>
            </w:pPr>
          </w:p>
        </w:tc>
        <w:tc>
          <w:tcPr>
            <w:tcW w:w="1060" w:type="dxa"/>
            <w:vAlign w:val="bottom"/>
            <w:tcBorders>
              <w:right w:val="single" w:sz="8" w:color="auto"/>
            </w:tcBorders>
            <w:shd w:val="clear" w:color="auto" w:fill="003445"/>
          </w:tcPr>
          <w:p>
            <w:pPr>
              <w:spacing w:after="0"/>
              <w:rPr>
                <w:sz w:val="11"/>
                <w:szCs w:val="11"/>
                <w:color w:val="auto"/>
              </w:rPr>
            </w:pPr>
          </w:p>
        </w:tc>
        <w:tc>
          <w:tcPr>
            <w:tcW w:w="1480" w:type="dxa"/>
            <w:vAlign w:val="bottom"/>
            <w:tcBorders>
              <w:right w:val="single" w:sz="8" w:color="auto"/>
            </w:tcBorders>
            <w:shd w:val="clear" w:color="auto" w:fill="003445"/>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600" w:type="dxa"/>
            <w:vAlign w:val="bottom"/>
            <w:tcBorders>
              <w:left w:val="single" w:sz="8" w:color="auto"/>
              <w:bottom w:val="single" w:sz="8" w:color="auto"/>
              <w:right w:val="single" w:sz="8" w:color="auto"/>
            </w:tcBorders>
            <w:shd w:val="clear" w:color="auto" w:fill="003445"/>
          </w:tcPr>
          <w:p>
            <w:pPr>
              <w:spacing w:after="0"/>
              <w:rPr>
                <w:sz w:val="14"/>
                <w:szCs w:val="14"/>
                <w:color w:val="auto"/>
              </w:rPr>
            </w:pPr>
          </w:p>
        </w:tc>
        <w:tc>
          <w:tcPr>
            <w:tcW w:w="320" w:type="dxa"/>
            <w:vAlign w:val="bottom"/>
            <w:tcBorders>
              <w:bottom w:val="single" w:sz="8" w:color="auto"/>
            </w:tcBorders>
            <w:shd w:val="clear" w:color="auto" w:fill="003445"/>
          </w:tcPr>
          <w:p>
            <w:pPr>
              <w:spacing w:after="0"/>
              <w:rPr>
                <w:sz w:val="14"/>
                <w:szCs w:val="14"/>
                <w:color w:val="auto"/>
              </w:rPr>
            </w:pPr>
          </w:p>
        </w:tc>
        <w:tc>
          <w:tcPr>
            <w:tcW w:w="620" w:type="dxa"/>
            <w:vAlign w:val="bottom"/>
            <w:tcBorders>
              <w:bottom w:val="single" w:sz="8" w:color="auto"/>
              <w:right w:val="single" w:sz="8" w:color="auto"/>
            </w:tcBorders>
            <w:shd w:val="clear" w:color="auto" w:fill="003445"/>
          </w:tcPr>
          <w:p>
            <w:pPr>
              <w:spacing w:after="0"/>
              <w:rPr>
                <w:sz w:val="14"/>
                <w:szCs w:val="14"/>
                <w:color w:val="auto"/>
              </w:rPr>
            </w:pPr>
          </w:p>
        </w:tc>
        <w:tc>
          <w:tcPr>
            <w:tcW w:w="940" w:type="dxa"/>
            <w:vAlign w:val="bottom"/>
            <w:tcBorders>
              <w:bottom w:val="single" w:sz="8" w:color="auto"/>
              <w:right w:val="single" w:sz="8" w:color="auto"/>
            </w:tcBorders>
            <w:shd w:val="clear" w:color="auto" w:fill="003445"/>
          </w:tcPr>
          <w:p>
            <w:pPr>
              <w:spacing w:after="0"/>
              <w:rPr>
                <w:sz w:val="14"/>
                <w:szCs w:val="14"/>
                <w:color w:val="auto"/>
              </w:rPr>
            </w:pPr>
          </w:p>
        </w:tc>
        <w:tc>
          <w:tcPr>
            <w:tcW w:w="960" w:type="dxa"/>
            <w:vAlign w:val="bottom"/>
            <w:tcBorders>
              <w:bottom w:val="single" w:sz="8" w:color="auto"/>
              <w:right w:val="single" w:sz="8" w:color="auto"/>
            </w:tcBorders>
            <w:shd w:val="clear" w:color="auto" w:fill="003445"/>
          </w:tcPr>
          <w:p>
            <w:pPr>
              <w:spacing w:after="0"/>
              <w:rPr>
                <w:sz w:val="14"/>
                <w:szCs w:val="14"/>
                <w:color w:val="auto"/>
              </w:rPr>
            </w:pPr>
          </w:p>
        </w:tc>
        <w:tc>
          <w:tcPr>
            <w:tcW w:w="540" w:type="dxa"/>
            <w:vAlign w:val="bottom"/>
            <w:tcBorders>
              <w:bottom w:val="single" w:sz="8" w:color="auto"/>
              <w:right w:val="single" w:sz="8" w:color="auto"/>
            </w:tcBorders>
            <w:shd w:val="clear" w:color="auto" w:fill="003445"/>
          </w:tcPr>
          <w:p>
            <w:pPr>
              <w:spacing w:after="0"/>
              <w:rPr>
                <w:sz w:val="14"/>
                <w:szCs w:val="14"/>
                <w:color w:val="auto"/>
              </w:rPr>
            </w:pPr>
          </w:p>
        </w:tc>
        <w:tc>
          <w:tcPr>
            <w:tcW w:w="1480" w:type="dxa"/>
            <w:vAlign w:val="bottom"/>
            <w:tcBorders>
              <w:bottom w:val="single" w:sz="8" w:color="auto"/>
              <w:right w:val="single" w:sz="8" w:color="003445"/>
            </w:tcBorders>
            <w:shd w:val="clear" w:color="auto" w:fill="003445"/>
          </w:tcPr>
          <w:p>
            <w:pPr>
              <w:spacing w:after="0"/>
              <w:rPr>
                <w:sz w:val="14"/>
                <w:szCs w:val="14"/>
                <w:color w:val="auto"/>
              </w:rPr>
            </w:pPr>
          </w:p>
        </w:tc>
        <w:tc>
          <w:tcPr>
            <w:tcW w:w="160" w:type="dxa"/>
            <w:vAlign w:val="bottom"/>
            <w:tcBorders>
              <w:bottom w:val="single" w:sz="8" w:color="auto"/>
            </w:tcBorders>
            <w:shd w:val="clear" w:color="auto" w:fill="003445"/>
          </w:tcPr>
          <w:p>
            <w:pPr>
              <w:spacing w:after="0"/>
              <w:rPr>
                <w:sz w:val="14"/>
                <w:szCs w:val="14"/>
                <w:color w:val="auto"/>
              </w:rPr>
            </w:pPr>
          </w:p>
        </w:tc>
        <w:tc>
          <w:tcPr>
            <w:tcW w:w="680" w:type="dxa"/>
            <w:vAlign w:val="bottom"/>
            <w:tcBorders>
              <w:bottom w:val="single" w:sz="8" w:color="auto"/>
              <w:right w:val="single" w:sz="8" w:color="auto"/>
            </w:tcBorders>
            <w:shd w:val="clear" w:color="auto" w:fill="003445"/>
          </w:tcPr>
          <w:p>
            <w:pPr>
              <w:jc w:val="center"/>
              <w:ind w:right="39"/>
              <w:spacing w:after="0"/>
              <w:rPr>
                <w:sz w:val="20"/>
                <w:szCs w:val="20"/>
                <w:color w:val="auto"/>
              </w:rPr>
            </w:pPr>
            <w:r>
              <w:rPr>
                <w:rFonts w:ascii="Arial" w:cs="Arial" w:eastAsia="Arial" w:hAnsi="Arial"/>
                <w:sz w:val="12"/>
                <w:szCs w:val="12"/>
                <w:b w:val="1"/>
                <w:bCs w:val="1"/>
                <w:color w:val="FFFFFF"/>
                <w:w w:val="95"/>
              </w:rPr>
              <w:t>($)</w:t>
            </w:r>
          </w:p>
        </w:tc>
        <w:tc>
          <w:tcPr>
            <w:tcW w:w="860" w:type="dxa"/>
            <w:vAlign w:val="bottom"/>
            <w:tcBorders>
              <w:bottom w:val="single" w:sz="8" w:color="auto"/>
              <w:right w:val="single" w:sz="8" w:color="auto"/>
            </w:tcBorders>
            <w:shd w:val="clear" w:color="auto" w:fill="003445"/>
          </w:tcPr>
          <w:p>
            <w:pPr>
              <w:spacing w:after="0"/>
              <w:rPr>
                <w:sz w:val="14"/>
                <w:szCs w:val="14"/>
                <w:color w:val="auto"/>
              </w:rPr>
            </w:pPr>
          </w:p>
        </w:tc>
        <w:tc>
          <w:tcPr>
            <w:tcW w:w="1060" w:type="dxa"/>
            <w:vAlign w:val="bottom"/>
            <w:tcBorders>
              <w:bottom w:val="single" w:sz="8" w:color="auto"/>
              <w:right w:val="single" w:sz="8" w:color="auto"/>
            </w:tcBorders>
            <w:shd w:val="clear" w:color="auto" w:fill="003445"/>
          </w:tcPr>
          <w:p>
            <w:pPr>
              <w:spacing w:after="0"/>
              <w:rPr>
                <w:sz w:val="14"/>
                <w:szCs w:val="14"/>
                <w:color w:val="auto"/>
              </w:rPr>
            </w:pPr>
          </w:p>
        </w:tc>
        <w:tc>
          <w:tcPr>
            <w:tcW w:w="1480" w:type="dxa"/>
            <w:vAlign w:val="bottom"/>
            <w:tcBorders>
              <w:bottom w:val="single" w:sz="8" w:color="auto"/>
              <w:right w:val="single" w:sz="8" w:color="auto"/>
            </w:tcBorders>
            <w:shd w:val="clear" w:color="auto" w:fill="003445"/>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tcPr>
          <w:p>
            <w:pPr>
              <w:ind w:left="160"/>
              <w:spacing w:after="0" w:line="126" w:lineRule="exact"/>
              <w:rPr>
                <w:sz w:val="20"/>
                <w:szCs w:val="20"/>
                <w:color w:val="auto"/>
              </w:rPr>
            </w:pPr>
            <w:r>
              <w:rPr>
                <w:rFonts w:ascii="Arial" w:cs="Arial" w:eastAsia="Arial" w:hAnsi="Arial"/>
                <w:sz w:val="12"/>
                <w:szCs w:val="12"/>
                <w:b w:val="1"/>
                <w:bCs w:val="1"/>
                <w:color w:val="auto"/>
              </w:rPr>
              <w:t>Michael Garcia</w:t>
            </w:r>
          </w:p>
        </w:tc>
        <w:tc>
          <w:tcPr>
            <w:tcW w:w="9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2"/>
                <w:szCs w:val="12"/>
                <w:color w:val="auto"/>
              </w:rPr>
              <w:t>2025</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1,069,703</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3,592,082</w:t>
            </w:r>
          </w:p>
        </w:tc>
        <w:tc>
          <w:tcPr>
            <w:tcW w:w="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63,131</w:t>
            </w:r>
          </w:p>
        </w:tc>
        <w:tc>
          <w:tcPr>
            <w:tcW w:w="16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39"/>
              <w:spacing w:after="0"/>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7"/>
              </w:rPr>
              <w:t>33,810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5"/>
              </w:rPr>
              <w:t xml:space="preserve">2,062,136 </w:t>
            </w:r>
            <w:r>
              <w:rPr>
                <w:rFonts w:ascii="Arial" w:cs="Arial" w:eastAsia="Arial" w:hAnsi="Arial"/>
                <w:sz w:val="18"/>
                <w:szCs w:val="18"/>
                <w:color w:val="auto"/>
                <w:w w:val="95"/>
                <w:vertAlign w:val="superscript"/>
              </w:rPr>
              <w:t>(6)</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6,820,862</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Former Chief Executive</w:t>
            </w:r>
          </w:p>
        </w:tc>
        <w:tc>
          <w:tcPr>
            <w:tcW w:w="940" w:type="dxa"/>
            <w:vAlign w:val="bottom"/>
            <w:tcBorders>
              <w:right w:val="single" w:sz="8" w:color="auto"/>
            </w:tcBorders>
            <w:gridSpan w:val="2"/>
            <w:vMerge w:val="continue"/>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54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i w:val="1"/>
                <w:iCs w:val="1"/>
                <w:color w:val="auto"/>
              </w:rPr>
              <w:t>Officer</w:t>
            </w:r>
          </w:p>
        </w:tc>
        <w:tc>
          <w:tcPr>
            <w:tcW w:w="32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60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1,011,569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3,026,250</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1,281,602</w:t>
            </w:r>
          </w:p>
        </w:tc>
        <w:tc>
          <w:tcPr>
            <w:tcW w:w="160" w:type="dxa"/>
            <w:vAlign w:val="bottom"/>
          </w:tcPr>
          <w:p>
            <w:pPr>
              <w:spacing w:after="0"/>
              <w:rPr>
                <w:sz w:val="13"/>
                <w:szCs w:val="13"/>
                <w:color w:val="auto"/>
              </w:rPr>
            </w:pPr>
          </w:p>
        </w:tc>
        <w:tc>
          <w:tcPr>
            <w:tcW w:w="680" w:type="dxa"/>
            <w:vAlign w:val="bottom"/>
            <w:tcBorders>
              <w:right w:val="single" w:sz="8" w:color="auto"/>
            </w:tcBorders>
          </w:tcPr>
          <w:p>
            <w:pPr>
              <w:jc w:val="center"/>
              <w:ind w:right="39"/>
              <w:spacing w:after="0"/>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34,060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227,651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5,581,132</w:t>
            </w:r>
          </w:p>
        </w:tc>
        <w:tc>
          <w:tcPr>
            <w:tcW w:w="0" w:type="dxa"/>
            <w:vAlign w:val="bottom"/>
          </w:tcPr>
          <w:p>
            <w:pPr>
              <w:spacing w:after="0"/>
              <w:rPr>
                <w:sz w:val="1"/>
                <w:szCs w:val="1"/>
                <w:color w:val="auto"/>
              </w:rPr>
            </w:pPr>
          </w:p>
        </w:tc>
      </w:tr>
      <w:tr>
        <w:trPr>
          <w:trHeight w:val="49"/>
        </w:trPr>
        <w:tc>
          <w:tcPr>
            <w:tcW w:w="160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839,372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1,694,564</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250,185</w:t>
            </w:r>
          </w:p>
        </w:tc>
        <w:tc>
          <w:tcPr>
            <w:tcW w:w="160" w:type="dxa"/>
            <w:vAlign w:val="bottom"/>
          </w:tcPr>
          <w:p>
            <w:pPr>
              <w:spacing w:after="0"/>
              <w:rPr>
                <w:sz w:val="13"/>
                <w:szCs w:val="13"/>
                <w:color w:val="auto"/>
              </w:rPr>
            </w:pPr>
          </w:p>
        </w:tc>
        <w:tc>
          <w:tcPr>
            <w:tcW w:w="680" w:type="dxa"/>
            <w:vAlign w:val="bottom"/>
            <w:tcBorders>
              <w:right w:val="single" w:sz="8" w:color="auto"/>
            </w:tcBorders>
          </w:tcPr>
          <w:p>
            <w:pPr>
              <w:jc w:val="center"/>
              <w:ind w:right="39"/>
              <w:spacing w:after="0"/>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30,780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148,771</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2,963,672</w:t>
            </w:r>
          </w:p>
        </w:tc>
        <w:tc>
          <w:tcPr>
            <w:tcW w:w="0" w:type="dxa"/>
            <w:vAlign w:val="bottom"/>
          </w:tcPr>
          <w:p>
            <w:pPr>
              <w:spacing w:after="0"/>
              <w:rPr>
                <w:sz w:val="1"/>
                <w:szCs w:val="1"/>
                <w:color w:val="auto"/>
              </w:rPr>
            </w:pPr>
          </w:p>
        </w:tc>
      </w:tr>
      <w:tr>
        <w:trPr>
          <w:trHeight w:val="49"/>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600" w:type="dxa"/>
            <w:vAlign w:val="bottom"/>
            <w:tcBorders>
              <w:left w:val="single" w:sz="8" w:color="auto"/>
              <w:right w:val="single" w:sz="8" w:color="auto"/>
            </w:tcBorders>
          </w:tcPr>
          <w:p>
            <w:pPr>
              <w:ind w:left="160"/>
              <w:spacing w:after="0" w:line="121" w:lineRule="exact"/>
              <w:rPr>
                <w:sz w:val="20"/>
                <w:szCs w:val="20"/>
                <w:color w:val="auto"/>
              </w:rPr>
            </w:pPr>
            <w:r>
              <w:rPr>
                <w:rFonts w:ascii="Arial" w:cs="Arial" w:eastAsia="Arial" w:hAnsi="Arial"/>
                <w:sz w:val="10"/>
                <w:szCs w:val="10"/>
                <w:b w:val="1"/>
                <w:bCs w:val="1"/>
                <w:color w:val="auto"/>
              </w:rPr>
              <w:t>Rajat Marwah</w:t>
            </w:r>
            <w:r>
              <w:rPr>
                <w:rFonts w:ascii="Arial" w:cs="Arial" w:eastAsia="Arial" w:hAnsi="Arial"/>
                <w:sz w:val="14"/>
                <w:szCs w:val="14"/>
                <w:color w:val="auto"/>
                <w:vertAlign w:val="superscript"/>
              </w:rPr>
              <w:t>(4)</w:t>
            </w:r>
          </w:p>
        </w:tc>
        <w:tc>
          <w:tcPr>
            <w:tcW w:w="940" w:type="dxa"/>
            <w:vAlign w:val="bottom"/>
            <w:tcBorders>
              <w:right w:val="single" w:sz="8" w:color="auto"/>
            </w:tcBorders>
            <w:gridSpan w:val="2"/>
          </w:tcPr>
          <w:p>
            <w:pPr>
              <w:jc w:val="center"/>
              <w:spacing w:after="0" w:line="122" w:lineRule="exact"/>
              <w:rPr>
                <w:sz w:val="20"/>
                <w:szCs w:val="20"/>
                <w:color w:val="auto"/>
              </w:rPr>
            </w:pPr>
            <w:r>
              <w:rPr>
                <w:rFonts w:ascii="Arial" w:cs="Arial" w:eastAsia="Arial" w:hAnsi="Arial"/>
                <w:sz w:val="12"/>
                <w:szCs w:val="12"/>
                <w:color w:val="auto"/>
              </w:rPr>
              <w:t>2025</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543,762</w:t>
            </w:r>
          </w:p>
        </w:tc>
        <w:tc>
          <w:tcPr>
            <w:tcW w:w="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761,085</w:t>
            </w:r>
          </w:p>
        </w:tc>
        <w:tc>
          <w:tcPr>
            <w:tcW w:w="5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133,914</w:t>
            </w:r>
          </w:p>
        </w:tc>
        <w:tc>
          <w:tcPr>
            <w:tcW w:w="160" w:type="dxa"/>
            <w:vAlign w:val="bottom"/>
          </w:tcPr>
          <w:p>
            <w:pPr>
              <w:spacing w:after="0"/>
              <w:rPr>
                <w:sz w:val="10"/>
                <w:szCs w:val="10"/>
                <w:color w:val="auto"/>
              </w:rPr>
            </w:pPr>
          </w:p>
        </w:tc>
        <w:tc>
          <w:tcPr>
            <w:tcW w:w="680" w:type="dxa"/>
            <w:vAlign w:val="bottom"/>
            <w:tcBorders>
              <w:right w:val="single" w:sz="8" w:color="auto"/>
            </w:tcBorders>
          </w:tcPr>
          <w:p>
            <w:pPr>
              <w:jc w:val="center"/>
              <w:ind w:right="39"/>
              <w:spacing w:after="0" w:line="122" w:lineRule="exact"/>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97"/>
              </w:rPr>
              <w:t>33,218</w:t>
            </w:r>
          </w:p>
        </w:tc>
        <w:tc>
          <w:tcPr>
            <w:tcW w:w="10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1,471,980</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Chief Executive Officer /</w:t>
            </w:r>
          </w:p>
        </w:tc>
        <w:tc>
          <w:tcPr>
            <w:tcW w:w="32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Former President and</w:t>
            </w:r>
          </w:p>
        </w:tc>
        <w:tc>
          <w:tcPr>
            <w:tcW w:w="32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i w:val="1"/>
                <w:iCs w:val="1"/>
                <w:color w:val="auto"/>
              </w:rPr>
              <w:t>Chief Financial Officer</w:t>
            </w:r>
          </w:p>
        </w:tc>
        <w:tc>
          <w:tcPr>
            <w:tcW w:w="32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60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533,100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373,170</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472,806</w:t>
            </w:r>
          </w:p>
        </w:tc>
        <w:tc>
          <w:tcPr>
            <w:tcW w:w="160" w:type="dxa"/>
            <w:vAlign w:val="bottom"/>
          </w:tcPr>
          <w:p>
            <w:pPr>
              <w:spacing w:after="0"/>
              <w:rPr>
                <w:sz w:val="13"/>
                <w:szCs w:val="13"/>
                <w:color w:val="auto"/>
              </w:rPr>
            </w:pPr>
          </w:p>
        </w:tc>
        <w:tc>
          <w:tcPr>
            <w:tcW w:w="680" w:type="dxa"/>
            <w:vAlign w:val="bottom"/>
            <w:tcBorders>
              <w:right w:val="single" w:sz="8" w:color="auto"/>
            </w:tcBorders>
          </w:tcPr>
          <w:p>
            <w:pPr>
              <w:jc w:val="center"/>
              <w:ind w:right="39"/>
              <w:spacing w:after="0"/>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33,254</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172,199</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1,584,529</w:t>
            </w:r>
          </w:p>
        </w:tc>
        <w:tc>
          <w:tcPr>
            <w:tcW w:w="0" w:type="dxa"/>
            <w:vAlign w:val="bottom"/>
          </w:tcPr>
          <w:p>
            <w:pPr>
              <w:spacing w:after="0"/>
              <w:rPr>
                <w:sz w:val="1"/>
                <w:szCs w:val="1"/>
                <w:color w:val="auto"/>
              </w:rPr>
            </w:pPr>
          </w:p>
        </w:tc>
      </w:tr>
      <w:tr>
        <w:trPr>
          <w:trHeight w:val="49"/>
        </w:trPr>
        <w:tc>
          <w:tcPr>
            <w:tcW w:w="160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440,000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149,138</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141,680</w:t>
            </w:r>
          </w:p>
        </w:tc>
        <w:tc>
          <w:tcPr>
            <w:tcW w:w="160" w:type="dxa"/>
            <w:vAlign w:val="bottom"/>
          </w:tcPr>
          <w:p>
            <w:pPr>
              <w:spacing w:after="0"/>
              <w:rPr>
                <w:sz w:val="13"/>
                <w:szCs w:val="13"/>
                <w:color w:val="auto"/>
              </w:rPr>
            </w:pPr>
          </w:p>
        </w:tc>
        <w:tc>
          <w:tcPr>
            <w:tcW w:w="680" w:type="dxa"/>
            <w:vAlign w:val="bottom"/>
            <w:tcBorders>
              <w:right w:val="single" w:sz="8" w:color="auto"/>
            </w:tcBorders>
          </w:tcPr>
          <w:p>
            <w:pPr>
              <w:jc w:val="center"/>
              <w:ind w:right="39"/>
              <w:spacing w:after="0"/>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30,780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158,187</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919,785</w:t>
            </w:r>
          </w:p>
        </w:tc>
        <w:tc>
          <w:tcPr>
            <w:tcW w:w="0" w:type="dxa"/>
            <w:vAlign w:val="bottom"/>
          </w:tcPr>
          <w:p>
            <w:pPr>
              <w:spacing w:after="0"/>
              <w:rPr>
                <w:sz w:val="1"/>
                <w:szCs w:val="1"/>
                <w:color w:val="auto"/>
              </w:rPr>
            </w:pPr>
          </w:p>
        </w:tc>
      </w:tr>
      <w:tr>
        <w:trPr>
          <w:trHeight w:val="49"/>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600" w:type="dxa"/>
            <w:vAlign w:val="bottom"/>
            <w:tcBorders>
              <w:left w:val="single" w:sz="8" w:color="auto"/>
              <w:right w:val="single" w:sz="8" w:color="auto"/>
            </w:tcBorders>
          </w:tcPr>
          <w:p>
            <w:pPr>
              <w:ind w:left="160"/>
              <w:spacing w:after="0" w:line="121" w:lineRule="exact"/>
              <w:rPr>
                <w:sz w:val="20"/>
                <w:szCs w:val="20"/>
                <w:color w:val="auto"/>
              </w:rPr>
            </w:pPr>
            <w:r>
              <w:rPr>
                <w:rFonts w:ascii="Arial" w:cs="Arial" w:eastAsia="Arial" w:hAnsi="Arial"/>
                <w:sz w:val="10"/>
                <w:szCs w:val="10"/>
                <w:b w:val="1"/>
                <w:bCs w:val="1"/>
                <w:color w:val="auto"/>
              </w:rPr>
              <w:t>John Naccarato</w:t>
            </w:r>
            <w:r>
              <w:rPr>
                <w:rFonts w:ascii="Arial" w:cs="Arial" w:eastAsia="Arial" w:hAnsi="Arial"/>
                <w:sz w:val="14"/>
                <w:szCs w:val="14"/>
                <w:color w:val="auto"/>
                <w:vertAlign w:val="superscript"/>
              </w:rPr>
              <w:t>(4)(6)</w:t>
            </w:r>
          </w:p>
        </w:tc>
        <w:tc>
          <w:tcPr>
            <w:tcW w:w="940" w:type="dxa"/>
            <w:vAlign w:val="bottom"/>
            <w:tcBorders>
              <w:right w:val="single" w:sz="8" w:color="auto"/>
            </w:tcBorders>
            <w:gridSpan w:val="2"/>
          </w:tcPr>
          <w:p>
            <w:pPr>
              <w:jc w:val="center"/>
              <w:spacing w:after="0" w:line="122" w:lineRule="exact"/>
              <w:rPr>
                <w:sz w:val="20"/>
                <w:szCs w:val="20"/>
                <w:color w:val="auto"/>
              </w:rPr>
            </w:pPr>
            <w:r>
              <w:rPr>
                <w:rFonts w:ascii="Arial" w:cs="Arial" w:eastAsia="Arial" w:hAnsi="Arial"/>
                <w:sz w:val="12"/>
                <w:szCs w:val="12"/>
                <w:color w:val="auto"/>
              </w:rPr>
              <w:t>2025</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504,900</w:t>
            </w:r>
          </w:p>
        </w:tc>
        <w:tc>
          <w:tcPr>
            <w:tcW w:w="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706,698</w:t>
            </w:r>
          </w:p>
        </w:tc>
        <w:tc>
          <w:tcPr>
            <w:tcW w:w="5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124,344</w:t>
            </w:r>
          </w:p>
        </w:tc>
        <w:tc>
          <w:tcPr>
            <w:tcW w:w="160" w:type="dxa"/>
            <w:vAlign w:val="bottom"/>
          </w:tcPr>
          <w:p>
            <w:pPr>
              <w:spacing w:after="0"/>
              <w:rPr>
                <w:sz w:val="10"/>
                <w:szCs w:val="10"/>
                <w:color w:val="auto"/>
              </w:rPr>
            </w:pPr>
          </w:p>
        </w:tc>
        <w:tc>
          <w:tcPr>
            <w:tcW w:w="680" w:type="dxa"/>
            <w:vAlign w:val="bottom"/>
            <w:tcBorders>
              <w:right w:val="single" w:sz="8" w:color="auto"/>
            </w:tcBorders>
          </w:tcPr>
          <w:p>
            <w:pPr>
              <w:jc w:val="center"/>
              <w:ind w:right="39"/>
              <w:spacing w:after="0" w:line="122" w:lineRule="exact"/>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97"/>
              </w:rPr>
              <w:t>32,052</w:t>
            </w:r>
          </w:p>
        </w:tc>
        <w:tc>
          <w:tcPr>
            <w:tcW w:w="10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1,385,994</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Vice President – Strategy</w:t>
            </w:r>
          </w:p>
        </w:tc>
        <w:tc>
          <w:tcPr>
            <w:tcW w:w="32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i w:val="1"/>
                <w:iCs w:val="1"/>
                <w:color w:val="auto"/>
              </w:rPr>
              <w:t>and Chief Legal Officer</w:t>
            </w:r>
          </w:p>
        </w:tc>
        <w:tc>
          <w:tcPr>
            <w:tcW w:w="32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60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505,000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346,500</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447,885</w:t>
            </w:r>
          </w:p>
        </w:tc>
        <w:tc>
          <w:tcPr>
            <w:tcW w:w="160" w:type="dxa"/>
            <w:vAlign w:val="bottom"/>
          </w:tcPr>
          <w:p>
            <w:pPr>
              <w:spacing w:after="0"/>
              <w:rPr>
                <w:sz w:val="13"/>
                <w:szCs w:val="13"/>
                <w:color w:val="auto"/>
              </w:rPr>
            </w:pPr>
          </w:p>
        </w:tc>
        <w:tc>
          <w:tcPr>
            <w:tcW w:w="680" w:type="dxa"/>
            <w:vAlign w:val="bottom"/>
            <w:tcBorders>
              <w:right w:val="single" w:sz="8" w:color="auto"/>
            </w:tcBorders>
          </w:tcPr>
          <w:p>
            <w:pPr>
              <w:jc w:val="center"/>
              <w:ind w:right="39"/>
              <w:spacing w:after="0"/>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32,077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265,318</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1,596,779</w:t>
            </w:r>
          </w:p>
        </w:tc>
        <w:tc>
          <w:tcPr>
            <w:tcW w:w="0" w:type="dxa"/>
            <w:vAlign w:val="bottom"/>
          </w:tcPr>
          <w:p>
            <w:pPr>
              <w:spacing w:after="0"/>
              <w:rPr>
                <w:sz w:val="1"/>
                <w:szCs w:val="1"/>
                <w:color w:val="auto"/>
              </w:rPr>
            </w:pPr>
          </w:p>
        </w:tc>
      </w:tr>
      <w:tr>
        <w:trPr>
          <w:trHeight w:val="49"/>
        </w:trPr>
        <w:tc>
          <w:tcPr>
            <w:tcW w:w="160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417,091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135,566</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134,303</w:t>
            </w:r>
          </w:p>
        </w:tc>
        <w:tc>
          <w:tcPr>
            <w:tcW w:w="160" w:type="dxa"/>
            <w:vAlign w:val="bottom"/>
          </w:tcPr>
          <w:p>
            <w:pPr>
              <w:spacing w:after="0"/>
              <w:rPr>
                <w:sz w:val="13"/>
                <w:szCs w:val="13"/>
                <w:color w:val="auto"/>
              </w:rPr>
            </w:pPr>
          </w:p>
        </w:tc>
        <w:tc>
          <w:tcPr>
            <w:tcW w:w="680" w:type="dxa"/>
            <w:vAlign w:val="bottom"/>
            <w:tcBorders>
              <w:right w:val="single" w:sz="8" w:color="auto"/>
            </w:tcBorders>
          </w:tcPr>
          <w:p>
            <w:pPr>
              <w:jc w:val="center"/>
              <w:ind w:right="39"/>
              <w:spacing w:after="0"/>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30,780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175,192</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892,932</w:t>
            </w:r>
          </w:p>
        </w:tc>
        <w:tc>
          <w:tcPr>
            <w:tcW w:w="0" w:type="dxa"/>
            <w:vAlign w:val="bottom"/>
          </w:tcPr>
          <w:p>
            <w:pPr>
              <w:spacing w:after="0"/>
              <w:rPr>
                <w:sz w:val="1"/>
                <w:szCs w:val="1"/>
                <w:color w:val="auto"/>
              </w:rPr>
            </w:pPr>
          </w:p>
        </w:tc>
      </w:tr>
      <w:tr>
        <w:trPr>
          <w:trHeight w:val="49"/>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600" w:type="dxa"/>
            <w:vAlign w:val="bottom"/>
            <w:tcBorders>
              <w:left w:val="single" w:sz="8" w:color="auto"/>
              <w:right w:val="single" w:sz="8" w:color="auto"/>
            </w:tcBorders>
          </w:tcPr>
          <w:p>
            <w:pPr>
              <w:ind w:left="160"/>
              <w:spacing w:after="0" w:line="121" w:lineRule="exact"/>
              <w:rPr>
                <w:sz w:val="20"/>
                <w:szCs w:val="20"/>
                <w:color w:val="auto"/>
              </w:rPr>
            </w:pPr>
            <w:r>
              <w:rPr>
                <w:rFonts w:ascii="Arial" w:cs="Arial" w:eastAsia="Arial" w:hAnsi="Arial"/>
                <w:sz w:val="10"/>
                <w:szCs w:val="10"/>
                <w:b w:val="1"/>
                <w:bCs w:val="1"/>
                <w:color w:val="auto"/>
              </w:rPr>
              <w:t>Mark Nogalo</w:t>
            </w:r>
            <w:r>
              <w:rPr>
                <w:rFonts w:ascii="Arial" w:cs="Arial" w:eastAsia="Arial" w:hAnsi="Arial"/>
                <w:sz w:val="14"/>
                <w:szCs w:val="14"/>
                <w:color w:val="auto"/>
                <w:vertAlign w:val="superscript"/>
              </w:rPr>
              <w:t>(4)</w:t>
            </w:r>
          </w:p>
        </w:tc>
        <w:tc>
          <w:tcPr>
            <w:tcW w:w="940" w:type="dxa"/>
            <w:vAlign w:val="bottom"/>
            <w:tcBorders>
              <w:right w:val="single" w:sz="8" w:color="auto"/>
            </w:tcBorders>
            <w:gridSpan w:val="2"/>
          </w:tcPr>
          <w:p>
            <w:pPr>
              <w:jc w:val="center"/>
              <w:spacing w:after="0" w:line="122" w:lineRule="exact"/>
              <w:rPr>
                <w:sz w:val="20"/>
                <w:szCs w:val="20"/>
                <w:color w:val="auto"/>
              </w:rPr>
            </w:pPr>
            <w:r>
              <w:rPr>
                <w:rFonts w:ascii="Arial" w:cs="Arial" w:eastAsia="Arial" w:hAnsi="Arial"/>
                <w:sz w:val="12"/>
                <w:szCs w:val="12"/>
                <w:color w:val="auto"/>
              </w:rPr>
              <w:t>2025</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425,000</w:t>
            </w:r>
          </w:p>
        </w:tc>
        <w:tc>
          <w:tcPr>
            <w:tcW w:w="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297,422</w:t>
            </w:r>
          </w:p>
        </w:tc>
        <w:tc>
          <w:tcPr>
            <w:tcW w:w="5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104,666</w:t>
            </w:r>
          </w:p>
        </w:tc>
        <w:tc>
          <w:tcPr>
            <w:tcW w:w="160" w:type="dxa"/>
            <w:vAlign w:val="bottom"/>
          </w:tcPr>
          <w:p>
            <w:pPr>
              <w:spacing w:after="0"/>
              <w:rPr>
                <w:sz w:val="10"/>
                <w:szCs w:val="10"/>
                <w:color w:val="auto"/>
              </w:rPr>
            </w:pPr>
          </w:p>
        </w:tc>
        <w:tc>
          <w:tcPr>
            <w:tcW w:w="680" w:type="dxa"/>
            <w:vAlign w:val="bottom"/>
            <w:tcBorders>
              <w:right w:val="single" w:sz="8" w:color="auto"/>
            </w:tcBorders>
          </w:tcPr>
          <w:p>
            <w:pPr>
              <w:jc w:val="center"/>
              <w:ind w:right="39"/>
              <w:spacing w:after="0" w:line="122" w:lineRule="exact"/>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w:t>
            </w:r>
          </w:p>
        </w:tc>
        <w:tc>
          <w:tcPr>
            <w:tcW w:w="10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827,088</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Former Vice President –</w:t>
            </w:r>
          </w:p>
        </w:tc>
        <w:tc>
          <w:tcPr>
            <w:tcW w:w="32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i w:val="1"/>
                <w:iCs w:val="1"/>
                <w:color w:val="auto"/>
              </w:rPr>
              <w:t>Strategic Transformation</w:t>
            </w:r>
          </w:p>
        </w:tc>
        <w:tc>
          <w:tcPr>
            <w:tcW w:w="32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60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400,000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280,000</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354,760</w:t>
            </w:r>
          </w:p>
        </w:tc>
        <w:tc>
          <w:tcPr>
            <w:tcW w:w="160" w:type="dxa"/>
            <w:vAlign w:val="bottom"/>
          </w:tcPr>
          <w:p>
            <w:pPr>
              <w:spacing w:after="0"/>
              <w:rPr>
                <w:sz w:val="13"/>
                <w:szCs w:val="13"/>
                <w:color w:val="auto"/>
              </w:rPr>
            </w:pPr>
          </w:p>
        </w:tc>
        <w:tc>
          <w:tcPr>
            <w:tcW w:w="680" w:type="dxa"/>
            <w:vAlign w:val="bottom"/>
            <w:tcBorders>
              <w:right w:val="single" w:sz="8" w:color="auto"/>
            </w:tcBorders>
          </w:tcPr>
          <w:p>
            <w:pPr>
              <w:jc w:val="center"/>
              <w:ind w:right="39"/>
              <w:spacing w:after="0"/>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45,600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143,726</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1,224,086</w:t>
            </w:r>
          </w:p>
        </w:tc>
        <w:tc>
          <w:tcPr>
            <w:tcW w:w="0" w:type="dxa"/>
            <w:vAlign w:val="bottom"/>
          </w:tcPr>
          <w:p>
            <w:pPr>
              <w:spacing w:after="0"/>
              <w:rPr>
                <w:sz w:val="1"/>
                <w:szCs w:val="1"/>
                <w:color w:val="auto"/>
              </w:rPr>
            </w:pPr>
          </w:p>
        </w:tc>
      </w:tr>
      <w:tr>
        <w:trPr>
          <w:trHeight w:val="49"/>
        </w:trPr>
        <w:tc>
          <w:tcPr>
            <w:tcW w:w="160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2023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345,000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6"/>
              </w:rPr>
              <w:t>116,938</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96,600</w:t>
            </w:r>
          </w:p>
        </w:tc>
        <w:tc>
          <w:tcPr>
            <w:tcW w:w="160" w:type="dxa"/>
            <w:vAlign w:val="bottom"/>
          </w:tcPr>
          <w:p>
            <w:pPr>
              <w:spacing w:after="0"/>
              <w:rPr>
                <w:sz w:val="13"/>
                <w:szCs w:val="13"/>
                <w:color w:val="auto"/>
              </w:rPr>
            </w:pPr>
          </w:p>
        </w:tc>
        <w:tc>
          <w:tcPr>
            <w:tcW w:w="680" w:type="dxa"/>
            <w:vAlign w:val="bottom"/>
            <w:tcBorders>
              <w:right w:val="single" w:sz="8" w:color="auto"/>
            </w:tcBorders>
          </w:tcPr>
          <w:p>
            <w:pPr>
              <w:jc w:val="center"/>
              <w:ind w:right="39"/>
              <w:spacing w:after="0"/>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30,180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133,565</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722,282</w:t>
            </w:r>
          </w:p>
        </w:tc>
        <w:tc>
          <w:tcPr>
            <w:tcW w:w="0" w:type="dxa"/>
            <w:vAlign w:val="bottom"/>
          </w:tcPr>
          <w:p>
            <w:pPr>
              <w:spacing w:after="0"/>
              <w:rPr>
                <w:sz w:val="1"/>
                <w:szCs w:val="1"/>
                <w:color w:val="auto"/>
              </w:rPr>
            </w:pPr>
          </w:p>
        </w:tc>
      </w:tr>
      <w:tr>
        <w:trPr>
          <w:trHeight w:val="49"/>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1600" w:type="dxa"/>
            <w:vAlign w:val="bottom"/>
            <w:tcBorders>
              <w:left w:val="single" w:sz="8" w:color="auto"/>
              <w:right w:val="single" w:sz="8" w:color="auto"/>
            </w:tcBorders>
          </w:tcPr>
          <w:p>
            <w:pPr>
              <w:ind w:left="160"/>
              <w:spacing w:after="0" w:line="122" w:lineRule="exact"/>
              <w:rPr>
                <w:sz w:val="20"/>
                <w:szCs w:val="20"/>
                <w:color w:val="auto"/>
              </w:rPr>
            </w:pPr>
            <w:r>
              <w:rPr>
                <w:rFonts w:ascii="Arial" w:cs="Arial" w:eastAsia="Arial" w:hAnsi="Arial"/>
                <w:sz w:val="12"/>
                <w:szCs w:val="12"/>
                <w:b w:val="1"/>
                <w:bCs w:val="1"/>
                <w:color w:val="auto"/>
              </w:rPr>
              <w:t>Michael Panzeri</w:t>
            </w:r>
          </w:p>
        </w:tc>
        <w:tc>
          <w:tcPr>
            <w:tcW w:w="940" w:type="dxa"/>
            <w:vAlign w:val="bottom"/>
            <w:tcBorders>
              <w:right w:val="single" w:sz="8" w:color="auto"/>
            </w:tcBorders>
            <w:gridSpan w:val="2"/>
          </w:tcPr>
          <w:p>
            <w:pPr>
              <w:jc w:val="center"/>
              <w:spacing w:after="0" w:line="122" w:lineRule="exact"/>
              <w:rPr>
                <w:sz w:val="20"/>
                <w:szCs w:val="20"/>
                <w:color w:val="auto"/>
              </w:rPr>
            </w:pPr>
            <w:r>
              <w:rPr>
                <w:rFonts w:ascii="Arial" w:cs="Arial" w:eastAsia="Arial" w:hAnsi="Arial"/>
                <w:sz w:val="12"/>
                <w:szCs w:val="12"/>
                <w:color w:val="auto"/>
              </w:rPr>
              <w:t>2025</w:t>
            </w:r>
          </w:p>
        </w:tc>
        <w:tc>
          <w:tcPr>
            <w:tcW w:w="9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596,700</w:t>
            </w:r>
          </w:p>
        </w:tc>
        <w:tc>
          <w:tcPr>
            <w:tcW w:w="9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835,178</w:t>
            </w:r>
          </w:p>
        </w:tc>
        <w:tc>
          <w:tcPr>
            <w:tcW w:w="5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146,952</w:t>
            </w:r>
          </w:p>
        </w:tc>
        <w:tc>
          <w:tcPr>
            <w:tcW w:w="160" w:type="dxa"/>
            <w:vAlign w:val="bottom"/>
          </w:tcPr>
          <w:p>
            <w:pPr>
              <w:spacing w:after="0"/>
              <w:rPr>
                <w:sz w:val="10"/>
                <w:szCs w:val="10"/>
                <w:color w:val="auto"/>
              </w:rPr>
            </w:pPr>
          </w:p>
        </w:tc>
        <w:tc>
          <w:tcPr>
            <w:tcW w:w="680" w:type="dxa"/>
            <w:vAlign w:val="bottom"/>
            <w:tcBorders>
              <w:right w:val="single" w:sz="8" w:color="auto"/>
            </w:tcBorders>
          </w:tcPr>
          <w:p>
            <w:pPr>
              <w:jc w:val="center"/>
              <w:ind w:right="39"/>
              <w:spacing w:after="0" w:line="122" w:lineRule="exact"/>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w w:val="97"/>
              </w:rPr>
              <w:t>33,810</w:t>
            </w:r>
          </w:p>
        </w:tc>
        <w:tc>
          <w:tcPr>
            <w:tcW w:w="106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0"/>
                <w:szCs w:val="10"/>
                <w:color w:val="auto"/>
              </w:rPr>
              <w:t>69,780</w:t>
            </w:r>
            <w:r>
              <w:rPr>
                <w:rFonts w:ascii="Arial" w:cs="Arial" w:eastAsia="Arial" w:hAnsi="Arial"/>
                <w:sz w:val="14"/>
                <w:szCs w:val="14"/>
                <w:color w:val="auto"/>
                <w:vertAlign w:val="superscript"/>
              </w:rPr>
              <w:t>(7)</w:t>
            </w:r>
          </w:p>
        </w:tc>
        <w:tc>
          <w:tcPr>
            <w:tcW w:w="14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2"/>
                <w:szCs w:val="12"/>
                <w:color w:val="auto"/>
              </w:rPr>
              <w:t>1,682,420</w:t>
            </w:r>
          </w:p>
        </w:tc>
        <w:tc>
          <w:tcPr>
            <w:tcW w:w="0" w:type="dxa"/>
            <w:vAlign w:val="bottom"/>
          </w:tcPr>
          <w:p>
            <w:pPr>
              <w:spacing w:after="0"/>
              <w:rPr>
                <w:sz w:val="1"/>
                <w:szCs w:val="1"/>
                <w:color w:val="auto"/>
              </w:rPr>
            </w:pPr>
          </w:p>
        </w:tc>
      </w:tr>
      <w:tr>
        <w:trPr>
          <w:trHeight w:val="131"/>
        </w:trPr>
        <w:tc>
          <w:tcPr>
            <w:tcW w:w="160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Senior Vice President –</w:t>
            </w:r>
          </w:p>
        </w:tc>
        <w:tc>
          <w:tcPr>
            <w:tcW w:w="32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4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i w:val="1"/>
                <w:iCs w:val="1"/>
                <w:color w:val="auto"/>
              </w:rPr>
              <w:t>Production</w:t>
            </w:r>
          </w:p>
        </w:tc>
        <w:tc>
          <w:tcPr>
            <w:tcW w:w="32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94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6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60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1600" w:type="dxa"/>
            <w:vAlign w:val="bottom"/>
            <w:tcBorders>
              <w:left w:val="single" w:sz="8" w:color="auto"/>
              <w:right w:val="single" w:sz="8" w:color="auto"/>
            </w:tcBorders>
          </w:tcPr>
          <w:p>
            <w:pPr>
              <w:spacing w:after="0"/>
              <w:rPr>
                <w:sz w:val="13"/>
                <w:szCs w:val="13"/>
                <w:color w:val="auto"/>
              </w:rPr>
            </w:pP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2"/>
                <w:szCs w:val="12"/>
                <w:color w:val="auto"/>
              </w:rPr>
              <w:t>2024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493,859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344,429</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438,003</w:t>
            </w:r>
          </w:p>
        </w:tc>
        <w:tc>
          <w:tcPr>
            <w:tcW w:w="160" w:type="dxa"/>
            <w:vAlign w:val="bottom"/>
          </w:tcPr>
          <w:p>
            <w:pPr>
              <w:spacing w:after="0"/>
              <w:rPr>
                <w:sz w:val="13"/>
                <w:szCs w:val="13"/>
                <w:color w:val="auto"/>
              </w:rPr>
            </w:pPr>
          </w:p>
        </w:tc>
        <w:tc>
          <w:tcPr>
            <w:tcW w:w="680" w:type="dxa"/>
            <w:vAlign w:val="bottom"/>
            <w:tcBorders>
              <w:right w:val="single" w:sz="8" w:color="auto"/>
            </w:tcBorders>
          </w:tcPr>
          <w:p>
            <w:pPr>
              <w:jc w:val="center"/>
              <w:ind w:right="39"/>
              <w:spacing w:after="0"/>
              <w:rPr>
                <w:sz w:val="20"/>
                <w:szCs w:val="20"/>
                <w:color w:val="auto"/>
              </w:rPr>
            </w:pPr>
            <w:r>
              <w:rPr>
                <w:rFonts w:ascii="Arial" w:cs="Arial" w:eastAsia="Arial" w:hAnsi="Arial"/>
                <w:sz w:val="12"/>
                <w:szCs w:val="12"/>
                <w:color w:val="auto"/>
                <w:w w:val="89"/>
              </w:rPr>
              <w:t>–</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7"/>
              </w:rPr>
              <w:t>39,371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180,967</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1,496,629</w:t>
            </w:r>
          </w:p>
        </w:tc>
        <w:tc>
          <w:tcPr>
            <w:tcW w:w="0" w:type="dxa"/>
            <w:vAlign w:val="bottom"/>
          </w:tcPr>
          <w:p>
            <w:pPr>
              <w:spacing w:after="0"/>
              <w:rPr>
                <w:sz w:val="1"/>
                <w:szCs w:val="1"/>
                <w:color w:val="auto"/>
              </w:rPr>
            </w:pPr>
          </w:p>
        </w:tc>
      </w:tr>
      <w:tr>
        <w:trPr>
          <w:trHeight w:val="49"/>
        </w:trPr>
        <w:tc>
          <w:tcPr>
            <w:tcW w:w="1600" w:type="dxa"/>
            <w:vAlign w:val="bottom"/>
            <w:tcBorders>
              <w:left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2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bottom w:val="single" w:sz="8" w:color="auto"/>
              <w:right w:val="single" w:sz="8" w:color="auto"/>
            </w:tcBorders>
          </w:tcPr>
          <w:p>
            <w:pPr>
              <w:spacing w:after="0"/>
              <w:rPr>
                <w:sz w:val="17"/>
                <w:szCs w:val="17"/>
                <w:color w:val="auto"/>
              </w:rPr>
            </w:pPr>
          </w:p>
        </w:tc>
        <w:tc>
          <w:tcPr>
            <w:tcW w:w="940" w:type="dxa"/>
            <w:vAlign w:val="bottom"/>
            <w:tcBorders>
              <w:bottom w:val="single" w:sz="8" w:color="auto"/>
              <w:right w:val="single" w:sz="8" w:color="auto"/>
            </w:tcBorders>
            <w:gridSpan w:val="2"/>
          </w:tcPr>
          <w:p>
            <w:pPr>
              <w:jc w:val="center"/>
              <w:spacing w:after="0" w:line="203" w:lineRule="exact"/>
              <w:rPr>
                <w:sz w:val="20"/>
                <w:szCs w:val="20"/>
                <w:color w:val="auto"/>
              </w:rPr>
            </w:pPr>
            <w:r>
              <w:rPr>
                <w:rFonts w:ascii="Arial" w:cs="Arial" w:eastAsia="Arial" w:hAnsi="Arial"/>
                <w:sz w:val="12"/>
                <w:szCs w:val="12"/>
                <w:color w:val="auto"/>
                <w:w w:val="91"/>
              </w:rPr>
              <w:t>2023</w:t>
            </w:r>
            <w:r>
              <w:rPr>
                <w:rFonts w:ascii="Arial" w:cs="Arial" w:eastAsia="Arial" w:hAnsi="Arial"/>
                <w:sz w:val="18"/>
                <w:szCs w:val="18"/>
                <w:color w:val="auto"/>
                <w:w w:val="91"/>
                <w:vertAlign w:val="superscript"/>
              </w:rPr>
              <w:t>(5)</w:t>
            </w:r>
          </w:p>
        </w:tc>
        <w:tc>
          <w:tcPr>
            <w:tcW w:w="940" w:type="dxa"/>
            <w:vAlign w:val="bottom"/>
            <w:tcBorders>
              <w:bottom w:val="single" w:sz="8" w:color="auto"/>
              <w:right w:val="single" w:sz="8" w:color="auto"/>
            </w:tcBorders>
          </w:tcPr>
          <w:p>
            <w:pPr>
              <w:spacing w:after="0"/>
              <w:rPr>
                <w:sz w:val="17"/>
                <w:szCs w:val="17"/>
                <w:color w:val="auto"/>
              </w:rPr>
            </w:pPr>
          </w:p>
        </w:tc>
        <w:tc>
          <w:tcPr>
            <w:tcW w:w="960" w:type="dxa"/>
            <w:vAlign w:val="bottom"/>
            <w:tcBorders>
              <w:bottom w:val="single" w:sz="8" w:color="auto"/>
              <w:right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1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ind w:left="520" w:hanging="415"/>
        <w:spacing w:after="0"/>
        <w:tabs>
          <w:tab w:leader="none" w:pos="520" w:val="left"/>
        </w:tabs>
        <w:numPr>
          <w:ilvl w:val="0"/>
          <w:numId w:val="30"/>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the base salary earned by each NEO.</w:t>
      </w:r>
    </w:p>
    <w:p>
      <w:pPr>
        <w:spacing w:after="0" w:line="13" w:lineRule="exact"/>
        <w:rPr>
          <w:rFonts w:ascii="Arial" w:cs="Arial" w:eastAsia="Arial" w:hAnsi="Arial"/>
          <w:sz w:val="16"/>
          <w:szCs w:val="16"/>
          <w:i w:val="1"/>
          <w:iCs w:val="1"/>
          <w:color w:val="003445"/>
        </w:rPr>
      </w:pPr>
    </w:p>
    <w:p>
      <w:pPr>
        <w:jc w:val="both"/>
        <w:ind w:left="520" w:right="20" w:hanging="415"/>
        <w:spacing w:after="0" w:line="244" w:lineRule="auto"/>
        <w:tabs>
          <w:tab w:leader="none" w:pos="520" w:val="left"/>
        </w:tabs>
        <w:numPr>
          <w:ilvl w:val="0"/>
          <w:numId w:val="30"/>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the number of PSUs and RSUs granted under the Omnibus Incentive Plan in Fiscal 2025, in each case multiplied by the VWAP (C$9.06) on the award date (March 11, 2025). Dividends or equivalents of dividends, if any, earned subsequent to a grant date are not included in the values reflected in the</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0700"/>
          </w:cols>
          <w:pgMar w:left="600" w:top="284" w:right="599" w:bottom="1440" w:gutter="0" w:footer="0" w:header="0"/>
        </w:sectPr>
      </w:pPr>
    </w:p>
    <w:bookmarkStart w:id="63" w:name="page64"/>
    <w:bookmarkEnd w:id="63"/>
    <w:p>
      <w:pPr>
        <w:ind w:left="520"/>
        <w:spacing w:after="0" w:line="248" w:lineRule="auto"/>
        <w:rPr>
          <w:sz w:val="20"/>
          <w:szCs w:val="20"/>
          <w:color w:val="auto"/>
        </w:rPr>
      </w:pPr>
      <w:r>
        <w:rPr>
          <w:rFonts w:ascii="Arial" w:cs="Arial" w:eastAsia="Arial" w:hAnsi="Arial"/>
          <w:sz w:val="16"/>
          <w:szCs w:val="16"/>
          <w:i w:val="1"/>
          <w:i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table. The grant date fair value of a PSU award assumes vesting at 100% of target. The number of PSUs that may vest will range between 0% and 200% of the number granted.</w:t>
      </w:r>
    </w:p>
    <w:p>
      <w:pPr>
        <w:spacing w:after="0" w:line="1" w:lineRule="exact"/>
        <w:rPr>
          <w:sz w:val="20"/>
          <w:szCs w:val="20"/>
          <w:color w:val="auto"/>
        </w:rPr>
      </w:pPr>
    </w:p>
    <w:p>
      <w:pPr>
        <w:ind w:left="520" w:hanging="415"/>
        <w:spacing w:after="0" w:line="239" w:lineRule="auto"/>
        <w:tabs>
          <w:tab w:leader="none" w:pos="520" w:val="left"/>
        </w:tabs>
        <w:numPr>
          <w:ilvl w:val="0"/>
          <w:numId w:val="31"/>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Total Bonus Earned. See also “Compensation – Named Executive Officers – Compensation in Fiscal 2025 – Short-Term Incentives”.</w:t>
      </w:r>
    </w:p>
    <w:p>
      <w:pPr>
        <w:ind w:left="520" w:hanging="415"/>
        <w:spacing w:after="0" w:line="239" w:lineRule="auto"/>
        <w:tabs>
          <w:tab w:leader="none" w:pos="520" w:val="left"/>
        </w:tabs>
        <w:numPr>
          <w:ilvl w:val="0"/>
          <w:numId w:val="31"/>
        </w:numPr>
        <w:rPr>
          <w:rFonts w:ascii="Arial" w:cs="Arial" w:eastAsia="Arial" w:hAnsi="Arial"/>
          <w:sz w:val="16"/>
          <w:szCs w:val="16"/>
          <w:i w:val="1"/>
          <w:iCs w:val="1"/>
          <w:color w:val="003445"/>
        </w:rPr>
      </w:pPr>
      <w:r>
        <w:rPr>
          <w:rFonts w:ascii="Arial" w:cs="Arial" w:eastAsia="Arial" w:hAnsi="Arial"/>
          <w:sz w:val="16"/>
          <w:szCs w:val="16"/>
          <w:i w:val="1"/>
          <w:iCs w:val="1"/>
          <w:color w:val="003445"/>
        </w:rPr>
        <w:t>The above table does not include information concerning the ownership of Shares or warrants beneficially owned by Messrs. Marwah, Naccarato and Nogalo, which is described under “About the Nominees” above.</w:t>
      </w:r>
    </w:p>
    <w:p>
      <w:pPr>
        <w:ind w:left="520" w:hanging="415"/>
        <w:spacing w:after="0"/>
        <w:tabs>
          <w:tab w:leader="none" w:pos="520" w:val="left"/>
        </w:tabs>
        <w:numPr>
          <w:ilvl w:val="0"/>
          <w:numId w:val="31"/>
        </w:numPr>
        <w:rPr>
          <w:rFonts w:ascii="Arial" w:cs="Arial" w:eastAsia="Arial" w:hAnsi="Arial"/>
          <w:sz w:val="16"/>
          <w:szCs w:val="16"/>
          <w:i w:val="1"/>
          <w:iCs w:val="1"/>
          <w:color w:val="003445"/>
        </w:rPr>
      </w:pPr>
      <w:r>
        <w:rPr>
          <w:rFonts w:ascii="Arial" w:cs="Arial" w:eastAsia="Arial" w:hAnsi="Arial"/>
          <w:sz w:val="16"/>
          <w:szCs w:val="16"/>
          <w:i w:val="1"/>
          <w:iCs w:val="1"/>
          <w:color w:val="003445"/>
        </w:rPr>
        <w:t>Mr. Panzeri joined the Company May 29, 2023. The fiscal year ended March 31, 2023.</w:t>
      </w:r>
    </w:p>
    <w:p>
      <w:pPr>
        <w:ind w:left="520" w:hanging="415"/>
        <w:spacing w:after="0"/>
        <w:tabs>
          <w:tab w:leader="none" w:pos="520" w:val="left"/>
        </w:tabs>
        <w:numPr>
          <w:ilvl w:val="0"/>
          <w:numId w:val="31"/>
        </w:numPr>
        <w:rPr>
          <w:rFonts w:ascii="Arial" w:cs="Arial" w:eastAsia="Arial" w:hAnsi="Arial"/>
          <w:sz w:val="16"/>
          <w:szCs w:val="16"/>
          <w:i w:val="1"/>
          <w:iCs w:val="1"/>
          <w:color w:val="003445"/>
        </w:rPr>
      </w:pPr>
      <w:r>
        <w:rPr>
          <w:rFonts w:ascii="Arial" w:cs="Arial" w:eastAsia="Arial" w:hAnsi="Arial"/>
          <w:sz w:val="16"/>
          <w:szCs w:val="16"/>
          <w:i w:val="1"/>
          <w:iCs w:val="1"/>
          <w:color w:val="003445"/>
        </w:rPr>
        <w:t>See section “Contractual obligation arising from Mr. Garcia’s retirement.” below.</w:t>
      </w:r>
    </w:p>
    <w:p>
      <w:pPr>
        <w:ind w:left="520" w:hanging="415"/>
        <w:spacing w:after="0"/>
        <w:tabs>
          <w:tab w:leader="none" w:pos="520" w:val="left"/>
        </w:tabs>
        <w:numPr>
          <w:ilvl w:val="0"/>
          <w:numId w:val="31"/>
        </w:numPr>
        <w:rPr>
          <w:rFonts w:ascii="Arial" w:cs="Arial" w:eastAsia="Arial" w:hAnsi="Arial"/>
          <w:sz w:val="16"/>
          <w:szCs w:val="16"/>
          <w:i w:val="1"/>
          <w:iCs w:val="1"/>
          <w:color w:val="003445"/>
        </w:rPr>
      </w:pPr>
      <w:r>
        <w:rPr>
          <w:rFonts w:ascii="Arial" w:cs="Arial" w:eastAsia="Arial" w:hAnsi="Arial"/>
          <w:sz w:val="16"/>
          <w:szCs w:val="16"/>
          <w:i w:val="1"/>
          <w:iCs w:val="1"/>
          <w:color w:val="003445"/>
        </w:rPr>
        <w:t>Reflects an equalization allowance (C$69,780).</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Contractual obligation arising from Mr. Garcia’s retirement.</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9"/>
          <w:szCs w:val="19"/>
          <w:color w:val="auto"/>
        </w:rPr>
        <w:t>As part of its succession planning process, the Board initiated a comprehensive succession planning process to ensure a smooth transition of leadership to support an effective handover from Mr. Garcia to Mr. Marwah as incoming Chief Executive Officer. Following discussions concerning an accelerated retirement, the Board approved the following contractual arrangements upon Mr. Garcia’s retirement effective on December 31, 2025: (i) a payment of US $ 765,000, payable in equal instalments over the 12-month period following his retirement date; (ii) a pro-rated VCIP payment in respect of the 9-month stub period from April 1, 2025 to December 31, 2025, calculated at his full target of 115% of base salary and fixed at US $659,812.50; (iii) continuation of group benefits for the duration of the 12-month period; and (iv) payment of his pro-rated equalization allowance through to the retirement date in the amount of US$ 58,333.33. In connection with his departure, all unvested PSUs and RSUs outstanding as of December 31, 2025, as well as the monthly car allowance and financial and tax planning allowance, were cancelled. Algoma does not provide severance in connection with voluntary retirement or resignation; the compensation described above was provided solely pursuant to an agreement between the Board and Mr. Garcia in connection with his retirement on December 31, 2025, on terms determined by the Board to facilitate a seamless leadership transition. The economic terms agreed with Mr. Garcia were materially lower than those to which he would have otherwise been entitled under the termination without cause provisions of his employment agreement with the Company.</w:t>
      </w:r>
    </w:p>
    <w:p>
      <w:pPr>
        <w:spacing w:after="0" w:line="29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Outstanding Share Based Awards and Option Based Awards – Named Executive Officers</w:t>
      </w: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following table describes the outstanding Share-based awards held by NEOs as at December 31, 2025. No option-based awards were granted by the Company in Fiscal 2025, Fiscal 2024, or Fiscal 2023.</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These represent the RSUs and PSUs awarded to the Company’s NEOs under the Omnibus Incentive Plan, granted and outstanding up to Fiscal 2025, and Replacement LTIP Awards and Earnout Rights granted to the NEOs in accordance with the terms of the Legacy Incentive Plan and in connection with the Merger, respectively, each as discussed above.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680"/>
          </w:cols>
          <w:pgMar w:left="600" w:top="271" w:right="619" w:bottom="1440" w:gutter="0" w:footer="0" w:header="0"/>
        </w:sectPr>
      </w:pPr>
    </w:p>
    <w:bookmarkStart w:id="64" w:name="page65"/>
    <w:bookmarkEnd w:id="64"/>
    <w:tbl>
      <w:tblPr>
        <w:tblLayout w:type="fixed"/>
        <w:tblInd w:w="10" w:type="dxa"/>
        <w:tblCellMar>
          <w:top w:w="0" w:type="dxa"/>
          <w:left w:w="0" w:type="dxa"/>
          <w:bottom w:w="0" w:type="dxa"/>
          <w:right w:w="0" w:type="dxa"/>
        </w:tblCellMar>
      </w:tblPr>
      <w:tr>
        <w:trPr>
          <w:trHeight w:val="267"/>
        </w:trPr>
        <w:tc>
          <w:tcPr>
            <w:tcW w:w="4500" w:type="dxa"/>
            <w:vAlign w:val="bottom"/>
            <w:tcBorders>
              <w:top w:val="single" w:sz="8" w:color="auto"/>
              <w:left w:val="single" w:sz="8" w:color="auto"/>
              <w:bottom w:val="single" w:sz="8" w:color="003445"/>
            </w:tcBorders>
            <w:gridSpan w:val="3"/>
            <w:shd w:val="clear" w:color="auto" w:fill="003445"/>
          </w:tcPr>
          <w:p>
            <w:pPr>
              <w:ind w:left="2720"/>
              <w:spacing w:after="0"/>
              <w:rPr>
                <w:sz w:val="20"/>
                <w:szCs w:val="20"/>
                <w:color w:val="auto"/>
              </w:rPr>
            </w:pPr>
            <w:r>
              <w:rPr>
                <w:rFonts w:ascii="Arial" w:cs="Arial" w:eastAsia="Arial" w:hAnsi="Arial"/>
                <w:sz w:val="14"/>
                <w:szCs w:val="14"/>
                <w:b w:val="1"/>
                <w:bCs w:val="1"/>
                <w:color w:val="FFFFFF"/>
              </w:rPr>
              <w:t>OPTION-BASED AWARDS</w:t>
            </w:r>
          </w:p>
        </w:tc>
        <w:tc>
          <w:tcPr>
            <w:tcW w:w="740" w:type="dxa"/>
            <w:vAlign w:val="bottom"/>
            <w:tcBorders>
              <w:top w:val="single" w:sz="8" w:color="auto"/>
              <w:bottom w:val="single" w:sz="8" w:color="003445"/>
              <w:right w:val="single" w:sz="8" w:color="003445"/>
            </w:tcBorders>
            <w:shd w:val="clear" w:color="auto" w:fill="003445"/>
          </w:tcPr>
          <w:p>
            <w:pPr>
              <w:spacing w:after="0"/>
              <w:rPr>
                <w:sz w:val="22"/>
                <w:szCs w:val="22"/>
                <w:color w:val="auto"/>
              </w:rPr>
            </w:pPr>
          </w:p>
        </w:tc>
        <w:tc>
          <w:tcPr>
            <w:tcW w:w="840" w:type="dxa"/>
            <w:vAlign w:val="bottom"/>
            <w:tcBorders>
              <w:top w:val="single" w:sz="8" w:color="auto"/>
              <w:bottom w:val="single" w:sz="8" w:color="003445"/>
              <w:right w:val="single" w:sz="8" w:color="003445"/>
            </w:tcBorders>
            <w:shd w:val="clear" w:color="auto" w:fill="003445"/>
          </w:tcPr>
          <w:p>
            <w:pPr>
              <w:spacing w:after="0"/>
              <w:rPr>
                <w:sz w:val="22"/>
                <w:szCs w:val="22"/>
                <w:color w:val="auto"/>
              </w:rPr>
            </w:pPr>
          </w:p>
        </w:tc>
        <w:tc>
          <w:tcPr>
            <w:tcW w:w="940" w:type="dxa"/>
            <w:vAlign w:val="bottom"/>
            <w:tcBorders>
              <w:top w:val="single" w:sz="8" w:color="auto"/>
              <w:bottom w:val="single" w:sz="8" w:color="003445"/>
              <w:right w:val="single" w:sz="8" w:color="auto"/>
            </w:tcBorders>
            <w:shd w:val="clear" w:color="auto" w:fill="003445"/>
          </w:tcPr>
          <w:p>
            <w:pPr>
              <w:spacing w:after="0"/>
              <w:rPr>
                <w:sz w:val="22"/>
                <w:szCs w:val="22"/>
                <w:color w:val="auto"/>
              </w:rPr>
            </w:pPr>
          </w:p>
        </w:tc>
        <w:tc>
          <w:tcPr>
            <w:tcW w:w="880" w:type="dxa"/>
            <w:vAlign w:val="bottom"/>
            <w:tcBorders>
              <w:top w:val="single" w:sz="8" w:color="auto"/>
              <w:bottom w:val="single" w:sz="8" w:color="003445"/>
              <w:right w:val="single" w:sz="8" w:color="003445"/>
            </w:tcBorders>
            <w:shd w:val="clear" w:color="auto" w:fill="003445"/>
          </w:tcPr>
          <w:p>
            <w:pPr>
              <w:spacing w:after="0"/>
              <w:rPr>
                <w:sz w:val="22"/>
                <w:szCs w:val="22"/>
                <w:color w:val="auto"/>
              </w:rPr>
            </w:pPr>
          </w:p>
        </w:tc>
        <w:tc>
          <w:tcPr>
            <w:tcW w:w="1860" w:type="dxa"/>
            <w:vAlign w:val="bottom"/>
            <w:tcBorders>
              <w:top w:val="single" w:sz="8" w:color="auto"/>
              <w:bottom w:val="single" w:sz="8" w:color="003445"/>
            </w:tcBorders>
            <w:gridSpan w:val="3"/>
            <w:shd w:val="clear" w:color="auto" w:fill="003445"/>
          </w:tcPr>
          <w:p>
            <w:pPr>
              <w:ind w:left="140"/>
              <w:spacing w:after="0"/>
              <w:rPr>
                <w:sz w:val="20"/>
                <w:szCs w:val="20"/>
                <w:color w:val="auto"/>
              </w:rPr>
            </w:pPr>
            <w:r>
              <w:rPr>
                <w:rFonts w:ascii="Arial" w:cs="Arial" w:eastAsia="Arial" w:hAnsi="Arial"/>
                <w:sz w:val="14"/>
                <w:szCs w:val="14"/>
                <w:b w:val="1"/>
                <w:bCs w:val="1"/>
                <w:color w:val="FFFFFF"/>
              </w:rPr>
              <w:t>SHARE-BASED AWARDS</w:t>
            </w:r>
          </w:p>
        </w:tc>
        <w:tc>
          <w:tcPr>
            <w:tcW w:w="940" w:type="dxa"/>
            <w:vAlign w:val="bottom"/>
            <w:tcBorders>
              <w:top w:val="single" w:sz="8" w:color="auto"/>
              <w:bottom w:val="single" w:sz="8" w:color="003445"/>
              <w:right w:val="single" w:sz="8" w:color="auto"/>
            </w:tcBorders>
            <w:shd w:val="clear" w:color="auto" w:fill="003445"/>
          </w:tcPr>
          <w:p>
            <w:pPr>
              <w:spacing w:after="0"/>
              <w:rPr>
                <w:sz w:val="22"/>
                <w:szCs w:val="22"/>
                <w:color w:val="auto"/>
              </w:rPr>
            </w:pPr>
          </w:p>
        </w:tc>
        <w:tc>
          <w:tcPr>
            <w:tcW w:w="0" w:type="dxa"/>
            <w:vAlign w:val="bottom"/>
          </w:tcPr>
          <w:p>
            <w:pPr>
              <w:spacing w:after="0"/>
              <w:rPr>
                <w:sz w:val="1"/>
                <w:szCs w:val="1"/>
                <w:color w:val="auto"/>
              </w:rPr>
            </w:pPr>
          </w:p>
        </w:tc>
      </w:tr>
      <w:tr>
        <w:trPr>
          <w:trHeight w:val="481"/>
        </w:trPr>
        <w:tc>
          <w:tcPr>
            <w:tcW w:w="3480" w:type="dxa"/>
            <w:vAlign w:val="bottom"/>
            <w:tcBorders>
              <w:top w:val="single" w:sz="8" w:color="auto"/>
              <w:left w:val="single" w:sz="8" w:color="auto"/>
              <w:right w:val="single" w:sz="8" w:color="auto"/>
            </w:tcBorders>
            <w:shd w:val="clear" w:color="auto" w:fill="003445"/>
          </w:tcPr>
          <w:p>
            <w:pPr>
              <w:spacing w:after="0"/>
              <w:rPr>
                <w:sz w:val="24"/>
                <w:szCs w:val="24"/>
                <w:color w:val="auto"/>
              </w:rPr>
            </w:pPr>
          </w:p>
        </w:tc>
        <w:tc>
          <w:tcPr>
            <w:tcW w:w="920" w:type="dxa"/>
            <w:vAlign w:val="bottom"/>
            <w:tcBorders>
              <w:top w:val="single" w:sz="8" w:color="auto"/>
              <w:right w:val="single" w:sz="8" w:color="auto"/>
            </w:tcBorders>
            <w:shd w:val="clear" w:color="auto" w:fill="003445"/>
          </w:tcPr>
          <w:p>
            <w:pPr>
              <w:spacing w:after="0"/>
              <w:rPr>
                <w:sz w:val="24"/>
                <w:szCs w:val="24"/>
                <w:color w:val="auto"/>
              </w:rPr>
            </w:pPr>
          </w:p>
        </w:tc>
        <w:tc>
          <w:tcPr>
            <w:tcW w:w="100" w:type="dxa"/>
            <w:vAlign w:val="bottom"/>
            <w:tcBorders>
              <w:top w:val="single" w:sz="8" w:color="auto"/>
            </w:tcBorders>
            <w:shd w:val="clear" w:color="auto" w:fill="003445"/>
          </w:tcPr>
          <w:p>
            <w:pPr>
              <w:spacing w:after="0"/>
              <w:rPr>
                <w:sz w:val="24"/>
                <w:szCs w:val="24"/>
                <w:color w:val="auto"/>
              </w:rPr>
            </w:pPr>
          </w:p>
        </w:tc>
        <w:tc>
          <w:tcPr>
            <w:tcW w:w="740" w:type="dxa"/>
            <w:vAlign w:val="bottom"/>
            <w:tcBorders>
              <w:top w:val="single" w:sz="8" w:color="auto"/>
              <w:right w:val="single" w:sz="8" w:color="auto"/>
            </w:tcBorders>
            <w:shd w:val="clear" w:color="auto" w:fill="003445"/>
          </w:tcPr>
          <w:p>
            <w:pPr>
              <w:spacing w:after="0"/>
              <w:rPr>
                <w:sz w:val="24"/>
                <w:szCs w:val="24"/>
                <w:color w:val="auto"/>
              </w:rPr>
            </w:pPr>
          </w:p>
        </w:tc>
        <w:tc>
          <w:tcPr>
            <w:tcW w:w="840" w:type="dxa"/>
            <w:vAlign w:val="bottom"/>
            <w:tcBorders>
              <w:top w:val="single" w:sz="8" w:color="auto"/>
              <w:right w:val="single" w:sz="8" w:color="auto"/>
            </w:tcBorders>
            <w:shd w:val="clear" w:color="auto" w:fill="003445"/>
          </w:tcPr>
          <w:p>
            <w:pPr>
              <w:spacing w:after="0"/>
              <w:rPr>
                <w:sz w:val="24"/>
                <w:szCs w:val="24"/>
                <w:color w:val="auto"/>
              </w:rPr>
            </w:pPr>
          </w:p>
        </w:tc>
        <w:tc>
          <w:tcPr>
            <w:tcW w:w="940" w:type="dxa"/>
            <w:vAlign w:val="bottom"/>
            <w:tcBorders>
              <w:top w:val="single" w:sz="8" w:color="auto"/>
              <w:right w:val="single" w:sz="8" w:color="auto"/>
            </w:tcBorders>
            <w:shd w:val="clear" w:color="auto" w:fill="003445"/>
          </w:tcPr>
          <w:p>
            <w:pPr>
              <w:spacing w:after="0"/>
              <w:rPr>
                <w:sz w:val="24"/>
                <w:szCs w:val="24"/>
                <w:color w:val="auto"/>
              </w:rPr>
            </w:pPr>
          </w:p>
        </w:tc>
        <w:tc>
          <w:tcPr>
            <w:tcW w:w="880" w:type="dxa"/>
            <w:vAlign w:val="bottom"/>
            <w:tcBorders>
              <w:top w:val="single" w:sz="8" w:color="auto"/>
              <w:right w:val="single" w:sz="8" w:color="auto"/>
            </w:tcBorders>
            <w:shd w:val="clear" w:color="auto" w:fill="003445"/>
          </w:tcPr>
          <w:p>
            <w:pPr>
              <w:spacing w:after="0"/>
              <w:rPr>
                <w:sz w:val="24"/>
                <w:szCs w:val="24"/>
                <w:color w:val="auto"/>
              </w:rPr>
            </w:pPr>
          </w:p>
        </w:tc>
        <w:tc>
          <w:tcPr>
            <w:tcW w:w="940" w:type="dxa"/>
            <w:vAlign w:val="bottom"/>
            <w:tcBorders>
              <w:top w:val="single" w:sz="8" w:color="auto"/>
              <w:right w:val="single" w:sz="8" w:color="auto"/>
            </w:tcBorders>
            <w:shd w:val="clear" w:color="auto" w:fill="003445"/>
          </w:tcPr>
          <w:p>
            <w:pPr>
              <w:spacing w:after="0"/>
              <w:rPr>
                <w:sz w:val="24"/>
                <w:szCs w:val="24"/>
                <w:color w:val="auto"/>
              </w:rPr>
            </w:pPr>
          </w:p>
        </w:tc>
        <w:tc>
          <w:tcPr>
            <w:tcW w:w="880" w:type="dxa"/>
            <w:vAlign w:val="bottom"/>
            <w:tcBorders>
              <w:top w:val="single" w:sz="8" w:color="auto"/>
              <w:right w:val="single" w:sz="8" w:color="auto"/>
            </w:tcBorders>
            <w:shd w:val="clear" w:color="auto" w:fill="003445"/>
          </w:tcPr>
          <w:p>
            <w:pPr>
              <w:spacing w:after="0"/>
              <w:rPr>
                <w:sz w:val="24"/>
                <w:szCs w:val="24"/>
                <w:color w:val="auto"/>
              </w:rPr>
            </w:pPr>
          </w:p>
        </w:tc>
        <w:tc>
          <w:tcPr>
            <w:tcW w:w="40" w:type="dxa"/>
            <w:vAlign w:val="bottom"/>
            <w:tcBorders>
              <w:top w:val="single" w:sz="8" w:color="auto"/>
            </w:tcBorders>
            <w:shd w:val="clear" w:color="auto" w:fill="003445"/>
          </w:tcPr>
          <w:p>
            <w:pPr>
              <w:spacing w:after="0"/>
              <w:rPr>
                <w:sz w:val="24"/>
                <w:szCs w:val="24"/>
                <w:color w:val="auto"/>
              </w:rPr>
            </w:pPr>
          </w:p>
        </w:tc>
        <w:tc>
          <w:tcPr>
            <w:tcW w:w="94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8"/>
              </w:rPr>
              <w:t>Market or</w:t>
            </w:r>
          </w:p>
        </w:tc>
        <w:tc>
          <w:tcPr>
            <w:tcW w:w="0" w:type="dxa"/>
            <w:vAlign w:val="bottom"/>
          </w:tcPr>
          <w:p>
            <w:pPr>
              <w:spacing w:after="0"/>
              <w:rPr>
                <w:sz w:val="1"/>
                <w:szCs w:val="1"/>
                <w:color w:val="auto"/>
              </w:rPr>
            </w:pPr>
          </w:p>
        </w:tc>
      </w:tr>
      <w:tr>
        <w:trPr>
          <w:trHeight w:val="157"/>
        </w:trPr>
        <w:tc>
          <w:tcPr>
            <w:tcW w:w="3480" w:type="dxa"/>
            <w:vAlign w:val="bottom"/>
            <w:tcBorders>
              <w:left w:val="single" w:sz="8" w:color="auto"/>
              <w:right w:val="single" w:sz="8" w:color="auto"/>
            </w:tcBorders>
            <w:shd w:val="clear" w:color="auto" w:fill="003445"/>
          </w:tcPr>
          <w:p>
            <w:pPr>
              <w:spacing w:after="0"/>
              <w:rPr>
                <w:sz w:val="13"/>
                <w:szCs w:val="13"/>
                <w:color w:val="auto"/>
              </w:rPr>
            </w:pPr>
          </w:p>
        </w:tc>
        <w:tc>
          <w:tcPr>
            <w:tcW w:w="920" w:type="dxa"/>
            <w:vAlign w:val="bottom"/>
            <w:tcBorders>
              <w:right w:val="single" w:sz="8" w:color="auto"/>
            </w:tcBorders>
            <w:shd w:val="clear" w:color="auto" w:fill="003445"/>
          </w:tcPr>
          <w:p>
            <w:pPr>
              <w:spacing w:after="0"/>
              <w:rPr>
                <w:sz w:val="13"/>
                <w:szCs w:val="13"/>
                <w:color w:val="auto"/>
              </w:rPr>
            </w:pPr>
          </w:p>
        </w:tc>
        <w:tc>
          <w:tcPr>
            <w:tcW w:w="100" w:type="dxa"/>
            <w:vAlign w:val="bottom"/>
            <w:shd w:val="clear" w:color="auto" w:fill="003445"/>
          </w:tcPr>
          <w:p>
            <w:pPr>
              <w:spacing w:after="0"/>
              <w:rPr>
                <w:sz w:val="13"/>
                <w:szCs w:val="13"/>
                <w:color w:val="auto"/>
              </w:rPr>
            </w:pPr>
          </w:p>
        </w:tc>
        <w:tc>
          <w:tcPr>
            <w:tcW w:w="740" w:type="dxa"/>
            <w:vAlign w:val="bottom"/>
            <w:tcBorders>
              <w:right w:val="single" w:sz="8" w:color="auto"/>
            </w:tcBorders>
            <w:shd w:val="clear" w:color="auto" w:fill="003445"/>
          </w:tcPr>
          <w:p>
            <w:pPr>
              <w:spacing w:after="0"/>
              <w:rPr>
                <w:sz w:val="13"/>
                <w:szCs w:val="13"/>
                <w:color w:val="auto"/>
              </w:rPr>
            </w:pPr>
          </w:p>
        </w:tc>
        <w:tc>
          <w:tcPr>
            <w:tcW w:w="840" w:type="dxa"/>
            <w:vAlign w:val="bottom"/>
            <w:tcBorders>
              <w:right w:val="single" w:sz="8" w:color="auto"/>
            </w:tcBorders>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spacing w:after="0"/>
              <w:rPr>
                <w:sz w:val="13"/>
                <w:szCs w:val="13"/>
                <w:color w:val="auto"/>
              </w:rPr>
            </w:pPr>
          </w:p>
        </w:tc>
        <w:tc>
          <w:tcPr>
            <w:tcW w:w="880" w:type="dxa"/>
            <w:vAlign w:val="bottom"/>
            <w:tcBorders>
              <w:right w:val="single" w:sz="8" w:color="auto"/>
            </w:tcBorders>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Market or</w:t>
            </w:r>
          </w:p>
        </w:tc>
        <w:tc>
          <w:tcPr>
            <w:tcW w:w="880" w:type="dxa"/>
            <w:vAlign w:val="bottom"/>
            <w:tcBorders>
              <w:right w:val="single" w:sz="8" w:color="auto"/>
            </w:tcBorders>
            <w:shd w:val="clear" w:color="auto" w:fill="003445"/>
          </w:tcPr>
          <w:p>
            <w:pPr>
              <w:spacing w:after="0"/>
              <w:rPr>
                <w:sz w:val="13"/>
                <w:szCs w:val="13"/>
                <w:color w:val="auto"/>
              </w:rPr>
            </w:pPr>
          </w:p>
        </w:tc>
        <w:tc>
          <w:tcPr>
            <w:tcW w:w="40" w:type="dxa"/>
            <w:vAlign w:val="bottom"/>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payout value</w:t>
            </w:r>
          </w:p>
        </w:tc>
        <w:tc>
          <w:tcPr>
            <w:tcW w:w="0" w:type="dxa"/>
            <w:vAlign w:val="bottom"/>
          </w:tcPr>
          <w:p>
            <w:pPr>
              <w:spacing w:after="0"/>
              <w:rPr>
                <w:sz w:val="1"/>
                <w:szCs w:val="1"/>
                <w:color w:val="auto"/>
              </w:rPr>
            </w:pPr>
          </w:p>
        </w:tc>
      </w:tr>
      <w:tr>
        <w:trPr>
          <w:trHeight w:val="157"/>
        </w:trPr>
        <w:tc>
          <w:tcPr>
            <w:tcW w:w="3480" w:type="dxa"/>
            <w:vAlign w:val="bottom"/>
            <w:tcBorders>
              <w:left w:val="single" w:sz="8" w:color="auto"/>
              <w:right w:val="single" w:sz="8" w:color="auto"/>
            </w:tcBorders>
            <w:shd w:val="clear" w:color="auto" w:fill="003445"/>
          </w:tcPr>
          <w:p>
            <w:pPr>
              <w:spacing w:after="0"/>
              <w:rPr>
                <w:sz w:val="13"/>
                <w:szCs w:val="13"/>
                <w:color w:val="auto"/>
              </w:rPr>
            </w:pPr>
          </w:p>
        </w:tc>
        <w:tc>
          <w:tcPr>
            <w:tcW w:w="92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Number of</w:t>
            </w:r>
          </w:p>
        </w:tc>
        <w:tc>
          <w:tcPr>
            <w:tcW w:w="100" w:type="dxa"/>
            <w:vAlign w:val="bottom"/>
            <w:shd w:val="clear" w:color="auto" w:fill="003445"/>
          </w:tcPr>
          <w:p>
            <w:pPr>
              <w:spacing w:after="0"/>
              <w:rPr>
                <w:sz w:val="13"/>
                <w:szCs w:val="13"/>
                <w:color w:val="auto"/>
              </w:rPr>
            </w:pPr>
          </w:p>
        </w:tc>
        <w:tc>
          <w:tcPr>
            <w:tcW w:w="740" w:type="dxa"/>
            <w:vAlign w:val="bottom"/>
            <w:tcBorders>
              <w:right w:val="single" w:sz="8" w:color="auto"/>
            </w:tcBorders>
            <w:shd w:val="clear" w:color="auto" w:fill="003445"/>
          </w:tcPr>
          <w:p>
            <w:pPr>
              <w:spacing w:after="0"/>
              <w:rPr>
                <w:sz w:val="13"/>
                <w:szCs w:val="13"/>
                <w:color w:val="auto"/>
              </w:rPr>
            </w:pPr>
          </w:p>
        </w:tc>
        <w:tc>
          <w:tcPr>
            <w:tcW w:w="840" w:type="dxa"/>
            <w:vAlign w:val="bottom"/>
            <w:tcBorders>
              <w:right w:val="single" w:sz="8" w:color="auto"/>
            </w:tcBorders>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5"/>
              </w:rPr>
              <w:t>Value of</w:t>
            </w:r>
          </w:p>
        </w:tc>
        <w:tc>
          <w:tcPr>
            <w:tcW w:w="8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Number of</w:t>
            </w: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payout</w:t>
            </w:r>
          </w:p>
        </w:tc>
        <w:tc>
          <w:tcPr>
            <w:tcW w:w="8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Number of</w:t>
            </w:r>
          </w:p>
        </w:tc>
        <w:tc>
          <w:tcPr>
            <w:tcW w:w="40" w:type="dxa"/>
            <w:vAlign w:val="bottom"/>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of vested</w:t>
            </w:r>
          </w:p>
        </w:tc>
        <w:tc>
          <w:tcPr>
            <w:tcW w:w="0" w:type="dxa"/>
            <w:vAlign w:val="bottom"/>
          </w:tcPr>
          <w:p>
            <w:pPr>
              <w:spacing w:after="0"/>
              <w:rPr>
                <w:sz w:val="1"/>
                <w:szCs w:val="1"/>
                <w:color w:val="auto"/>
              </w:rPr>
            </w:pPr>
          </w:p>
        </w:tc>
      </w:tr>
      <w:tr>
        <w:trPr>
          <w:trHeight w:val="157"/>
        </w:trPr>
        <w:tc>
          <w:tcPr>
            <w:tcW w:w="3480" w:type="dxa"/>
            <w:vAlign w:val="bottom"/>
            <w:tcBorders>
              <w:left w:val="single" w:sz="8" w:color="auto"/>
              <w:right w:val="single" w:sz="8" w:color="auto"/>
            </w:tcBorders>
            <w:shd w:val="clear" w:color="auto" w:fill="003445"/>
          </w:tcPr>
          <w:p>
            <w:pPr>
              <w:spacing w:after="0"/>
              <w:rPr>
                <w:sz w:val="13"/>
                <w:szCs w:val="13"/>
                <w:color w:val="auto"/>
              </w:rPr>
            </w:pPr>
          </w:p>
        </w:tc>
        <w:tc>
          <w:tcPr>
            <w:tcW w:w="92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8"/>
              </w:rPr>
              <w:t>Shares</w:t>
            </w:r>
          </w:p>
        </w:tc>
        <w:tc>
          <w:tcPr>
            <w:tcW w:w="100" w:type="dxa"/>
            <w:vAlign w:val="bottom"/>
            <w:shd w:val="clear" w:color="auto" w:fill="003445"/>
          </w:tcPr>
          <w:p>
            <w:pPr>
              <w:spacing w:after="0"/>
              <w:rPr>
                <w:sz w:val="13"/>
                <w:szCs w:val="13"/>
                <w:color w:val="auto"/>
              </w:rPr>
            </w:pPr>
          </w:p>
        </w:tc>
        <w:tc>
          <w:tcPr>
            <w:tcW w:w="740" w:type="dxa"/>
            <w:vAlign w:val="bottom"/>
            <w:tcBorders>
              <w:right w:val="single" w:sz="8" w:color="auto"/>
            </w:tcBorders>
            <w:shd w:val="clear" w:color="auto" w:fill="003445"/>
          </w:tcPr>
          <w:p>
            <w:pPr>
              <w:spacing w:after="0"/>
              <w:rPr>
                <w:sz w:val="13"/>
                <w:szCs w:val="13"/>
                <w:color w:val="auto"/>
              </w:rPr>
            </w:pPr>
          </w:p>
        </w:tc>
        <w:tc>
          <w:tcPr>
            <w:tcW w:w="840" w:type="dxa"/>
            <w:vAlign w:val="bottom"/>
            <w:tcBorders>
              <w:right w:val="single" w:sz="8" w:color="auto"/>
            </w:tcBorders>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7"/>
              </w:rPr>
              <w:t>unexercised</w:t>
            </w:r>
          </w:p>
        </w:tc>
        <w:tc>
          <w:tcPr>
            <w:tcW w:w="8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underlying</w:t>
            </w: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8"/>
              </w:rPr>
              <w:t>value of</w:t>
            </w:r>
          </w:p>
        </w:tc>
        <w:tc>
          <w:tcPr>
            <w:tcW w:w="8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underlying</w:t>
            </w:r>
          </w:p>
        </w:tc>
        <w:tc>
          <w:tcPr>
            <w:tcW w:w="40" w:type="dxa"/>
            <w:vAlign w:val="bottom"/>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Share-based</w:t>
            </w:r>
          </w:p>
        </w:tc>
        <w:tc>
          <w:tcPr>
            <w:tcW w:w="0" w:type="dxa"/>
            <w:vAlign w:val="bottom"/>
          </w:tcPr>
          <w:p>
            <w:pPr>
              <w:spacing w:after="0"/>
              <w:rPr>
                <w:sz w:val="1"/>
                <w:szCs w:val="1"/>
                <w:color w:val="auto"/>
              </w:rPr>
            </w:pPr>
          </w:p>
        </w:tc>
      </w:tr>
      <w:tr>
        <w:trPr>
          <w:trHeight w:val="157"/>
        </w:trPr>
        <w:tc>
          <w:tcPr>
            <w:tcW w:w="3480" w:type="dxa"/>
            <w:vAlign w:val="bottom"/>
            <w:tcBorders>
              <w:left w:val="single" w:sz="8" w:color="auto"/>
              <w:right w:val="single" w:sz="8" w:color="auto"/>
            </w:tcBorders>
            <w:shd w:val="clear" w:color="auto" w:fill="003445"/>
          </w:tcPr>
          <w:p>
            <w:pPr>
              <w:spacing w:after="0"/>
              <w:rPr>
                <w:sz w:val="13"/>
                <w:szCs w:val="13"/>
                <w:color w:val="auto"/>
              </w:rPr>
            </w:pPr>
          </w:p>
        </w:tc>
        <w:tc>
          <w:tcPr>
            <w:tcW w:w="92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rPr>
              <w:t>underlying</w:t>
            </w:r>
          </w:p>
        </w:tc>
        <w:tc>
          <w:tcPr>
            <w:tcW w:w="100" w:type="dxa"/>
            <w:vAlign w:val="bottom"/>
            <w:shd w:val="clear" w:color="auto" w:fill="003445"/>
          </w:tcPr>
          <w:p>
            <w:pPr>
              <w:spacing w:after="0"/>
              <w:rPr>
                <w:sz w:val="13"/>
                <w:szCs w:val="13"/>
                <w:color w:val="auto"/>
              </w:rPr>
            </w:pPr>
          </w:p>
        </w:tc>
        <w:tc>
          <w:tcPr>
            <w:tcW w:w="7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Option</w:t>
            </w:r>
          </w:p>
        </w:tc>
        <w:tc>
          <w:tcPr>
            <w:tcW w:w="840" w:type="dxa"/>
            <w:vAlign w:val="bottom"/>
            <w:tcBorders>
              <w:right w:val="single" w:sz="8" w:color="auto"/>
            </w:tcBorders>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in-the-</w:t>
            </w:r>
          </w:p>
        </w:tc>
        <w:tc>
          <w:tcPr>
            <w:tcW w:w="8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Shares that</w:t>
            </w: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unvested</w:t>
            </w:r>
          </w:p>
        </w:tc>
        <w:tc>
          <w:tcPr>
            <w:tcW w:w="8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Shares that</w:t>
            </w:r>
          </w:p>
        </w:tc>
        <w:tc>
          <w:tcPr>
            <w:tcW w:w="40" w:type="dxa"/>
            <w:vAlign w:val="bottom"/>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awards not</w:t>
            </w:r>
          </w:p>
        </w:tc>
        <w:tc>
          <w:tcPr>
            <w:tcW w:w="0" w:type="dxa"/>
            <w:vAlign w:val="bottom"/>
          </w:tcPr>
          <w:p>
            <w:pPr>
              <w:spacing w:after="0"/>
              <w:rPr>
                <w:sz w:val="1"/>
                <w:szCs w:val="1"/>
                <w:color w:val="auto"/>
              </w:rPr>
            </w:pPr>
          </w:p>
        </w:tc>
      </w:tr>
      <w:tr>
        <w:trPr>
          <w:trHeight w:val="157"/>
        </w:trPr>
        <w:tc>
          <w:tcPr>
            <w:tcW w:w="3480" w:type="dxa"/>
            <w:vAlign w:val="bottom"/>
            <w:tcBorders>
              <w:left w:val="single" w:sz="8" w:color="auto"/>
              <w:right w:val="single" w:sz="8" w:color="auto"/>
            </w:tcBorders>
            <w:shd w:val="clear" w:color="auto" w:fill="003445"/>
          </w:tcPr>
          <w:p>
            <w:pPr>
              <w:spacing w:after="0"/>
              <w:rPr>
                <w:sz w:val="13"/>
                <w:szCs w:val="13"/>
                <w:color w:val="auto"/>
              </w:rPr>
            </w:pPr>
          </w:p>
        </w:tc>
        <w:tc>
          <w:tcPr>
            <w:tcW w:w="92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unexercised</w:t>
            </w:r>
          </w:p>
        </w:tc>
        <w:tc>
          <w:tcPr>
            <w:tcW w:w="100" w:type="dxa"/>
            <w:vAlign w:val="bottom"/>
            <w:shd w:val="clear" w:color="auto" w:fill="003445"/>
          </w:tcPr>
          <w:p>
            <w:pPr>
              <w:spacing w:after="0"/>
              <w:rPr>
                <w:sz w:val="13"/>
                <w:szCs w:val="13"/>
                <w:color w:val="auto"/>
              </w:rPr>
            </w:pPr>
          </w:p>
        </w:tc>
        <w:tc>
          <w:tcPr>
            <w:tcW w:w="7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exercise</w:t>
            </w:r>
          </w:p>
        </w:tc>
        <w:tc>
          <w:tcPr>
            <w:tcW w:w="8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Option</w:t>
            </w: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7"/>
              </w:rPr>
              <w:t>money</w:t>
            </w:r>
          </w:p>
        </w:tc>
        <w:tc>
          <w:tcPr>
            <w:tcW w:w="8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Share-based</w:t>
            </w:r>
          </w:p>
        </w:tc>
        <w:tc>
          <w:tcPr>
            <w:tcW w:w="8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have</w:t>
            </w:r>
          </w:p>
        </w:tc>
        <w:tc>
          <w:tcPr>
            <w:tcW w:w="40" w:type="dxa"/>
            <w:vAlign w:val="bottom"/>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paid out or</w:t>
            </w:r>
          </w:p>
        </w:tc>
        <w:tc>
          <w:tcPr>
            <w:tcW w:w="0" w:type="dxa"/>
            <w:vAlign w:val="bottom"/>
          </w:tcPr>
          <w:p>
            <w:pPr>
              <w:spacing w:after="0"/>
              <w:rPr>
                <w:sz w:val="1"/>
                <w:szCs w:val="1"/>
                <w:color w:val="auto"/>
              </w:rPr>
            </w:pPr>
          </w:p>
        </w:tc>
      </w:tr>
      <w:tr>
        <w:trPr>
          <w:trHeight w:val="153"/>
        </w:trPr>
        <w:tc>
          <w:tcPr>
            <w:tcW w:w="3480" w:type="dxa"/>
            <w:vAlign w:val="bottom"/>
            <w:tcBorders>
              <w:left w:val="single" w:sz="8" w:color="auto"/>
              <w:right w:val="single" w:sz="8" w:color="auto"/>
            </w:tcBorders>
            <w:shd w:val="clear" w:color="auto" w:fill="003445"/>
          </w:tcPr>
          <w:p>
            <w:pPr>
              <w:ind w:left="1160"/>
              <w:spacing w:after="0" w:line="153" w:lineRule="exact"/>
              <w:rPr>
                <w:sz w:val="20"/>
                <w:szCs w:val="20"/>
                <w:color w:val="auto"/>
              </w:rPr>
            </w:pPr>
            <w:r>
              <w:rPr>
                <w:rFonts w:ascii="Arial" w:cs="Arial" w:eastAsia="Arial" w:hAnsi="Arial"/>
                <w:sz w:val="14"/>
                <w:szCs w:val="14"/>
                <w:b w:val="1"/>
                <w:bCs w:val="1"/>
                <w:color w:val="FFFFFF"/>
              </w:rPr>
              <w:t>Name and Principal</w:t>
            </w:r>
          </w:p>
        </w:tc>
        <w:tc>
          <w:tcPr>
            <w:tcW w:w="920" w:type="dxa"/>
            <w:vAlign w:val="bottom"/>
            <w:tcBorders>
              <w:right w:val="single" w:sz="8" w:color="auto"/>
            </w:tcBorders>
            <w:shd w:val="clear" w:color="auto" w:fill="003445"/>
          </w:tcPr>
          <w:p>
            <w:pPr>
              <w:jc w:val="center"/>
              <w:ind w:left="10"/>
              <w:spacing w:after="0" w:line="153" w:lineRule="exact"/>
              <w:rPr>
                <w:sz w:val="20"/>
                <w:szCs w:val="20"/>
                <w:color w:val="auto"/>
              </w:rPr>
            </w:pPr>
            <w:r>
              <w:rPr>
                <w:rFonts w:ascii="Arial" w:cs="Arial" w:eastAsia="Arial" w:hAnsi="Arial"/>
                <w:sz w:val="14"/>
                <w:szCs w:val="14"/>
                <w:b w:val="1"/>
                <w:bCs w:val="1"/>
                <w:color w:val="FFFFFF"/>
                <w:w w:val="98"/>
              </w:rPr>
              <w:t>Options</w:t>
            </w:r>
          </w:p>
        </w:tc>
        <w:tc>
          <w:tcPr>
            <w:tcW w:w="100" w:type="dxa"/>
            <w:vAlign w:val="bottom"/>
            <w:shd w:val="clear" w:color="auto" w:fill="003445"/>
          </w:tcPr>
          <w:p>
            <w:pPr>
              <w:spacing w:after="0"/>
              <w:rPr>
                <w:sz w:val="13"/>
                <w:szCs w:val="13"/>
                <w:color w:val="auto"/>
              </w:rPr>
            </w:pPr>
          </w:p>
        </w:tc>
        <w:tc>
          <w:tcPr>
            <w:tcW w:w="74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rPr>
              <w:t>price</w:t>
            </w:r>
          </w:p>
        </w:tc>
        <w:tc>
          <w:tcPr>
            <w:tcW w:w="84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8"/>
              </w:rPr>
              <w:t>expiration</w:t>
            </w:r>
          </w:p>
        </w:tc>
        <w:tc>
          <w:tcPr>
            <w:tcW w:w="94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8"/>
              </w:rPr>
              <w:t>Options</w:t>
            </w:r>
          </w:p>
        </w:tc>
        <w:tc>
          <w:tcPr>
            <w:tcW w:w="88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vested</w:t>
            </w:r>
          </w:p>
        </w:tc>
        <w:tc>
          <w:tcPr>
            <w:tcW w:w="94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awards</w:t>
            </w:r>
          </w:p>
        </w:tc>
        <w:tc>
          <w:tcPr>
            <w:tcW w:w="88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vested</w:t>
            </w:r>
          </w:p>
        </w:tc>
        <w:tc>
          <w:tcPr>
            <w:tcW w:w="40" w:type="dxa"/>
            <w:vAlign w:val="bottom"/>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distributed</w:t>
            </w:r>
          </w:p>
        </w:tc>
        <w:tc>
          <w:tcPr>
            <w:tcW w:w="0" w:type="dxa"/>
            <w:vAlign w:val="bottom"/>
          </w:tcPr>
          <w:p>
            <w:pPr>
              <w:spacing w:after="0"/>
              <w:rPr>
                <w:sz w:val="1"/>
                <w:szCs w:val="1"/>
                <w:color w:val="auto"/>
              </w:rPr>
            </w:pPr>
          </w:p>
        </w:tc>
      </w:tr>
      <w:tr>
        <w:trPr>
          <w:trHeight w:val="210"/>
        </w:trPr>
        <w:tc>
          <w:tcPr>
            <w:tcW w:w="3480" w:type="dxa"/>
            <w:vAlign w:val="bottom"/>
            <w:tcBorders>
              <w:left w:val="single" w:sz="8" w:color="auto"/>
              <w:bottom w:val="single" w:sz="8" w:color="auto"/>
              <w:right w:val="single" w:sz="8" w:color="auto"/>
            </w:tcBorders>
            <w:shd w:val="clear" w:color="auto" w:fill="003445"/>
          </w:tcPr>
          <w:p>
            <w:pPr>
              <w:ind w:left="1540"/>
              <w:spacing w:after="0"/>
              <w:rPr>
                <w:sz w:val="20"/>
                <w:szCs w:val="20"/>
                <w:color w:val="auto"/>
              </w:rPr>
            </w:pPr>
            <w:r>
              <w:rPr>
                <w:rFonts w:ascii="Arial" w:cs="Arial" w:eastAsia="Arial" w:hAnsi="Arial"/>
                <w:sz w:val="14"/>
                <w:szCs w:val="14"/>
                <w:b w:val="1"/>
                <w:bCs w:val="1"/>
                <w:color w:val="FFFFFF"/>
              </w:rPr>
              <w:t>Position</w:t>
            </w:r>
          </w:p>
        </w:tc>
        <w:tc>
          <w:tcPr>
            <w:tcW w:w="92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auto"/>
            </w:tcBorders>
            <w:shd w:val="clear" w:color="auto" w:fill="003445"/>
          </w:tcPr>
          <w:p>
            <w:pPr>
              <w:spacing w:after="0"/>
              <w:rPr>
                <w:sz w:val="18"/>
                <w:szCs w:val="18"/>
                <w:color w:val="auto"/>
              </w:rPr>
            </w:pPr>
          </w:p>
        </w:tc>
        <w:tc>
          <w:tcPr>
            <w:tcW w:w="74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w:t>
            </w:r>
          </w:p>
        </w:tc>
        <w:tc>
          <w:tcPr>
            <w:tcW w:w="84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date</w:t>
            </w:r>
          </w:p>
        </w:tc>
        <w:tc>
          <w:tcPr>
            <w:tcW w:w="94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3"/>
              </w:rPr>
              <w:t>($)</w:t>
            </w:r>
          </w:p>
        </w:tc>
        <w:tc>
          <w:tcPr>
            <w:tcW w:w="88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w:t>
            </w:r>
          </w:p>
        </w:tc>
        <w:tc>
          <w:tcPr>
            <w:tcW w:w="940" w:type="dxa"/>
            <w:vAlign w:val="bottom"/>
            <w:tcBorders>
              <w:bottom w:val="single" w:sz="8" w:color="auto"/>
              <w:right w:val="single" w:sz="8" w:color="auto"/>
            </w:tcBorders>
            <w:shd w:val="clear" w:color="auto" w:fill="003445"/>
          </w:tcPr>
          <w:p>
            <w:pPr>
              <w:jc w:val="center"/>
              <w:spacing w:after="0" w:line="209"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0"/>
                <w:szCs w:val="20"/>
                <w:b w:val="1"/>
                <w:bCs w:val="1"/>
                <w:color w:val="FFFFFF"/>
                <w:w w:val="89"/>
                <w:vertAlign w:val="superscript"/>
              </w:rPr>
              <w:t>(1)</w:t>
            </w:r>
          </w:p>
        </w:tc>
        <w:tc>
          <w:tcPr>
            <w:tcW w:w="88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w:t>
            </w:r>
          </w:p>
        </w:tc>
        <w:tc>
          <w:tcPr>
            <w:tcW w:w="40" w:type="dxa"/>
            <w:vAlign w:val="bottom"/>
            <w:tcBorders>
              <w:bottom w:val="single" w:sz="8" w:color="auto"/>
            </w:tcBorders>
            <w:shd w:val="clear" w:color="auto" w:fill="003445"/>
          </w:tcPr>
          <w:p>
            <w:pPr>
              <w:spacing w:after="0"/>
              <w:rPr>
                <w:sz w:val="18"/>
                <w:szCs w:val="18"/>
                <w:color w:val="auto"/>
              </w:rPr>
            </w:pPr>
          </w:p>
        </w:tc>
        <w:tc>
          <w:tcPr>
            <w:tcW w:w="940" w:type="dxa"/>
            <w:vAlign w:val="bottom"/>
            <w:tcBorders>
              <w:bottom w:val="single" w:sz="8" w:color="auto"/>
              <w:right w:val="single" w:sz="8" w:color="auto"/>
            </w:tcBorders>
            <w:shd w:val="clear" w:color="auto" w:fill="003445"/>
          </w:tcPr>
          <w:p>
            <w:pPr>
              <w:jc w:val="center"/>
              <w:spacing w:after="0" w:line="209" w:lineRule="exact"/>
              <w:rPr>
                <w:sz w:val="20"/>
                <w:szCs w:val="20"/>
                <w:color w:val="auto"/>
              </w:rPr>
            </w:pPr>
            <w:r>
              <w:rPr>
                <w:rFonts w:ascii="Arial" w:cs="Arial" w:eastAsia="Arial" w:hAnsi="Arial"/>
                <w:sz w:val="14"/>
                <w:szCs w:val="14"/>
                <w:b w:val="1"/>
                <w:bCs w:val="1"/>
                <w:color w:val="FFFFFF"/>
                <w:w w:val="89"/>
              </w:rPr>
              <w:t>($)</w:t>
            </w:r>
            <w:r>
              <w:rPr>
                <w:rFonts w:ascii="Arial" w:cs="Arial" w:eastAsia="Arial" w:hAnsi="Arial"/>
                <w:sz w:val="20"/>
                <w:szCs w:val="20"/>
                <w:b w:val="1"/>
                <w:bCs w:val="1"/>
                <w:color w:val="FFFFFF"/>
                <w:w w:val="89"/>
                <w:vertAlign w:val="superscript"/>
              </w:rPr>
              <w:t>(2)</w:t>
            </w:r>
          </w:p>
        </w:tc>
        <w:tc>
          <w:tcPr>
            <w:tcW w:w="0" w:type="dxa"/>
            <w:vAlign w:val="bottom"/>
          </w:tcPr>
          <w:p>
            <w:pPr>
              <w:spacing w:after="0"/>
              <w:rPr>
                <w:sz w:val="1"/>
                <w:szCs w:val="1"/>
                <w:color w:val="auto"/>
              </w:rPr>
            </w:pPr>
          </w:p>
        </w:tc>
      </w:tr>
      <w:tr>
        <w:trPr>
          <w:trHeight w:val="216"/>
        </w:trPr>
        <w:tc>
          <w:tcPr>
            <w:tcW w:w="34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Michael Garcia</w:t>
            </w:r>
          </w:p>
        </w:tc>
        <w:tc>
          <w:tcPr>
            <w:tcW w:w="92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14"/>
                <w:szCs w:val="14"/>
                <w:color w:val="auto"/>
                <w:w w:val="95"/>
              </w:rPr>
              <w:t>724,168</w:t>
            </w:r>
            <w:r>
              <w:rPr>
                <w:rFonts w:ascii="Arial" w:cs="Arial" w:eastAsia="Arial" w:hAnsi="Arial"/>
                <w:sz w:val="20"/>
                <w:szCs w:val="20"/>
                <w:color w:val="auto"/>
                <w:w w:val="95"/>
                <w:vertAlign w:val="superscript"/>
              </w:rPr>
              <w:t>(3)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$4,612,950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57"/>
        </w:trPr>
        <w:tc>
          <w:tcPr>
            <w:tcW w:w="3480" w:type="dxa"/>
            <w:vAlign w:val="bottom"/>
            <w:tcBorders>
              <w:left w:val="single" w:sz="8" w:color="auto"/>
              <w:bottom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i w:val="1"/>
                <w:iCs w:val="1"/>
                <w:color w:val="auto"/>
              </w:rPr>
              <w:t>Former Chief Executive Officer</w:t>
            </w:r>
          </w:p>
        </w:tc>
        <w:tc>
          <w:tcPr>
            <w:tcW w:w="920" w:type="dxa"/>
            <w:vAlign w:val="bottom"/>
            <w:tcBorders>
              <w:bottom w:val="single" w:sz="8" w:color="auto"/>
              <w:right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8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4"/>
                <w:szCs w:val="14"/>
                <w:b w:val="1"/>
                <w:bCs w:val="1"/>
                <w:color w:val="auto"/>
              </w:rPr>
              <w:t>Rajat Marwah</w:t>
            </w:r>
          </w:p>
        </w:tc>
        <w:tc>
          <w:tcPr>
            <w:tcW w:w="920" w:type="dxa"/>
            <w:vAlign w:val="bottom"/>
            <w:tcBorders>
              <w:right w:val="single" w:sz="8" w:color="auto"/>
            </w:tcBorders>
            <w:vMerge w:val="restart"/>
          </w:tcPr>
          <w:p>
            <w:pPr>
              <w:jc w:val="center"/>
              <w:ind w:lef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146,509</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$933,262</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617,476</w:t>
            </w:r>
          </w:p>
        </w:tc>
        <w:tc>
          <w:tcPr>
            <w:tcW w:w="40" w:type="dxa"/>
            <w:vAlign w:val="bottom"/>
          </w:tcPr>
          <w:p>
            <w:pPr>
              <w:spacing w:after="0"/>
              <w:rPr>
                <w:sz w:val="13"/>
                <w:szCs w:val="13"/>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$3,933,322</w:t>
            </w:r>
          </w:p>
        </w:tc>
        <w:tc>
          <w:tcPr>
            <w:tcW w:w="0" w:type="dxa"/>
            <w:vAlign w:val="bottom"/>
          </w:tcPr>
          <w:p>
            <w:pPr>
              <w:spacing w:after="0"/>
              <w:rPr>
                <w:sz w:val="1"/>
                <w:szCs w:val="1"/>
                <w:color w:val="auto"/>
              </w:rPr>
            </w:pPr>
          </w:p>
        </w:tc>
      </w:tr>
      <w:tr>
        <w:trPr>
          <w:trHeight w:val="157"/>
        </w:trPr>
        <w:tc>
          <w:tcPr>
            <w:tcW w:w="3480" w:type="dxa"/>
            <w:vAlign w:val="bottom"/>
            <w:tcBorders>
              <w:left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i w:val="1"/>
                <w:iCs w:val="1"/>
                <w:color w:val="auto"/>
              </w:rPr>
              <w:t>Chief Executive Officer / Former President and Chief</w:t>
            </w:r>
          </w:p>
        </w:tc>
        <w:tc>
          <w:tcPr>
            <w:tcW w:w="9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88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88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Financial Officer</w:t>
            </w:r>
          </w:p>
        </w:tc>
        <w:tc>
          <w:tcPr>
            <w:tcW w:w="9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48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4"/>
                <w:szCs w:val="14"/>
                <w:b w:val="1"/>
                <w:bCs w:val="1"/>
                <w:color w:val="auto"/>
              </w:rPr>
              <w:t>John Naccarato</w:t>
            </w:r>
          </w:p>
        </w:tc>
        <w:tc>
          <w:tcPr>
            <w:tcW w:w="920" w:type="dxa"/>
            <w:vAlign w:val="bottom"/>
            <w:tcBorders>
              <w:right w:val="single" w:sz="8" w:color="auto"/>
            </w:tcBorders>
            <w:vMerge w:val="restart"/>
          </w:tcPr>
          <w:p>
            <w:pPr>
              <w:jc w:val="center"/>
              <w:ind w:lef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136,037</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$866,556</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617,476</w:t>
            </w:r>
          </w:p>
        </w:tc>
        <w:tc>
          <w:tcPr>
            <w:tcW w:w="40" w:type="dxa"/>
            <w:vAlign w:val="bottom"/>
          </w:tcPr>
          <w:p>
            <w:pPr>
              <w:spacing w:after="0"/>
              <w:rPr>
                <w:sz w:val="13"/>
                <w:szCs w:val="13"/>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$3,933,322</w:t>
            </w:r>
          </w:p>
        </w:tc>
        <w:tc>
          <w:tcPr>
            <w:tcW w:w="0" w:type="dxa"/>
            <w:vAlign w:val="bottom"/>
          </w:tcPr>
          <w:p>
            <w:pPr>
              <w:spacing w:after="0"/>
              <w:rPr>
                <w:sz w:val="1"/>
                <w:szCs w:val="1"/>
                <w:color w:val="auto"/>
              </w:rPr>
            </w:pPr>
          </w:p>
        </w:tc>
      </w:tr>
      <w:tr>
        <w:trPr>
          <w:trHeight w:val="104"/>
        </w:trPr>
        <w:tc>
          <w:tcPr>
            <w:tcW w:w="34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i w:val="1"/>
                <w:iCs w:val="1"/>
                <w:color w:val="auto"/>
              </w:rPr>
              <w:t>Vice President – Strategy and Chief Legal Officer</w:t>
            </w:r>
          </w:p>
        </w:tc>
        <w:tc>
          <w:tcPr>
            <w:tcW w:w="9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480" w:type="dxa"/>
            <w:vAlign w:val="bottom"/>
            <w:tcBorders>
              <w:left w:val="single" w:sz="8" w:color="auto"/>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48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4"/>
                <w:szCs w:val="14"/>
                <w:b w:val="1"/>
                <w:bCs w:val="1"/>
                <w:color w:val="auto"/>
              </w:rPr>
              <w:t>Mark Nogalo</w:t>
            </w:r>
          </w:p>
        </w:tc>
        <w:tc>
          <w:tcPr>
            <w:tcW w:w="920" w:type="dxa"/>
            <w:vAlign w:val="bottom"/>
            <w:tcBorders>
              <w:right w:val="single" w:sz="8" w:color="auto"/>
            </w:tcBorders>
            <w:vMerge w:val="restart"/>
          </w:tcPr>
          <w:p>
            <w:pPr>
              <w:jc w:val="center"/>
              <w:ind w:lef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64,558</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$411,324</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529,265</w:t>
            </w:r>
          </w:p>
        </w:tc>
        <w:tc>
          <w:tcPr>
            <w:tcW w:w="40" w:type="dxa"/>
            <w:vAlign w:val="bottom"/>
          </w:tcPr>
          <w:p>
            <w:pPr>
              <w:spacing w:after="0"/>
              <w:rPr>
                <w:sz w:val="13"/>
                <w:szCs w:val="13"/>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$3,371,418</w:t>
            </w:r>
          </w:p>
        </w:tc>
        <w:tc>
          <w:tcPr>
            <w:tcW w:w="0" w:type="dxa"/>
            <w:vAlign w:val="bottom"/>
          </w:tcPr>
          <w:p>
            <w:pPr>
              <w:spacing w:after="0"/>
              <w:rPr>
                <w:sz w:val="1"/>
                <w:szCs w:val="1"/>
                <w:color w:val="auto"/>
              </w:rPr>
            </w:pPr>
          </w:p>
        </w:tc>
      </w:tr>
      <w:tr>
        <w:trPr>
          <w:trHeight w:val="104"/>
        </w:trPr>
        <w:tc>
          <w:tcPr>
            <w:tcW w:w="34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i w:val="1"/>
                <w:iCs w:val="1"/>
                <w:color w:val="auto"/>
              </w:rPr>
              <w:t>Former Vice President – Strategic Transformation</w:t>
            </w:r>
          </w:p>
        </w:tc>
        <w:tc>
          <w:tcPr>
            <w:tcW w:w="9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480" w:type="dxa"/>
            <w:vAlign w:val="bottom"/>
            <w:tcBorders>
              <w:left w:val="single" w:sz="8" w:color="auto"/>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480" w:type="dxa"/>
            <w:vAlign w:val="bottom"/>
            <w:tcBorders>
              <w:left w:val="single" w:sz="8" w:color="auto"/>
              <w:right w:val="single" w:sz="8" w:color="auto"/>
            </w:tcBorders>
          </w:tcPr>
          <w:p>
            <w:pPr>
              <w:ind w:left="160"/>
              <w:spacing w:after="0" w:line="156" w:lineRule="exact"/>
              <w:rPr>
                <w:sz w:val="20"/>
                <w:szCs w:val="20"/>
                <w:color w:val="auto"/>
              </w:rPr>
            </w:pPr>
            <w:r>
              <w:rPr>
                <w:rFonts w:ascii="Arial" w:cs="Arial" w:eastAsia="Arial" w:hAnsi="Arial"/>
                <w:sz w:val="14"/>
                <w:szCs w:val="14"/>
                <w:b w:val="1"/>
                <w:bCs w:val="1"/>
                <w:color w:val="auto"/>
              </w:rPr>
              <w:t>Michael Panzeri</w:t>
            </w:r>
          </w:p>
        </w:tc>
        <w:tc>
          <w:tcPr>
            <w:tcW w:w="920" w:type="dxa"/>
            <w:vAlign w:val="bottom"/>
            <w:tcBorders>
              <w:right w:val="single" w:sz="8" w:color="auto"/>
            </w:tcBorders>
            <w:vMerge w:val="restart"/>
          </w:tcPr>
          <w:p>
            <w:pPr>
              <w:jc w:val="center"/>
              <w:ind w:left="1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157,228</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$1,001,542</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w:t>
            </w:r>
          </w:p>
        </w:tc>
        <w:tc>
          <w:tcPr>
            <w:tcW w:w="40" w:type="dxa"/>
            <w:vAlign w:val="bottom"/>
          </w:tcPr>
          <w:p>
            <w:pPr>
              <w:spacing w:after="0"/>
              <w:rPr>
                <w:sz w:val="13"/>
                <w:szCs w:val="13"/>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04"/>
        </w:trPr>
        <w:tc>
          <w:tcPr>
            <w:tcW w:w="34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i w:val="1"/>
                <w:iCs w:val="1"/>
                <w:color w:val="auto"/>
              </w:rPr>
              <w:t>Senior Vice President, Production</w:t>
            </w:r>
          </w:p>
        </w:tc>
        <w:tc>
          <w:tcPr>
            <w:tcW w:w="92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480" w:type="dxa"/>
            <w:vAlign w:val="bottom"/>
            <w:tcBorders>
              <w:left w:val="single" w:sz="8" w:color="auto"/>
              <w:right w:val="single" w:sz="8" w:color="auto"/>
            </w:tcBorders>
            <w:vMerge w:val="continue"/>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675" cy="374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122237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jc w:val="both"/>
        <w:ind w:left="520" w:right="20" w:hanging="415"/>
        <w:spacing w:after="0" w:line="243" w:lineRule="auto"/>
        <w:tabs>
          <w:tab w:leader="none" w:pos="520" w:val="left"/>
        </w:tabs>
        <w:numPr>
          <w:ilvl w:val="0"/>
          <w:numId w:val="32"/>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RSUs and PSUs awarded to the NEOs, inclusive of dividend equivalents, up to Fiscal 2025, determined by multiplying the number of share-based awards by the closing price of the Shares on the TSX on April 30, 2026, being C$6.37 per share. Earned units will vest according to the schedule determined for each program year, those vesting dates being (i) March 31, 2026, (ii) March 31, 2027 and (ii) March 10, 2028, subject to other conditions of vesting as set out in the applicable award agreements.</w:t>
      </w:r>
    </w:p>
    <w:p>
      <w:pPr>
        <w:spacing w:after="0" w:line="2" w:lineRule="exact"/>
        <w:rPr>
          <w:rFonts w:ascii="Arial" w:cs="Arial" w:eastAsia="Arial" w:hAnsi="Arial"/>
          <w:sz w:val="16"/>
          <w:szCs w:val="16"/>
          <w:i w:val="1"/>
          <w:iCs w:val="1"/>
          <w:color w:val="003445"/>
        </w:rPr>
      </w:pPr>
    </w:p>
    <w:p>
      <w:pPr>
        <w:jc w:val="both"/>
        <w:ind w:left="520" w:right="20" w:hanging="415"/>
        <w:spacing w:after="0" w:line="239" w:lineRule="auto"/>
        <w:tabs>
          <w:tab w:leader="none" w:pos="520" w:val="left"/>
        </w:tabs>
        <w:numPr>
          <w:ilvl w:val="0"/>
          <w:numId w:val="32"/>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Replacement LTIP Awards issued under the Legacy Incentive Plan and Earnout Rights granted in connection with the Merger (inclusive of dividend equivalents), determined by multiplying the number of share-based awards by the closing price of the Shares on the TSX on April 30, 2026, being C$6.37 per share.</w:t>
      </w:r>
    </w:p>
    <w:p>
      <w:pPr>
        <w:ind w:left="520" w:hanging="415"/>
        <w:spacing w:after="0"/>
        <w:tabs>
          <w:tab w:leader="none" w:pos="520" w:val="left"/>
        </w:tabs>
        <w:numPr>
          <w:ilvl w:val="0"/>
          <w:numId w:val="32"/>
        </w:numPr>
        <w:rPr>
          <w:rFonts w:ascii="Arial" w:cs="Arial" w:eastAsia="Arial" w:hAnsi="Arial"/>
          <w:sz w:val="16"/>
          <w:szCs w:val="16"/>
          <w:i w:val="1"/>
          <w:iCs w:val="1"/>
          <w:color w:val="003445"/>
        </w:rPr>
      </w:pPr>
      <w:r>
        <w:rPr>
          <w:rFonts w:ascii="Arial" w:cs="Arial" w:eastAsia="Arial" w:hAnsi="Arial"/>
          <w:sz w:val="16"/>
          <w:szCs w:val="16"/>
          <w:i w:val="1"/>
          <w:iCs w:val="1"/>
          <w:color w:val="003445"/>
        </w:rPr>
        <w:t>In connection with Mr. Garcia’s retirement, all of his unvested awards effective as of December 31, 2025 were cancelled.</w:t>
      </w:r>
    </w:p>
    <w:p>
      <w:pPr>
        <w:spacing w:after="0" w:line="2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Incentive Plan Awards – Value Vested or Earned During the Year – Named Executive Officers</w:t>
      </w: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5240" w:type="dxa"/>
            <w:vAlign w:val="bottom"/>
            <w:tcBorders>
              <w:top w:val="single" w:sz="8" w:color="auto"/>
              <w:left w:val="single" w:sz="8" w:color="auto"/>
              <w:right w:val="single" w:sz="8" w:color="auto"/>
            </w:tcBorders>
            <w:shd w:val="clear" w:color="auto" w:fill="003445"/>
          </w:tcPr>
          <w:p>
            <w:pPr>
              <w:spacing w:after="0"/>
              <w:rPr>
                <w:sz w:val="17"/>
                <w:szCs w:val="17"/>
                <w:color w:val="auto"/>
              </w:rPr>
            </w:pPr>
          </w:p>
        </w:tc>
        <w:tc>
          <w:tcPr>
            <w:tcW w:w="1820" w:type="dxa"/>
            <w:vAlign w:val="bottom"/>
            <w:tcBorders>
              <w:top w:val="single" w:sz="8" w:color="auto"/>
              <w:right w:val="single" w:sz="8" w:color="auto"/>
            </w:tcBorders>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Option based</w:t>
            </w:r>
          </w:p>
        </w:tc>
        <w:tc>
          <w:tcPr>
            <w:tcW w:w="1820" w:type="dxa"/>
            <w:vAlign w:val="bottom"/>
            <w:tcBorders>
              <w:top w:val="single" w:sz="8" w:color="auto"/>
              <w:right w:val="single" w:sz="8" w:color="auto"/>
            </w:tcBorders>
            <w:shd w:val="clear" w:color="auto" w:fill="003445"/>
          </w:tcPr>
          <w:p>
            <w:pPr>
              <w:spacing w:after="0"/>
              <w:rPr>
                <w:sz w:val="17"/>
                <w:szCs w:val="17"/>
                <w:color w:val="auto"/>
              </w:rPr>
            </w:pPr>
          </w:p>
        </w:tc>
        <w:tc>
          <w:tcPr>
            <w:tcW w:w="182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Non-equity</w:t>
            </w:r>
          </w:p>
        </w:tc>
        <w:tc>
          <w:tcPr>
            <w:tcW w:w="0" w:type="dxa"/>
            <w:vAlign w:val="bottom"/>
          </w:tcPr>
          <w:p>
            <w:pPr>
              <w:spacing w:after="0"/>
              <w:rPr>
                <w:sz w:val="1"/>
                <w:szCs w:val="1"/>
                <w:color w:val="auto"/>
              </w:rPr>
            </w:pPr>
          </w:p>
        </w:tc>
      </w:tr>
      <w:tr>
        <w:trPr>
          <w:trHeight w:val="92"/>
        </w:trPr>
        <w:tc>
          <w:tcPr>
            <w:tcW w:w="5240" w:type="dxa"/>
            <w:vAlign w:val="bottom"/>
            <w:tcBorders>
              <w:left w:val="single" w:sz="8" w:color="auto"/>
              <w:right w:val="single" w:sz="8" w:color="auto"/>
            </w:tcBorders>
            <w:shd w:val="clear" w:color="auto" w:fill="003445"/>
          </w:tcPr>
          <w:p>
            <w:pPr>
              <w:spacing w:after="0"/>
              <w:rPr>
                <w:sz w:val="7"/>
                <w:szCs w:val="7"/>
                <w:color w:val="auto"/>
              </w:rPr>
            </w:pPr>
          </w:p>
        </w:tc>
        <w:tc>
          <w:tcPr>
            <w:tcW w:w="1820" w:type="dxa"/>
            <w:vAlign w:val="bottom"/>
            <w:tcBorders>
              <w:right w:val="single" w:sz="8" w:color="auto"/>
            </w:tcBorders>
            <w:vMerge w:val="continue"/>
            <w:shd w:val="clear" w:color="auto" w:fill="003445"/>
          </w:tcPr>
          <w:p>
            <w:pPr>
              <w:spacing w:after="0"/>
              <w:rPr>
                <w:sz w:val="7"/>
                <w:szCs w:val="7"/>
                <w:color w:val="auto"/>
              </w:rPr>
            </w:pPr>
          </w:p>
        </w:tc>
        <w:tc>
          <w:tcPr>
            <w:tcW w:w="1820" w:type="dxa"/>
            <w:vAlign w:val="bottom"/>
            <w:tcBorders>
              <w:right w:val="single" w:sz="8" w:color="auto"/>
            </w:tcBorders>
            <w:vMerge w:val="restart"/>
            <w:shd w:val="clear" w:color="auto" w:fill="003445"/>
          </w:tcPr>
          <w:p>
            <w:pPr>
              <w:jc w:val="center"/>
              <w:ind w:left="15"/>
              <w:spacing w:after="0"/>
              <w:rPr>
                <w:sz w:val="20"/>
                <w:szCs w:val="20"/>
                <w:color w:val="auto"/>
              </w:rPr>
            </w:pPr>
            <w:r>
              <w:rPr>
                <w:rFonts w:ascii="Arial" w:cs="Arial" w:eastAsia="Arial" w:hAnsi="Arial"/>
                <w:sz w:val="17"/>
                <w:szCs w:val="17"/>
                <w:b w:val="1"/>
                <w:bCs w:val="1"/>
                <w:color w:val="FFFFFF"/>
              </w:rPr>
              <w:t>Share-based</w:t>
            </w: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incentive plan</w:t>
            </w:r>
          </w:p>
        </w:tc>
        <w:tc>
          <w:tcPr>
            <w:tcW w:w="0" w:type="dxa"/>
            <w:vAlign w:val="bottom"/>
          </w:tcPr>
          <w:p>
            <w:pPr>
              <w:spacing w:after="0"/>
              <w:rPr>
                <w:sz w:val="1"/>
                <w:szCs w:val="1"/>
                <w:color w:val="auto"/>
              </w:rPr>
            </w:pPr>
          </w:p>
        </w:tc>
      </w:tr>
      <w:tr>
        <w:trPr>
          <w:trHeight w:val="105"/>
        </w:trPr>
        <w:tc>
          <w:tcPr>
            <w:tcW w:w="5240" w:type="dxa"/>
            <w:vAlign w:val="bottom"/>
            <w:tcBorders>
              <w:left w:val="single" w:sz="8" w:color="auto"/>
              <w:right w:val="single" w:sz="8" w:color="auto"/>
            </w:tcBorders>
            <w:shd w:val="clear" w:color="auto" w:fill="003445"/>
          </w:tcPr>
          <w:p>
            <w:pPr>
              <w:spacing w:after="0"/>
              <w:rPr>
                <w:sz w:val="9"/>
                <w:szCs w:val="9"/>
                <w:color w:val="auto"/>
              </w:rPr>
            </w:pPr>
          </w:p>
        </w:tc>
        <w:tc>
          <w:tcPr>
            <w:tcW w:w="1820" w:type="dxa"/>
            <w:vAlign w:val="bottom"/>
            <w:tcBorders>
              <w:right w:val="single" w:sz="8" w:color="auto"/>
            </w:tcBorders>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awards – value</w:t>
            </w: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240" w:type="dxa"/>
            <w:vAlign w:val="bottom"/>
            <w:tcBorders>
              <w:left w:val="single" w:sz="8" w:color="auto"/>
              <w:right w:val="single" w:sz="8" w:color="auto"/>
            </w:tcBorders>
            <w:shd w:val="clear" w:color="auto" w:fill="003445"/>
          </w:tcPr>
          <w:p>
            <w:pPr>
              <w:spacing w:after="0"/>
              <w:rPr>
                <w:sz w:val="7"/>
                <w:szCs w:val="7"/>
                <w:color w:val="auto"/>
              </w:rPr>
            </w:pPr>
          </w:p>
        </w:tc>
        <w:tc>
          <w:tcPr>
            <w:tcW w:w="1820" w:type="dxa"/>
            <w:vAlign w:val="bottom"/>
            <w:tcBorders>
              <w:right w:val="single" w:sz="8" w:color="auto"/>
            </w:tcBorders>
            <w:vMerge w:val="continue"/>
            <w:shd w:val="clear" w:color="auto" w:fill="003445"/>
          </w:tcPr>
          <w:p>
            <w:pPr>
              <w:spacing w:after="0"/>
              <w:rPr>
                <w:sz w:val="7"/>
                <w:szCs w:val="7"/>
                <w:color w:val="auto"/>
              </w:rPr>
            </w:pPr>
          </w:p>
        </w:tc>
        <w:tc>
          <w:tcPr>
            <w:tcW w:w="1820" w:type="dxa"/>
            <w:vAlign w:val="bottom"/>
            <w:tcBorders>
              <w:right w:val="single" w:sz="8" w:color="auto"/>
            </w:tcBorders>
            <w:vMerge w:val="restart"/>
            <w:shd w:val="clear" w:color="auto" w:fill="003445"/>
          </w:tcPr>
          <w:p>
            <w:pPr>
              <w:jc w:val="center"/>
              <w:ind w:left="15"/>
              <w:spacing w:after="0"/>
              <w:rPr>
                <w:sz w:val="20"/>
                <w:szCs w:val="20"/>
                <w:color w:val="auto"/>
              </w:rPr>
            </w:pPr>
            <w:r>
              <w:rPr>
                <w:rFonts w:ascii="Arial" w:cs="Arial" w:eastAsia="Arial" w:hAnsi="Arial"/>
                <w:sz w:val="17"/>
                <w:szCs w:val="17"/>
                <w:b w:val="1"/>
                <w:bCs w:val="1"/>
                <w:color w:val="FFFFFF"/>
              </w:rPr>
              <w:t>awards – value</w:t>
            </w: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compensation –</w:t>
            </w:r>
          </w:p>
        </w:tc>
        <w:tc>
          <w:tcPr>
            <w:tcW w:w="0" w:type="dxa"/>
            <w:vAlign w:val="bottom"/>
          </w:tcPr>
          <w:p>
            <w:pPr>
              <w:spacing w:after="0"/>
              <w:rPr>
                <w:sz w:val="1"/>
                <w:szCs w:val="1"/>
                <w:color w:val="auto"/>
              </w:rPr>
            </w:pPr>
          </w:p>
        </w:tc>
      </w:tr>
      <w:tr>
        <w:trPr>
          <w:trHeight w:val="105"/>
        </w:trPr>
        <w:tc>
          <w:tcPr>
            <w:tcW w:w="5240" w:type="dxa"/>
            <w:vAlign w:val="bottom"/>
            <w:tcBorders>
              <w:left w:val="single" w:sz="8" w:color="auto"/>
              <w:right w:val="single" w:sz="8" w:color="auto"/>
            </w:tcBorders>
            <w:vMerge w:val="restart"/>
            <w:shd w:val="clear" w:color="auto" w:fill="003445"/>
          </w:tcPr>
          <w:p>
            <w:pPr>
              <w:ind w:left="2460"/>
              <w:spacing w:after="0"/>
              <w:rPr>
                <w:sz w:val="20"/>
                <w:szCs w:val="20"/>
                <w:color w:val="auto"/>
              </w:rPr>
            </w:pPr>
            <w:r>
              <w:rPr>
                <w:rFonts w:ascii="Arial" w:cs="Arial" w:eastAsia="Arial" w:hAnsi="Arial"/>
                <w:sz w:val="17"/>
                <w:szCs w:val="17"/>
                <w:b w:val="1"/>
                <w:bCs w:val="1"/>
                <w:color w:val="FFFFFF"/>
              </w:rPr>
              <w:t>Name</w:t>
            </w: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vested during</w:t>
            </w: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240" w:type="dxa"/>
            <w:vAlign w:val="bottom"/>
            <w:tcBorders>
              <w:left w:val="single" w:sz="8" w:color="auto"/>
              <w:right w:val="single" w:sz="8" w:color="auto"/>
            </w:tcBorders>
            <w:vMerge w:val="continue"/>
            <w:shd w:val="clear" w:color="auto" w:fill="003445"/>
          </w:tcPr>
          <w:p>
            <w:pPr>
              <w:spacing w:after="0"/>
              <w:rPr>
                <w:sz w:val="7"/>
                <w:szCs w:val="7"/>
                <w:color w:val="auto"/>
              </w:rPr>
            </w:pPr>
          </w:p>
        </w:tc>
        <w:tc>
          <w:tcPr>
            <w:tcW w:w="1820" w:type="dxa"/>
            <w:vAlign w:val="bottom"/>
            <w:tcBorders>
              <w:right w:val="single" w:sz="8" w:color="auto"/>
            </w:tcBorders>
            <w:vMerge w:val="continue"/>
            <w:shd w:val="clear" w:color="auto" w:fill="003445"/>
          </w:tcPr>
          <w:p>
            <w:pPr>
              <w:spacing w:after="0"/>
              <w:rPr>
                <w:sz w:val="7"/>
                <w:szCs w:val="7"/>
                <w:color w:val="auto"/>
              </w:rPr>
            </w:pP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vested during</w:t>
            </w: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value earned</w:t>
            </w:r>
          </w:p>
        </w:tc>
        <w:tc>
          <w:tcPr>
            <w:tcW w:w="0" w:type="dxa"/>
            <w:vAlign w:val="bottom"/>
          </w:tcPr>
          <w:p>
            <w:pPr>
              <w:spacing w:after="0"/>
              <w:rPr>
                <w:sz w:val="1"/>
                <w:szCs w:val="1"/>
                <w:color w:val="auto"/>
              </w:rPr>
            </w:pPr>
          </w:p>
        </w:tc>
      </w:tr>
      <w:tr>
        <w:trPr>
          <w:trHeight w:val="105"/>
        </w:trPr>
        <w:tc>
          <w:tcPr>
            <w:tcW w:w="5240" w:type="dxa"/>
            <w:vAlign w:val="bottom"/>
            <w:tcBorders>
              <w:left w:val="single" w:sz="8" w:color="auto"/>
              <w:right w:val="single" w:sz="8" w:color="auto"/>
            </w:tcBorders>
            <w:shd w:val="clear" w:color="auto" w:fill="003445"/>
          </w:tcPr>
          <w:p>
            <w:pPr>
              <w:spacing w:after="0"/>
              <w:rPr>
                <w:sz w:val="9"/>
                <w:szCs w:val="9"/>
                <w:color w:val="auto"/>
              </w:rPr>
            </w:pPr>
          </w:p>
        </w:tc>
        <w:tc>
          <w:tcPr>
            <w:tcW w:w="1820" w:type="dxa"/>
            <w:vAlign w:val="bottom"/>
            <w:tcBorders>
              <w:right w:val="single" w:sz="8" w:color="auto"/>
            </w:tcBorders>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the year</w:t>
            </w: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240" w:type="dxa"/>
            <w:vAlign w:val="bottom"/>
            <w:tcBorders>
              <w:left w:val="single" w:sz="8" w:color="auto"/>
              <w:right w:val="single" w:sz="8" w:color="auto"/>
            </w:tcBorders>
            <w:shd w:val="clear" w:color="auto" w:fill="003445"/>
          </w:tcPr>
          <w:p>
            <w:pPr>
              <w:spacing w:after="0"/>
              <w:rPr>
                <w:sz w:val="7"/>
                <w:szCs w:val="7"/>
                <w:color w:val="auto"/>
              </w:rPr>
            </w:pPr>
          </w:p>
        </w:tc>
        <w:tc>
          <w:tcPr>
            <w:tcW w:w="1820" w:type="dxa"/>
            <w:vAlign w:val="bottom"/>
            <w:tcBorders>
              <w:right w:val="single" w:sz="8" w:color="auto"/>
            </w:tcBorders>
            <w:vMerge w:val="continue"/>
            <w:shd w:val="clear" w:color="auto" w:fill="003445"/>
          </w:tcPr>
          <w:p>
            <w:pPr>
              <w:spacing w:after="0"/>
              <w:rPr>
                <w:sz w:val="7"/>
                <w:szCs w:val="7"/>
                <w:color w:val="auto"/>
              </w:rPr>
            </w:pPr>
          </w:p>
        </w:tc>
        <w:tc>
          <w:tcPr>
            <w:tcW w:w="1820" w:type="dxa"/>
            <w:vAlign w:val="bottom"/>
            <w:tcBorders>
              <w:right w:val="single" w:sz="8" w:color="auto"/>
            </w:tcBorders>
            <w:vMerge w:val="restart"/>
            <w:shd w:val="clear" w:color="auto" w:fill="003445"/>
          </w:tcPr>
          <w:p>
            <w:pPr>
              <w:jc w:val="center"/>
              <w:ind w:left="15"/>
              <w:spacing w:after="0" w:line="197" w:lineRule="exact"/>
              <w:rPr>
                <w:sz w:val="20"/>
                <w:szCs w:val="20"/>
                <w:color w:val="auto"/>
              </w:rPr>
            </w:pPr>
            <w:r>
              <w:rPr>
                <w:rFonts w:ascii="Arial" w:cs="Arial" w:eastAsia="Arial" w:hAnsi="Arial"/>
                <w:sz w:val="15"/>
                <w:szCs w:val="15"/>
                <w:b w:val="1"/>
                <w:bCs w:val="1"/>
                <w:color w:val="FFFFFF"/>
              </w:rPr>
              <w:t>the year ($)</w:t>
            </w:r>
            <w:r>
              <w:rPr>
                <w:rFonts w:ascii="Arial" w:cs="Arial" w:eastAsia="Arial" w:hAnsi="Arial"/>
                <w:sz w:val="22"/>
                <w:szCs w:val="22"/>
                <w:b w:val="1"/>
                <w:bCs w:val="1"/>
                <w:color w:val="FFFFFF"/>
                <w:vertAlign w:val="superscript"/>
              </w:rPr>
              <w:t>(1)</w:t>
            </w: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during the year</w:t>
            </w:r>
          </w:p>
        </w:tc>
        <w:tc>
          <w:tcPr>
            <w:tcW w:w="0" w:type="dxa"/>
            <w:vAlign w:val="bottom"/>
          </w:tcPr>
          <w:p>
            <w:pPr>
              <w:spacing w:after="0"/>
              <w:rPr>
                <w:sz w:val="1"/>
                <w:szCs w:val="1"/>
                <w:color w:val="auto"/>
              </w:rPr>
            </w:pPr>
          </w:p>
        </w:tc>
      </w:tr>
      <w:tr>
        <w:trPr>
          <w:trHeight w:val="105"/>
        </w:trPr>
        <w:tc>
          <w:tcPr>
            <w:tcW w:w="5240" w:type="dxa"/>
            <w:vAlign w:val="bottom"/>
            <w:tcBorders>
              <w:left w:val="single" w:sz="8" w:color="auto"/>
              <w:right w:val="single" w:sz="8" w:color="auto"/>
            </w:tcBorders>
            <w:shd w:val="clear" w:color="auto" w:fill="003445"/>
          </w:tcPr>
          <w:p>
            <w:pPr>
              <w:spacing w:after="0"/>
              <w:rPr>
                <w:sz w:val="9"/>
                <w:szCs w:val="9"/>
                <w:color w:val="auto"/>
              </w:rPr>
            </w:pPr>
          </w:p>
        </w:tc>
        <w:tc>
          <w:tcPr>
            <w:tcW w:w="1820" w:type="dxa"/>
            <w:vAlign w:val="bottom"/>
            <w:tcBorders>
              <w:right w:val="single" w:sz="8" w:color="auto"/>
            </w:tcBorders>
            <w:vMerge w:val="restart"/>
            <w:shd w:val="clear" w:color="auto" w:fill="003445"/>
          </w:tcPr>
          <w:p>
            <w:pPr>
              <w:jc w:val="right"/>
              <w:ind w:right="673"/>
              <w:spacing w:after="0"/>
              <w:rPr>
                <w:sz w:val="20"/>
                <w:szCs w:val="20"/>
                <w:color w:val="auto"/>
              </w:rPr>
            </w:pPr>
            <w:r>
              <w:rPr>
                <w:rFonts w:ascii="Arial" w:cs="Arial" w:eastAsia="Arial" w:hAnsi="Arial"/>
                <w:sz w:val="17"/>
                <w:szCs w:val="17"/>
                <w:b w:val="1"/>
                <w:bCs w:val="1"/>
                <w:color w:val="FFFFFF"/>
              </w:rPr>
              <w:t>($)</w:t>
            </w: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40" w:type="dxa"/>
            <w:vAlign w:val="bottom"/>
            <w:tcBorders>
              <w:left w:val="single" w:sz="8" w:color="auto"/>
              <w:right w:val="single" w:sz="8" w:color="auto"/>
            </w:tcBorders>
            <w:shd w:val="clear" w:color="auto" w:fill="003445"/>
          </w:tcPr>
          <w:p>
            <w:pPr>
              <w:spacing w:after="0"/>
              <w:rPr>
                <w:sz w:val="11"/>
                <w:szCs w:val="11"/>
                <w:color w:val="auto"/>
              </w:rPr>
            </w:pPr>
          </w:p>
        </w:tc>
        <w:tc>
          <w:tcPr>
            <w:tcW w:w="1820" w:type="dxa"/>
            <w:vAlign w:val="bottom"/>
            <w:tcBorders>
              <w:right w:val="single" w:sz="8" w:color="auto"/>
            </w:tcBorders>
            <w:vMerge w:val="continue"/>
            <w:shd w:val="clear" w:color="auto" w:fill="003445"/>
          </w:tcPr>
          <w:p>
            <w:pPr>
              <w:spacing w:after="0"/>
              <w:rPr>
                <w:sz w:val="11"/>
                <w:szCs w:val="11"/>
                <w:color w:val="auto"/>
              </w:rPr>
            </w:pPr>
          </w:p>
        </w:tc>
        <w:tc>
          <w:tcPr>
            <w:tcW w:w="1820" w:type="dxa"/>
            <w:vAlign w:val="bottom"/>
            <w:tcBorders>
              <w:right w:val="single" w:sz="8" w:color="auto"/>
            </w:tcBorders>
            <w:shd w:val="clear" w:color="auto" w:fill="003445"/>
          </w:tcPr>
          <w:p>
            <w:pPr>
              <w:spacing w:after="0"/>
              <w:rPr>
                <w:sz w:val="11"/>
                <w:szCs w:val="11"/>
                <w:color w:val="auto"/>
              </w:rPr>
            </w:pPr>
          </w:p>
        </w:tc>
        <w:tc>
          <w:tcPr>
            <w:tcW w:w="1820" w:type="dxa"/>
            <w:vAlign w:val="bottom"/>
            <w:tcBorders>
              <w:right w:val="single" w:sz="8" w:color="auto"/>
            </w:tcBorders>
            <w:vMerge w:val="restart"/>
            <w:shd w:val="clear" w:color="auto" w:fill="003445"/>
          </w:tcPr>
          <w:p>
            <w:pPr>
              <w:jc w:val="center"/>
              <w:ind w:right="598"/>
              <w:spacing w:after="0" w:line="255" w:lineRule="exact"/>
              <w:rPr>
                <w:sz w:val="20"/>
                <w:szCs w:val="20"/>
                <w:color w:val="auto"/>
              </w:rPr>
            </w:pPr>
            <w:r>
              <w:rPr>
                <w:rFonts w:ascii="Arial" w:cs="Arial" w:eastAsia="Arial" w:hAnsi="Arial"/>
                <w:sz w:val="29"/>
                <w:szCs w:val="29"/>
                <w:b w:val="1"/>
                <w:bCs w:val="1"/>
                <w:color w:val="FFFFFF"/>
                <w:vertAlign w:val="subscript"/>
              </w:rPr>
              <w:t>($)</w:t>
            </w:r>
            <w:r>
              <w:rPr>
                <w:rFonts w:ascii="Arial" w:cs="Arial" w:eastAsia="Arial" w:hAnsi="Arial"/>
                <w:sz w:val="12"/>
                <w:szCs w:val="12"/>
                <w:b w:val="1"/>
                <w:bCs w:val="1"/>
                <w:color w:val="FFFFFF"/>
              </w:rPr>
              <w:t>(2)</w:t>
            </w:r>
          </w:p>
        </w:tc>
        <w:tc>
          <w:tcPr>
            <w:tcW w:w="0" w:type="dxa"/>
            <w:vAlign w:val="bottom"/>
          </w:tcPr>
          <w:p>
            <w:pPr>
              <w:spacing w:after="0"/>
              <w:rPr>
                <w:sz w:val="1"/>
                <w:szCs w:val="1"/>
                <w:color w:val="auto"/>
              </w:rPr>
            </w:pPr>
          </w:p>
        </w:tc>
      </w:tr>
      <w:tr>
        <w:trPr>
          <w:trHeight w:val="119"/>
        </w:trPr>
        <w:tc>
          <w:tcPr>
            <w:tcW w:w="5240" w:type="dxa"/>
            <w:vAlign w:val="bottom"/>
            <w:tcBorders>
              <w:left w:val="single" w:sz="8" w:color="auto"/>
              <w:bottom w:val="single" w:sz="8" w:color="auto"/>
              <w:right w:val="single" w:sz="8" w:color="auto"/>
            </w:tcBorders>
            <w:shd w:val="clear" w:color="auto" w:fill="003445"/>
          </w:tcPr>
          <w:p>
            <w:pPr>
              <w:spacing w:after="0"/>
              <w:rPr>
                <w:sz w:val="10"/>
                <w:szCs w:val="10"/>
                <w:color w:val="auto"/>
              </w:rPr>
            </w:pPr>
          </w:p>
        </w:tc>
        <w:tc>
          <w:tcPr>
            <w:tcW w:w="1820" w:type="dxa"/>
            <w:vAlign w:val="bottom"/>
            <w:tcBorders>
              <w:bottom w:val="single" w:sz="8" w:color="auto"/>
              <w:right w:val="single" w:sz="8" w:color="auto"/>
            </w:tcBorders>
            <w:shd w:val="clear" w:color="auto" w:fill="003445"/>
          </w:tcPr>
          <w:p>
            <w:pPr>
              <w:spacing w:after="0"/>
              <w:rPr>
                <w:sz w:val="10"/>
                <w:szCs w:val="10"/>
                <w:color w:val="auto"/>
              </w:rPr>
            </w:pPr>
          </w:p>
        </w:tc>
        <w:tc>
          <w:tcPr>
            <w:tcW w:w="1820" w:type="dxa"/>
            <w:vAlign w:val="bottom"/>
            <w:tcBorders>
              <w:bottom w:val="single" w:sz="8" w:color="auto"/>
              <w:right w:val="single" w:sz="8" w:color="auto"/>
            </w:tcBorders>
            <w:shd w:val="clear" w:color="auto" w:fill="003445"/>
          </w:tcPr>
          <w:p>
            <w:pPr>
              <w:spacing w:after="0"/>
              <w:rPr>
                <w:sz w:val="10"/>
                <w:szCs w:val="10"/>
                <w:color w:val="auto"/>
              </w:rPr>
            </w:pPr>
          </w:p>
        </w:tc>
        <w:tc>
          <w:tcPr>
            <w:tcW w:w="1820" w:type="dxa"/>
            <w:vAlign w:val="bottom"/>
            <w:tcBorders>
              <w:bottom w:val="single" w:sz="8" w:color="auto"/>
              <w:right w:val="single" w:sz="8" w:color="auto"/>
            </w:tcBorders>
            <w:vMerge w:val="continue"/>
            <w:shd w:val="clear" w:color="auto" w:fill="003445"/>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5240" w:type="dxa"/>
            <w:vAlign w:val="bottom"/>
            <w:tcBorders>
              <w:left w:val="single" w:sz="8" w:color="auto"/>
              <w:right w:val="single" w:sz="8" w:color="auto"/>
            </w:tcBorders>
          </w:tcPr>
          <w:p>
            <w:pPr>
              <w:ind w:left="160"/>
              <w:spacing w:after="0" w:line="186" w:lineRule="exact"/>
              <w:rPr>
                <w:sz w:val="20"/>
                <w:szCs w:val="20"/>
                <w:color w:val="auto"/>
              </w:rPr>
            </w:pPr>
            <w:r>
              <w:rPr>
                <w:rFonts w:ascii="Arial" w:cs="Arial" w:eastAsia="Arial" w:hAnsi="Arial"/>
                <w:sz w:val="17"/>
                <w:szCs w:val="17"/>
                <w:b w:val="1"/>
                <w:bCs w:val="1"/>
                <w:color w:val="auto"/>
              </w:rPr>
              <w:t>Michael Garcia</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1820" w:type="dxa"/>
            <w:vAlign w:val="bottom"/>
            <w:tcBorders>
              <w:right w:val="single" w:sz="8" w:color="auto"/>
            </w:tcBorders>
            <w:vMerge w:val="restart"/>
          </w:tcPr>
          <w:p>
            <w:pPr>
              <w:jc w:val="center"/>
              <w:ind w:left="15"/>
              <w:spacing w:after="0"/>
              <w:rPr>
                <w:sz w:val="20"/>
                <w:szCs w:val="20"/>
                <w:color w:val="auto"/>
              </w:rPr>
            </w:pPr>
            <w:r>
              <w:rPr>
                <w:rFonts w:ascii="Arial" w:cs="Arial" w:eastAsia="Arial" w:hAnsi="Arial"/>
                <w:sz w:val="17"/>
                <w:szCs w:val="17"/>
                <w:color w:val="auto"/>
              </w:rPr>
              <w:t>$ -</w:t>
            </w:r>
          </w:p>
        </w:tc>
        <w:tc>
          <w:tcPr>
            <w:tcW w:w="1820" w:type="dxa"/>
            <w:vAlign w:val="bottom"/>
            <w:tcBorders>
              <w:right w:val="single" w:sz="8" w:color="auto"/>
            </w:tcBorders>
            <w:vMerge w:val="restart"/>
          </w:tcPr>
          <w:p>
            <w:pPr>
              <w:jc w:val="right"/>
              <w:ind w:right="478"/>
              <w:spacing w:after="0"/>
              <w:rPr>
                <w:sz w:val="20"/>
                <w:szCs w:val="20"/>
                <w:color w:val="auto"/>
              </w:rPr>
            </w:pPr>
            <w:r>
              <w:rPr>
                <w:rFonts w:ascii="Arial" w:cs="Arial" w:eastAsia="Arial" w:hAnsi="Arial"/>
                <w:sz w:val="17"/>
                <w:szCs w:val="17"/>
                <w:color w:val="auto"/>
              </w:rPr>
              <w:t>$63,131</w:t>
            </w:r>
          </w:p>
        </w:tc>
        <w:tc>
          <w:tcPr>
            <w:tcW w:w="0" w:type="dxa"/>
            <w:vAlign w:val="bottom"/>
          </w:tcPr>
          <w:p>
            <w:pPr>
              <w:spacing w:after="0"/>
              <w:rPr>
                <w:sz w:val="1"/>
                <w:szCs w:val="1"/>
                <w:color w:val="auto"/>
              </w:rPr>
            </w:pPr>
          </w:p>
        </w:tc>
      </w:tr>
      <w:tr>
        <w:trPr>
          <w:trHeight w:val="125"/>
        </w:trPr>
        <w:tc>
          <w:tcPr>
            <w:tcW w:w="52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7"/>
                <w:szCs w:val="17"/>
                <w:i w:val="1"/>
                <w:iCs w:val="1"/>
                <w:color w:val="auto"/>
              </w:rPr>
              <w:t>Former Chief Executive Officer</w:t>
            </w: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2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5240" w:type="dxa"/>
            <w:vAlign w:val="bottom"/>
          </w:tcPr>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tc>
        <w:tc>
          <w:tcPr>
            <w:tcW w:w="1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264" w:right="599" w:bottom="1440" w:gutter="0" w:footer="0" w:header="0"/>
        </w:sectPr>
      </w:pPr>
    </w:p>
    <w:bookmarkStart w:id="65" w:name="page66"/>
    <w:bookmarkEnd w:id="6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4"/>
        </w:trPr>
        <w:tc>
          <w:tcPr>
            <w:tcW w:w="5240" w:type="dxa"/>
            <w:vAlign w:val="bottom"/>
            <w:tcBorders>
              <w:top w:val="single" w:sz="8" w:color="auto"/>
              <w:left w:val="single" w:sz="8" w:color="auto"/>
              <w:right w:val="single" w:sz="8" w:color="auto"/>
            </w:tcBorders>
            <w:shd w:val="clear" w:color="auto" w:fill="003445"/>
          </w:tcPr>
          <w:p>
            <w:pPr>
              <w:spacing w:after="0"/>
              <w:rPr>
                <w:sz w:val="17"/>
                <w:szCs w:val="17"/>
                <w:color w:val="auto"/>
              </w:rPr>
            </w:pPr>
          </w:p>
        </w:tc>
        <w:tc>
          <w:tcPr>
            <w:tcW w:w="1820" w:type="dxa"/>
            <w:vAlign w:val="bottom"/>
            <w:tcBorders>
              <w:top w:val="single" w:sz="8" w:color="auto"/>
              <w:right w:val="single" w:sz="8" w:color="auto"/>
            </w:tcBorders>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Option based</w:t>
            </w:r>
          </w:p>
        </w:tc>
        <w:tc>
          <w:tcPr>
            <w:tcW w:w="1820" w:type="dxa"/>
            <w:vAlign w:val="bottom"/>
            <w:tcBorders>
              <w:top w:val="single" w:sz="8" w:color="auto"/>
              <w:right w:val="single" w:sz="8" w:color="auto"/>
            </w:tcBorders>
            <w:shd w:val="clear" w:color="auto" w:fill="003445"/>
          </w:tcPr>
          <w:p>
            <w:pPr>
              <w:spacing w:after="0"/>
              <w:rPr>
                <w:sz w:val="17"/>
                <w:szCs w:val="17"/>
                <w:color w:val="auto"/>
              </w:rPr>
            </w:pPr>
          </w:p>
        </w:tc>
        <w:tc>
          <w:tcPr>
            <w:tcW w:w="182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Non-equity</w:t>
            </w:r>
          </w:p>
        </w:tc>
        <w:tc>
          <w:tcPr>
            <w:tcW w:w="0" w:type="dxa"/>
            <w:vAlign w:val="bottom"/>
          </w:tcPr>
          <w:p>
            <w:pPr>
              <w:spacing w:after="0"/>
              <w:rPr>
                <w:sz w:val="1"/>
                <w:szCs w:val="1"/>
                <w:color w:val="auto"/>
              </w:rPr>
            </w:pPr>
          </w:p>
        </w:tc>
      </w:tr>
      <w:tr>
        <w:trPr>
          <w:trHeight w:val="92"/>
        </w:trPr>
        <w:tc>
          <w:tcPr>
            <w:tcW w:w="5240" w:type="dxa"/>
            <w:vAlign w:val="bottom"/>
            <w:tcBorders>
              <w:left w:val="single" w:sz="8" w:color="auto"/>
              <w:right w:val="single" w:sz="8" w:color="auto"/>
            </w:tcBorders>
            <w:shd w:val="clear" w:color="auto" w:fill="003445"/>
          </w:tcPr>
          <w:p>
            <w:pPr>
              <w:spacing w:after="0"/>
              <w:rPr>
                <w:sz w:val="7"/>
                <w:szCs w:val="7"/>
                <w:color w:val="auto"/>
              </w:rPr>
            </w:pPr>
          </w:p>
        </w:tc>
        <w:tc>
          <w:tcPr>
            <w:tcW w:w="1820" w:type="dxa"/>
            <w:vAlign w:val="bottom"/>
            <w:tcBorders>
              <w:right w:val="single" w:sz="8" w:color="auto"/>
            </w:tcBorders>
            <w:vMerge w:val="continue"/>
            <w:shd w:val="clear" w:color="auto" w:fill="003445"/>
          </w:tcPr>
          <w:p>
            <w:pPr>
              <w:spacing w:after="0"/>
              <w:rPr>
                <w:sz w:val="7"/>
                <w:szCs w:val="7"/>
                <w:color w:val="auto"/>
              </w:rPr>
            </w:pPr>
          </w:p>
        </w:tc>
        <w:tc>
          <w:tcPr>
            <w:tcW w:w="1820" w:type="dxa"/>
            <w:vAlign w:val="bottom"/>
            <w:tcBorders>
              <w:right w:val="single" w:sz="8" w:color="auto"/>
            </w:tcBorders>
            <w:vMerge w:val="restart"/>
            <w:shd w:val="clear" w:color="auto" w:fill="003445"/>
          </w:tcPr>
          <w:p>
            <w:pPr>
              <w:jc w:val="center"/>
              <w:ind w:left="14"/>
              <w:spacing w:after="0"/>
              <w:rPr>
                <w:sz w:val="20"/>
                <w:szCs w:val="20"/>
                <w:color w:val="auto"/>
              </w:rPr>
            </w:pPr>
            <w:r>
              <w:rPr>
                <w:rFonts w:ascii="Arial" w:cs="Arial" w:eastAsia="Arial" w:hAnsi="Arial"/>
                <w:sz w:val="17"/>
                <w:szCs w:val="17"/>
                <w:b w:val="1"/>
                <w:bCs w:val="1"/>
                <w:color w:val="FFFFFF"/>
              </w:rPr>
              <w:t>Share-based</w:t>
            </w: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incentive plan</w:t>
            </w:r>
          </w:p>
        </w:tc>
        <w:tc>
          <w:tcPr>
            <w:tcW w:w="0" w:type="dxa"/>
            <w:vAlign w:val="bottom"/>
          </w:tcPr>
          <w:p>
            <w:pPr>
              <w:spacing w:after="0"/>
              <w:rPr>
                <w:sz w:val="1"/>
                <w:szCs w:val="1"/>
                <w:color w:val="auto"/>
              </w:rPr>
            </w:pPr>
          </w:p>
        </w:tc>
      </w:tr>
      <w:tr>
        <w:trPr>
          <w:trHeight w:val="105"/>
        </w:trPr>
        <w:tc>
          <w:tcPr>
            <w:tcW w:w="5240" w:type="dxa"/>
            <w:vAlign w:val="bottom"/>
            <w:tcBorders>
              <w:left w:val="single" w:sz="8" w:color="auto"/>
              <w:right w:val="single" w:sz="8" w:color="auto"/>
            </w:tcBorders>
            <w:shd w:val="clear" w:color="auto" w:fill="003445"/>
          </w:tcPr>
          <w:p>
            <w:pPr>
              <w:spacing w:after="0"/>
              <w:rPr>
                <w:sz w:val="9"/>
                <w:szCs w:val="9"/>
                <w:color w:val="auto"/>
              </w:rPr>
            </w:pPr>
          </w:p>
        </w:tc>
        <w:tc>
          <w:tcPr>
            <w:tcW w:w="1820" w:type="dxa"/>
            <w:vAlign w:val="bottom"/>
            <w:tcBorders>
              <w:right w:val="single" w:sz="8" w:color="auto"/>
            </w:tcBorders>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awards – value</w:t>
            </w: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240" w:type="dxa"/>
            <w:vAlign w:val="bottom"/>
            <w:tcBorders>
              <w:left w:val="single" w:sz="8" w:color="auto"/>
              <w:right w:val="single" w:sz="8" w:color="auto"/>
            </w:tcBorders>
            <w:shd w:val="clear" w:color="auto" w:fill="003445"/>
          </w:tcPr>
          <w:p>
            <w:pPr>
              <w:spacing w:after="0"/>
              <w:rPr>
                <w:sz w:val="7"/>
                <w:szCs w:val="7"/>
                <w:color w:val="auto"/>
              </w:rPr>
            </w:pPr>
          </w:p>
        </w:tc>
        <w:tc>
          <w:tcPr>
            <w:tcW w:w="1820" w:type="dxa"/>
            <w:vAlign w:val="bottom"/>
            <w:tcBorders>
              <w:right w:val="single" w:sz="8" w:color="auto"/>
            </w:tcBorders>
            <w:vMerge w:val="continue"/>
            <w:shd w:val="clear" w:color="auto" w:fill="003445"/>
          </w:tcPr>
          <w:p>
            <w:pPr>
              <w:spacing w:after="0"/>
              <w:rPr>
                <w:sz w:val="7"/>
                <w:szCs w:val="7"/>
                <w:color w:val="auto"/>
              </w:rPr>
            </w:pPr>
          </w:p>
        </w:tc>
        <w:tc>
          <w:tcPr>
            <w:tcW w:w="1820" w:type="dxa"/>
            <w:vAlign w:val="bottom"/>
            <w:tcBorders>
              <w:right w:val="single" w:sz="8" w:color="auto"/>
            </w:tcBorders>
            <w:vMerge w:val="restart"/>
            <w:shd w:val="clear" w:color="auto" w:fill="003445"/>
          </w:tcPr>
          <w:p>
            <w:pPr>
              <w:jc w:val="center"/>
              <w:ind w:left="14"/>
              <w:spacing w:after="0"/>
              <w:rPr>
                <w:sz w:val="20"/>
                <w:szCs w:val="20"/>
                <w:color w:val="auto"/>
              </w:rPr>
            </w:pPr>
            <w:r>
              <w:rPr>
                <w:rFonts w:ascii="Arial" w:cs="Arial" w:eastAsia="Arial" w:hAnsi="Arial"/>
                <w:sz w:val="17"/>
                <w:szCs w:val="17"/>
                <w:b w:val="1"/>
                <w:bCs w:val="1"/>
                <w:color w:val="FFFFFF"/>
              </w:rPr>
              <w:t>awards – value</w:t>
            </w: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compensation –</w:t>
            </w:r>
          </w:p>
        </w:tc>
        <w:tc>
          <w:tcPr>
            <w:tcW w:w="0" w:type="dxa"/>
            <w:vAlign w:val="bottom"/>
          </w:tcPr>
          <w:p>
            <w:pPr>
              <w:spacing w:after="0"/>
              <w:rPr>
                <w:sz w:val="1"/>
                <w:szCs w:val="1"/>
                <w:color w:val="auto"/>
              </w:rPr>
            </w:pPr>
          </w:p>
        </w:tc>
      </w:tr>
      <w:tr>
        <w:trPr>
          <w:trHeight w:val="105"/>
        </w:trPr>
        <w:tc>
          <w:tcPr>
            <w:tcW w:w="5240" w:type="dxa"/>
            <w:vAlign w:val="bottom"/>
            <w:tcBorders>
              <w:left w:val="single" w:sz="8" w:color="auto"/>
              <w:right w:val="single" w:sz="8" w:color="auto"/>
            </w:tcBorders>
            <w:vMerge w:val="restart"/>
            <w:shd w:val="clear" w:color="auto" w:fill="003445"/>
          </w:tcPr>
          <w:p>
            <w:pPr>
              <w:ind w:left="2460"/>
              <w:spacing w:after="0"/>
              <w:rPr>
                <w:sz w:val="20"/>
                <w:szCs w:val="20"/>
                <w:color w:val="auto"/>
              </w:rPr>
            </w:pPr>
            <w:r>
              <w:rPr>
                <w:rFonts w:ascii="Arial" w:cs="Arial" w:eastAsia="Arial" w:hAnsi="Arial"/>
                <w:sz w:val="17"/>
                <w:szCs w:val="17"/>
                <w:b w:val="1"/>
                <w:bCs w:val="1"/>
                <w:color w:val="FFFFFF"/>
              </w:rPr>
              <w:t>Name</w:t>
            </w: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vested during</w:t>
            </w: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240" w:type="dxa"/>
            <w:vAlign w:val="bottom"/>
            <w:tcBorders>
              <w:left w:val="single" w:sz="8" w:color="auto"/>
              <w:right w:val="single" w:sz="8" w:color="auto"/>
            </w:tcBorders>
            <w:vMerge w:val="continue"/>
            <w:shd w:val="clear" w:color="auto" w:fill="003445"/>
          </w:tcPr>
          <w:p>
            <w:pPr>
              <w:spacing w:after="0"/>
              <w:rPr>
                <w:sz w:val="7"/>
                <w:szCs w:val="7"/>
                <w:color w:val="auto"/>
              </w:rPr>
            </w:pPr>
          </w:p>
        </w:tc>
        <w:tc>
          <w:tcPr>
            <w:tcW w:w="1820" w:type="dxa"/>
            <w:vAlign w:val="bottom"/>
            <w:tcBorders>
              <w:right w:val="single" w:sz="8" w:color="auto"/>
            </w:tcBorders>
            <w:vMerge w:val="continue"/>
            <w:shd w:val="clear" w:color="auto" w:fill="003445"/>
          </w:tcPr>
          <w:p>
            <w:pPr>
              <w:spacing w:after="0"/>
              <w:rPr>
                <w:sz w:val="7"/>
                <w:szCs w:val="7"/>
                <w:color w:val="auto"/>
              </w:rPr>
            </w:pP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vested during</w:t>
            </w: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value earned</w:t>
            </w:r>
          </w:p>
        </w:tc>
        <w:tc>
          <w:tcPr>
            <w:tcW w:w="0" w:type="dxa"/>
            <w:vAlign w:val="bottom"/>
          </w:tcPr>
          <w:p>
            <w:pPr>
              <w:spacing w:after="0"/>
              <w:rPr>
                <w:sz w:val="1"/>
                <w:szCs w:val="1"/>
                <w:color w:val="auto"/>
              </w:rPr>
            </w:pPr>
          </w:p>
        </w:tc>
      </w:tr>
      <w:tr>
        <w:trPr>
          <w:trHeight w:val="105"/>
        </w:trPr>
        <w:tc>
          <w:tcPr>
            <w:tcW w:w="5240" w:type="dxa"/>
            <w:vAlign w:val="bottom"/>
            <w:tcBorders>
              <w:left w:val="single" w:sz="8" w:color="auto"/>
              <w:right w:val="single" w:sz="8" w:color="auto"/>
            </w:tcBorders>
            <w:shd w:val="clear" w:color="auto" w:fill="003445"/>
          </w:tcPr>
          <w:p>
            <w:pPr>
              <w:spacing w:after="0"/>
              <w:rPr>
                <w:sz w:val="9"/>
                <w:szCs w:val="9"/>
                <w:color w:val="auto"/>
              </w:rPr>
            </w:pPr>
          </w:p>
        </w:tc>
        <w:tc>
          <w:tcPr>
            <w:tcW w:w="1820" w:type="dxa"/>
            <w:vAlign w:val="bottom"/>
            <w:tcBorders>
              <w:right w:val="single" w:sz="8" w:color="auto"/>
            </w:tcBorders>
            <w:vMerge w:val="restart"/>
            <w:shd w:val="clear" w:color="auto" w:fill="003445"/>
          </w:tcPr>
          <w:p>
            <w:pPr>
              <w:jc w:val="center"/>
              <w:ind w:left="13"/>
              <w:spacing w:after="0"/>
              <w:rPr>
                <w:sz w:val="20"/>
                <w:szCs w:val="20"/>
                <w:color w:val="auto"/>
              </w:rPr>
            </w:pPr>
            <w:r>
              <w:rPr>
                <w:rFonts w:ascii="Arial" w:cs="Arial" w:eastAsia="Arial" w:hAnsi="Arial"/>
                <w:sz w:val="17"/>
                <w:szCs w:val="17"/>
                <w:b w:val="1"/>
                <w:bCs w:val="1"/>
                <w:color w:val="FFFFFF"/>
              </w:rPr>
              <w:t>the year</w:t>
            </w: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240" w:type="dxa"/>
            <w:vAlign w:val="bottom"/>
            <w:tcBorders>
              <w:left w:val="single" w:sz="8" w:color="auto"/>
              <w:right w:val="single" w:sz="8" w:color="auto"/>
            </w:tcBorders>
            <w:shd w:val="clear" w:color="auto" w:fill="003445"/>
          </w:tcPr>
          <w:p>
            <w:pPr>
              <w:spacing w:after="0"/>
              <w:rPr>
                <w:sz w:val="7"/>
                <w:szCs w:val="7"/>
                <w:color w:val="auto"/>
              </w:rPr>
            </w:pPr>
          </w:p>
        </w:tc>
        <w:tc>
          <w:tcPr>
            <w:tcW w:w="1820" w:type="dxa"/>
            <w:vAlign w:val="bottom"/>
            <w:tcBorders>
              <w:right w:val="single" w:sz="8" w:color="auto"/>
            </w:tcBorders>
            <w:vMerge w:val="continue"/>
            <w:shd w:val="clear" w:color="auto" w:fill="003445"/>
          </w:tcPr>
          <w:p>
            <w:pPr>
              <w:spacing w:after="0"/>
              <w:rPr>
                <w:sz w:val="7"/>
                <w:szCs w:val="7"/>
                <w:color w:val="auto"/>
              </w:rPr>
            </w:pPr>
          </w:p>
        </w:tc>
        <w:tc>
          <w:tcPr>
            <w:tcW w:w="1820" w:type="dxa"/>
            <w:vAlign w:val="bottom"/>
            <w:tcBorders>
              <w:right w:val="single" w:sz="8" w:color="auto"/>
            </w:tcBorders>
            <w:vMerge w:val="restart"/>
            <w:shd w:val="clear" w:color="auto" w:fill="003445"/>
          </w:tcPr>
          <w:p>
            <w:pPr>
              <w:jc w:val="center"/>
              <w:ind w:left="14"/>
              <w:spacing w:after="0" w:line="197" w:lineRule="exact"/>
              <w:rPr>
                <w:sz w:val="20"/>
                <w:szCs w:val="20"/>
                <w:color w:val="auto"/>
              </w:rPr>
            </w:pPr>
            <w:r>
              <w:rPr>
                <w:rFonts w:ascii="Arial" w:cs="Arial" w:eastAsia="Arial" w:hAnsi="Arial"/>
                <w:sz w:val="15"/>
                <w:szCs w:val="15"/>
                <w:b w:val="1"/>
                <w:bCs w:val="1"/>
                <w:color w:val="FFFFFF"/>
              </w:rPr>
              <w:t>the year ($)</w:t>
            </w:r>
            <w:r>
              <w:rPr>
                <w:rFonts w:ascii="Arial" w:cs="Arial" w:eastAsia="Arial" w:hAnsi="Arial"/>
                <w:sz w:val="22"/>
                <w:szCs w:val="22"/>
                <w:b w:val="1"/>
                <w:bCs w:val="1"/>
                <w:color w:val="FFFFFF"/>
                <w:vertAlign w:val="superscript"/>
              </w:rPr>
              <w:t>(1)</w:t>
            </w: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during the year</w:t>
            </w:r>
          </w:p>
        </w:tc>
        <w:tc>
          <w:tcPr>
            <w:tcW w:w="0" w:type="dxa"/>
            <w:vAlign w:val="bottom"/>
          </w:tcPr>
          <w:p>
            <w:pPr>
              <w:spacing w:after="0"/>
              <w:rPr>
                <w:sz w:val="1"/>
                <w:szCs w:val="1"/>
                <w:color w:val="auto"/>
              </w:rPr>
            </w:pPr>
          </w:p>
        </w:tc>
      </w:tr>
      <w:tr>
        <w:trPr>
          <w:trHeight w:val="105"/>
        </w:trPr>
        <w:tc>
          <w:tcPr>
            <w:tcW w:w="5240" w:type="dxa"/>
            <w:vAlign w:val="bottom"/>
            <w:tcBorders>
              <w:left w:val="single" w:sz="8" w:color="auto"/>
              <w:right w:val="single" w:sz="8" w:color="auto"/>
            </w:tcBorders>
            <w:shd w:val="clear" w:color="auto" w:fill="003445"/>
          </w:tcPr>
          <w:p>
            <w:pPr>
              <w:spacing w:after="0"/>
              <w:rPr>
                <w:sz w:val="9"/>
                <w:szCs w:val="9"/>
                <w:color w:val="auto"/>
              </w:rPr>
            </w:pPr>
          </w:p>
        </w:tc>
        <w:tc>
          <w:tcPr>
            <w:tcW w:w="18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w:t>
            </w: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18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40" w:type="dxa"/>
            <w:vAlign w:val="bottom"/>
            <w:tcBorders>
              <w:left w:val="single" w:sz="8" w:color="auto"/>
              <w:right w:val="single" w:sz="8" w:color="auto"/>
            </w:tcBorders>
            <w:shd w:val="clear" w:color="auto" w:fill="003445"/>
          </w:tcPr>
          <w:p>
            <w:pPr>
              <w:spacing w:after="0"/>
              <w:rPr>
                <w:sz w:val="11"/>
                <w:szCs w:val="11"/>
                <w:color w:val="auto"/>
              </w:rPr>
            </w:pPr>
          </w:p>
        </w:tc>
        <w:tc>
          <w:tcPr>
            <w:tcW w:w="1820" w:type="dxa"/>
            <w:vAlign w:val="bottom"/>
            <w:tcBorders>
              <w:right w:val="single" w:sz="8" w:color="auto"/>
            </w:tcBorders>
            <w:vMerge w:val="continue"/>
            <w:shd w:val="clear" w:color="auto" w:fill="003445"/>
          </w:tcPr>
          <w:p>
            <w:pPr>
              <w:spacing w:after="0"/>
              <w:rPr>
                <w:sz w:val="11"/>
                <w:szCs w:val="11"/>
                <w:color w:val="auto"/>
              </w:rPr>
            </w:pPr>
          </w:p>
        </w:tc>
        <w:tc>
          <w:tcPr>
            <w:tcW w:w="1820" w:type="dxa"/>
            <w:vAlign w:val="bottom"/>
            <w:tcBorders>
              <w:right w:val="single" w:sz="8" w:color="auto"/>
            </w:tcBorders>
            <w:shd w:val="clear" w:color="auto" w:fill="003445"/>
          </w:tcPr>
          <w:p>
            <w:pPr>
              <w:spacing w:after="0"/>
              <w:rPr>
                <w:sz w:val="11"/>
                <w:szCs w:val="11"/>
                <w:color w:val="auto"/>
              </w:rPr>
            </w:pPr>
          </w:p>
        </w:tc>
        <w:tc>
          <w:tcPr>
            <w:tcW w:w="1820" w:type="dxa"/>
            <w:vAlign w:val="bottom"/>
            <w:tcBorders>
              <w:right w:val="single" w:sz="8" w:color="auto"/>
            </w:tcBorders>
            <w:vMerge w:val="restart"/>
            <w:shd w:val="clear" w:color="auto" w:fill="003445"/>
          </w:tcPr>
          <w:p>
            <w:pPr>
              <w:jc w:val="center"/>
              <w:spacing w:after="0" w:line="255" w:lineRule="exact"/>
              <w:rPr>
                <w:sz w:val="20"/>
                <w:szCs w:val="20"/>
                <w:color w:val="auto"/>
              </w:rPr>
            </w:pPr>
            <w:r>
              <w:rPr>
                <w:rFonts w:ascii="Arial" w:cs="Arial" w:eastAsia="Arial" w:hAnsi="Arial"/>
                <w:sz w:val="29"/>
                <w:szCs w:val="29"/>
                <w:b w:val="1"/>
                <w:bCs w:val="1"/>
                <w:color w:val="FFFFFF"/>
                <w:w w:val="93"/>
                <w:vertAlign w:val="subscript"/>
              </w:rPr>
              <w:t>($)</w:t>
            </w:r>
            <w:r>
              <w:rPr>
                <w:rFonts w:ascii="Arial" w:cs="Arial" w:eastAsia="Arial" w:hAnsi="Arial"/>
                <w:sz w:val="12"/>
                <w:szCs w:val="12"/>
                <w:b w:val="1"/>
                <w:bCs w:val="1"/>
                <w:color w:val="FFFFFF"/>
                <w:w w:val="93"/>
              </w:rPr>
              <w:t>(2)</w:t>
            </w:r>
          </w:p>
        </w:tc>
        <w:tc>
          <w:tcPr>
            <w:tcW w:w="0" w:type="dxa"/>
            <w:vAlign w:val="bottom"/>
          </w:tcPr>
          <w:p>
            <w:pPr>
              <w:spacing w:after="0"/>
              <w:rPr>
                <w:sz w:val="1"/>
                <w:szCs w:val="1"/>
                <w:color w:val="auto"/>
              </w:rPr>
            </w:pPr>
          </w:p>
        </w:tc>
      </w:tr>
      <w:tr>
        <w:trPr>
          <w:trHeight w:val="119"/>
        </w:trPr>
        <w:tc>
          <w:tcPr>
            <w:tcW w:w="5240" w:type="dxa"/>
            <w:vAlign w:val="bottom"/>
            <w:tcBorders>
              <w:left w:val="single" w:sz="8" w:color="auto"/>
              <w:bottom w:val="single" w:sz="8" w:color="auto"/>
              <w:right w:val="single" w:sz="8" w:color="auto"/>
            </w:tcBorders>
            <w:shd w:val="clear" w:color="auto" w:fill="003445"/>
          </w:tcPr>
          <w:p>
            <w:pPr>
              <w:spacing w:after="0"/>
              <w:rPr>
                <w:sz w:val="10"/>
                <w:szCs w:val="10"/>
                <w:color w:val="auto"/>
              </w:rPr>
            </w:pPr>
          </w:p>
        </w:tc>
        <w:tc>
          <w:tcPr>
            <w:tcW w:w="1820" w:type="dxa"/>
            <w:vAlign w:val="bottom"/>
            <w:tcBorders>
              <w:bottom w:val="single" w:sz="8" w:color="auto"/>
              <w:right w:val="single" w:sz="8" w:color="auto"/>
            </w:tcBorders>
            <w:shd w:val="clear" w:color="auto" w:fill="003445"/>
          </w:tcPr>
          <w:p>
            <w:pPr>
              <w:spacing w:after="0"/>
              <w:rPr>
                <w:sz w:val="10"/>
                <w:szCs w:val="10"/>
                <w:color w:val="auto"/>
              </w:rPr>
            </w:pPr>
          </w:p>
        </w:tc>
        <w:tc>
          <w:tcPr>
            <w:tcW w:w="1820" w:type="dxa"/>
            <w:vAlign w:val="bottom"/>
            <w:tcBorders>
              <w:bottom w:val="single" w:sz="8" w:color="auto"/>
              <w:right w:val="single" w:sz="8" w:color="auto"/>
            </w:tcBorders>
            <w:shd w:val="clear" w:color="auto" w:fill="003445"/>
          </w:tcPr>
          <w:p>
            <w:pPr>
              <w:spacing w:after="0"/>
              <w:rPr>
                <w:sz w:val="10"/>
                <w:szCs w:val="10"/>
                <w:color w:val="auto"/>
              </w:rPr>
            </w:pPr>
          </w:p>
        </w:tc>
        <w:tc>
          <w:tcPr>
            <w:tcW w:w="1820" w:type="dxa"/>
            <w:vAlign w:val="bottom"/>
            <w:tcBorders>
              <w:bottom w:val="single" w:sz="8" w:color="auto"/>
              <w:right w:val="single" w:sz="8" w:color="auto"/>
            </w:tcBorders>
            <w:vMerge w:val="continue"/>
            <w:shd w:val="clear" w:color="auto" w:fill="003445"/>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5240" w:type="dxa"/>
            <w:vAlign w:val="bottom"/>
            <w:tcBorders>
              <w:left w:val="single" w:sz="8" w:color="auto"/>
              <w:right w:val="single" w:sz="8" w:color="auto"/>
            </w:tcBorders>
          </w:tcPr>
          <w:p>
            <w:pPr>
              <w:ind w:left="160"/>
              <w:spacing w:after="0" w:line="186" w:lineRule="exact"/>
              <w:rPr>
                <w:sz w:val="20"/>
                <w:szCs w:val="20"/>
                <w:color w:val="auto"/>
              </w:rPr>
            </w:pPr>
            <w:r>
              <w:rPr>
                <w:rFonts w:ascii="Arial" w:cs="Arial" w:eastAsia="Arial" w:hAnsi="Arial"/>
                <w:sz w:val="17"/>
                <w:szCs w:val="17"/>
                <w:b w:val="1"/>
                <w:bCs w:val="1"/>
                <w:color w:val="auto"/>
              </w:rPr>
              <w:t>Rajat Marwah</w:t>
            </w: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Chief Executive Officer / Former President and Chief Financial</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820" w:type="dxa"/>
            <w:vAlign w:val="bottom"/>
            <w:tcBorders>
              <w:right w:val="single" w:sz="8" w:color="auto"/>
            </w:tcBorders>
          </w:tcPr>
          <w:p>
            <w:pPr>
              <w:jc w:val="center"/>
              <w:ind w:left="14"/>
              <w:spacing w:after="0"/>
              <w:rPr>
                <w:sz w:val="20"/>
                <w:szCs w:val="20"/>
                <w:color w:val="auto"/>
              </w:rPr>
            </w:pPr>
            <w:r>
              <w:rPr>
                <w:rFonts w:ascii="Arial" w:cs="Arial" w:eastAsia="Arial" w:hAnsi="Arial"/>
                <w:sz w:val="17"/>
                <w:szCs w:val="17"/>
                <w:color w:val="auto"/>
              </w:rPr>
              <w:t>$ -</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rPr>
              <w:t>$133,914</w:t>
            </w:r>
          </w:p>
        </w:tc>
        <w:tc>
          <w:tcPr>
            <w:tcW w:w="0" w:type="dxa"/>
            <w:vAlign w:val="bottom"/>
          </w:tcPr>
          <w:p>
            <w:pPr>
              <w:spacing w:after="0"/>
              <w:rPr>
                <w:sz w:val="1"/>
                <w:szCs w:val="1"/>
                <w:color w:val="auto"/>
              </w:rPr>
            </w:pPr>
          </w:p>
        </w:tc>
      </w:tr>
      <w:tr>
        <w:trPr>
          <w:trHeight w:val="213"/>
        </w:trPr>
        <w:tc>
          <w:tcPr>
            <w:tcW w:w="52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Officer</w:t>
            </w:r>
          </w:p>
        </w:tc>
        <w:tc>
          <w:tcPr>
            <w:tcW w:w="18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240" w:type="dxa"/>
            <w:vAlign w:val="bottom"/>
            <w:tcBorders>
              <w:left w:val="single" w:sz="8" w:color="auto"/>
              <w:right w:val="single" w:sz="8" w:color="auto"/>
            </w:tcBorders>
          </w:tcPr>
          <w:p>
            <w:pPr>
              <w:ind w:left="160"/>
              <w:spacing w:after="0" w:line="186" w:lineRule="exact"/>
              <w:rPr>
                <w:sz w:val="20"/>
                <w:szCs w:val="20"/>
                <w:color w:val="auto"/>
              </w:rPr>
            </w:pPr>
            <w:r>
              <w:rPr>
                <w:rFonts w:ascii="Arial" w:cs="Arial" w:eastAsia="Arial" w:hAnsi="Arial"/>
                <w:sz w:val="17"/>
                <w:szCs w:val="17"/>
                <w:b w:val="1"/>
                <w:bCs w:val="1"/>
                <w:color w:val="auto"/>
              </w:rPr>
              <w:t>John Naccarato</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1820" w:type="dxa"/>
            <w:vAlign w:val="bottom"/>
            <w:tcBorders>
              <w:right w:val="single" w:sz="8" w:color="auto"/>
            </w:tcBorders>
            <w:vMerge w:val="restart"/>
          </w:tcPr>
          <w:p>
            <w:pPr>
              <w:jc w:val="center"/>
              <w:ind w:left="14"/>
              <w:spacing w:after="0"/>
              <w:rPr>
                <w:sz w:val="20"/>
                <w:szCs w:val="20"/>
                <w:color w:val="auto"/>
              </w:rPr>
            </w:pPr>
            <w:r>
              <w:rPr>
                <w:rFonts w:ascii="Arial" w:cs="Arial" w:eastAsia="Arial" w:hAnsi="Arial"/>
                <w:sz w:val="17"/>
                <w:szCs w:val="17"/>
                <w:color w:val="auto"/>
              </w:rPr>
              <w:t>$ -</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$124,344</w:t>
            </w:r>
          </w:p>
        </w:tc>
        <w:tc>
          <w:tcPr>
            <w:tcW w:w="0" w:type="dxa"/>
            <w:vAlign w:val="bottom"/>
          </w:tcPr>
          <w:p>
            <w:pPr>
              <w:spacing w:after="0"/>
              <w:rPr>
                <w:sz w:val="1"/>
                <w:szCs w:val="1"/>
                <w:color w:val="auto"/>
              </w:rPr>
            </w:pPr>
          </w:p>
        </w:tc>
      </w:tr>
      <w:tr>
        <w:trPr>
          <w:trHeight w:val="125"/>
        </w:trPr>
        <w:tc>
          <w:tcPr>
            <w:tcW w:w="52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7"/>
                <w:szCs w:val="17"/>
                <w:i w:val="1"/>
                <w:iCs w:val="1"/>
                <w:color w:val="auto"/>
              </w:rPr>
              <w:t>Vice President – Strategy and Chief Legal Officer</w:t>
            </w: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2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5240" w:type="dxa"/>
            <w:vAlign w:val="bottom"/>
            <w:tcBorders>
              <w:left w:val="single" w:sz="8" w:color="auto"/>
              <w:right w:val="single" w:sz="8" w:color="auto"/>
            </w:tcBorders>
          </w:tcPr>
          <w:p>
            <w:pPr>
              <w:ind w:left="160"/>
              <w:spacing w:after="0" w:line="186" w:lineRule="exact"/>
              <w:rPr>
                <w:sz w:val="20"/>
                <w:szCs w:val="20"/>
                <w:color w:val="auto"/>
              </w:rPr>
            </w:pPr>
            <w:r>
              <w:rPr>
                <w:rFonts w:ascii="Arial" w:cs="Arial" w:eastAsia="Arial" w:hAnsi="Arial"/>
                <w:sz w:val="17"/>
                <w:szCs w:val="17"/>
                <w:b w:val="1"/>
                <w:bCs w:val="1"/>
                <w:color w:val="auto"/>
              </w:rPr>
              <w:t>Mark Nogalo</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1820" w:type="dxa"/>
            <w:vAlign w:val="bottom"/>
            <w:tcBorders>
              <w:right w:val="single" w:sz="8" w:color="auto"/>
            </w:tcBorders>
            <w:vMerge w:val="restart"/>
          </w:tcPr>
          <w:p>
            <w:pPr>
              <w:jc w:val="center"/>
              <w:ind w:left="14"/>
              <w:spacing w:after="0"/>
              <w:rPr>
                <w:sz w:val="20"/>
                <w:szCs w:val="20"/>
                <w:color w:val="auto"/>
              </w:rPr>
            </w:pPr>
            <w:r>
              <w:rPr>
                <w:rFonts w:ascii="Arial" w:cs="Arial" w:eastAsia="Arial" w:hAnsi="Arial"/>
                <w:sz w:val="17"/>
                <w:szCs w:val="17"/>
                <w:color w:val="auto"/>
              </w:rPr>
              <w:t>$ -</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$104,666</w:t>
            </w:r>
          </w:p>
        </w:tc>
        <w:tc>
          <w:tcPr>
            <w:tcW w:w="0" w:type="dxa"/>
            <w:vAlign w:val="bottom"/>
          </w:tcPr>
          <w:p>
            <w:pPr>
              <w:spacing w:after="0"/>
              <w:rPr>
                <w:sz w:val="1"/>
                <w:szCs w:val="1"/>
                <w:color w:val="auto"/>
              </w:rPr>
            </w:pPr>
          </w:p>
        </w:tc>
      </w:tr>
      <w:tr>
        <w:trPr>
          <w:trHeight w:val="125"/>
        </w:trPr>
        <w:tc>
          <w:tcPr>
            <w:tcW w:w="52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7"/>
                <w:szCs w:val="17"/>
                <w:i w:val="1"/>
                <w:iCs w:val="1"/>
                <w:color w:val="auto"/>
              </w:rPr>
              <w:t>Former Vice President – Strategic Transformation</w:t>
            </w: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2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5240" w:type="dxa"/>
            <w:vAlign w:val="bottom"/>
            <w:tcBorders>
              <w:left w:val="single" w:sz="8" w:color="auto"/>
              <w:right w:val="single" w:sz="8" w:color="auto"/>
            </w:tcBorders>
          </w:tcPr>
          <w:p>
            <w:pPr>
              <w:ind w:left="160"/>
              <w:spacing w:after="0" w:line="186" w:lineRule="exact"/>
              <w:rPr>
                <w:sz w:val="20"/>
                <w:szCs w:val="20"/>
                <w:color w:val="auto"/>
              </w:rPr>
            </w:pPr>
            <w:r>
              <w:rPr>
                <w:rFonts w:ascii="Arial" w:cs="Arial" w:eastAsia="Arial" w:hAnsi="Arial"/>
                <w:sz w:val="17"/>
                <w:szCs w:val="17"/>
                <w:b w:val="1"/>
                <w:bCs w:val="1"/>
                <w:color w:val="auto"/>
              </w:rPr>
              <w:t>Michael Panzeri</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w:t>
            </w:r>
          </w:p>
        </w:tc>
        <w:tc>
          <w:tcPr>
            <w:tcW w:w="1820" w:type="dxa"/>
            <w:vAlign w:val="bottom"/>
            <w:tcBorders>
              <w:right w:val="single" w:sz="8" w:color="auto"/>
            </w:tcBorders>
            <w:vMerge w:val="restart"/>
          </w:tcPr>
          <w:p>
            <w:pPr>
              <w:jc w:val="center"/>
              <w:ind w:left="14"/>
              <w:spacing w:after="0"/>
              <w:rPr>
                <w:sz w:val="20"/>
                <w:szCs w:val="20"/>
                <w:color w:val="auto"/>
              </w:rPr>
            </w:pPr>
            <w:r>
              <w:rPr>
                <w:rFonts w:ascii="Arial" w:cs="Arial" w:eastAsia="Arial" w:hAnsi="Arial"/>
                <w:sz w:val="17"/>
                <w:szCs w:val="17"/>
                <w:color w:val="auto"/>
              </w:rPr>
              <w:t>$ -</w:t>
            </w: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$146,952</w:t>
            </w:r>
          </w:p>
        </w:tc>
        <w:tc>
          <w:tcPr>
            <w:tcW w:w="0" w:type="dxa"/>
            <w:vAlign w:val="bottom"/>
          </w:tcPr>
          <w:p>
            <w:pPr>
              <w:spacing w:after="0"/>
              <w:rPr>
                <w:sz w:val="1"/>
                <w:szCs w:val="1"/>
                <w:color w:val="auto"/>
              </w:rPr>
            </w:pPr>
          </w:p>
        </w:tc>
      </w:tr>
      <w:tr>
        <w:trPr>
          <w:trHeight w:val="125"/>
        </w:trPr>
        <w:tc>
          <w:tcPr>
            <w:tcW w:w="52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7"/>
                <w:szCs w:val="17"/>
                <w:i w:val="1"/>
                <w:iCs w:val="1"/>
                <w:color w:val="auto"/>
              </w:rPr>
              <w:t>Senior Vice President, Production</w:t>
            </w: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1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24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18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2223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ind w:left="520" w:hanging="415"/>
        <w:spacing w:after="0"/>
        <w:tabs>
          <w:tab w:leader="none" w:pos="520" w:val="left"/>
        </w:tabs>
        <w:numPr>
          <w:ilvl w:val="0"/>
          <w:numId w:val="33"/>
        </w:numPr>
        <w:rPr>
          <w:rFonts w:ascii="Arial" w:cs="Arial" w:eastAsia="Arial" w:hAnsi="Arial"/>
          <w:sz w:val="16"/>
          <w:szCs w:val="16"/>
          <w:i w:val="1"/>
          <w:iCs w:val="1"/>
          <w:color w:val="003445"/>
        </w:rPr>
      </w:pPr>
      <w:r>
        <w:rPr>
          <w:rFonts w:ascii="Arial" w:cs="Arial" w:eastAsia="Arial" w:hAnsi="Arial"/>
          <w:sz w:val="16"/>
          <w:szCs w:val="16"/>
          <w:i w:val="1"/>
          <w:iCs w:val="1"/>
          <w:color w:val="003445"/>
        </w:rPr>
        <w:t>No share-based awards vested during the fiscal year ended December 31, 2025.</w:t>
      </w:r>
    </w:p>
    <w:p>
      <w:pPr>
        <w:spacing w:after="0" w:line="13" w:lineRule="exact"/>
        <w:rPr>
          <w:rFonts w:ascii="Arial" w:cs="Arial" w:eastAsia="Arial" w:hAnsi="Arial"/>
          <w:sz w:val="16"/>
          <w:szCs w:val="16"/>
          <w:i w:val="1"/>
          <w:iCs w:val="1"/>
          <w:color w:val="003445"/>
        </w:rPr>
      </w:pPr>
    </w:p>
    <w:p>
      <w:pPr>
        <w:ind w:left="520" w:hanging="415"/>
        <w:spacing w:after="0"/>
        <w:tabs>
          <w:tab w:leader="none" w:pos="520" w:val="left"/>
        </w:tabs>
        <w:numPr>
          <w:ilvl w:val="0"/>
          <w:numId w:val="33"/>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the cash annual bonus earned in Fiscal 2025, which was awarded on a discretionary basis.</w:t>
      </w:r>
    </w:p>
    <w:p>
      <w:pPr>
        <w:spacing w:after="0" w:line="185"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Employment Agreements – Named Executive Officers</w:t>
      </w:r>
    </w:p>
    <w:p>
      <w:pPr>
        <w:spacing w:after="0" w:line="223"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We have entered into an employment agreement with each of our NEOs, pursuant to which each of the NEOs serves in their respective positions for an indefinite term. A summary of certain of the current terms of the agreements follows.</w:t>
      </w:r>
    </w:p>
    <w:p>
      <w:pPr>
        <w:spacing w:after="0" w:line="141"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Under his employment agreement, effective June 1, 2022, as amended, Mr. Garcia was entitled to an annual base salary of US$765,000 (C$1,042,236, calculated using the Bank of Canada exchange rate on April 30, 2026, being US$ 1 to C$1.3624) for Fiscal 2025. Mr. Garcia was also eligible to participate in our annual incentive bonus plans, with an annual cash incentive bonus targeted at 115% of his annual base salary, and annual equity incentive bonus targeted at 325% of his annual base salary. Mr. Garcia retired from his position of Chief Executive Officer effective as of January 1, 2026, and is no longer employed by the Company.</w:t>
      </w:r>
    </w:p>
    <w:p>
      <w:pPr>
        <w:spacing w:after="0" w:line="167"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Under his employment agreement, effective June 12, 2020, as amended, Mr. Marwah was entitled to an annual base salary of $543,762 for Fiscal 2025. Mr. Marwah is also eligible to participate in our annual incentive bonus plans, with an annual cash incentive bonus targeted at 80% of his annual base salary, and annual equity incentive bonus targeted at 140% of his annual base salary.</w:t>
      </w:r>
    </w:p>
    <w:p>
      <w:pPr>
        <w:spacing w:after="0" w:line="163"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Under his employment agreement, effective June 12, 2020, as amended, Mr. Naccarato was entitled to an annual base salary of $504,900 for Fiscal 2025. Mr. Naccarato is also eligible to participate in our annual incentive bonus plans, with an annual cash incentive bonus targeted at 80% of his annual base salary, and annual equity incentive bonus targeted at 140% of his annual base salary.</w:t>
      </w:r>
    </w:p>
    <w:p>
      <w:pPr>
        <w:spacing w:after="0" w:line="163"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Under his employment agreement, effective July 1, 2023, as amended, Mr. Panzeri was entitled to an annual base salary of $596,700 for Fiscal 2025. Mr. Panzeri is also eligible to participate in</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0700"/>
          </w:cols>
          <w:pgMar w:left="600" w:top="264" w:right="599" w:bottom="1440" w:gutter="0" w:footer="0" w:header="0"/>
        </w:sectPr>
      </w:pPr>
    </w:p>
    <w:bookmarkStart w:id="66" w:name="page67"/>
    <w:bookmarkEnd w:id="66"/>
    <w:p>
      <w:pPr>
        <w:jc w:val="both"/>
        <w:ind w:right="20"/>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our annual incentive bonus plans, with an annual cash incentive bonus targeted at 80% of his annual base salary, and annual equity incentive bonus targeted at 140% of his annual base salary.</w:t>
      </w:r>
    </w:p>
    <w:p>
      <w:pPr>
        <w:spacing w:after="0" w:line="141"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Under his employment agreement, effective June 12, 2020, as amended, Mr. Nogalo was entitled to an annual base salary of $425,000 for Fiscal 2025. Mr. Nogalo is also eligible to participate in our annual incentive bonus plans, with an annual cash incentive bonus targeted at 80% of his annual base salary, and annual equity incentive bonus targeted at 70% of his annual base salary. Mr. Nogalo retired from his position of Vice-President - Strategic Transformation effective as of April 1, 2026, and is no longer employed by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Payments upon Termination Without Cause or on a Change of Control</w:t>
      </w:r>
    </w:p>
    <w:p>
      <w:pPr>
        <w:spacing w:after="0" w:line="207"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The following table provides an estimate of the payments payable by the Company to each of the NEOs, assuming a termination without cause taking place on December 31, 2025:</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2800" w:type="dxa"/>
            <w:vAlign w:val="bottom"/>
            <w:tcBorders>
              <w:top w:val="single" w:sz="8" w:color="auto"/>
              <w:left w:val="single" w:sz="8" w:color="auto"/>
              <w:right w:val="single" w:sz="8" w:color="auto"/>
            </w:tcBorders>
            <w:shd w:val="clear" w:color="auto" w:fill="003445"/>
          </w:tcPr>
          <w:p>
            <w:pPr>
              <w:ind w:left="1060"/>
              <w:spacing w:after="0"/>
              <w:rPr>
                <w:sz w:val="20"/>
                <w:szCs w:val="20"/>
                <w:color w:val="auto"/>
              </w:rPr>
            </w:pPr>
            <w:r>
              <w:rPr>
                <w:rFonts w:ascii="Arial" w:cs="Arial" w:eastAsia="Arial" w:hAnsi="Arial"/>
                <w:sz w:val="17"/>
                <w:szCs w:val="17"/>
                <w:b w:val="1"/>
                <w:bCs w:val="1"/>
                <w:color w:val="FFFFFF"/>
              </w:rPr>
              <w:t>Name and</w:t>
            </w:r>
          </w:p>
        </w:tc>
        <w:tc>
          <w:tcPr>
            <w:tcW w:w="152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Termination</w:t>
            </w:r>
          </w:p>
        </w:tc>
        <w:tc>
          <w:tcPr>
            <w:tcW w:w="148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Short-Term</w:t>
            </w:r>
          </w:p>
        </w:tc>
        <w:tc>
          <w:tcPr>
            <w:tcW w:w="192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Vesting of Share-</w:t>
            </w:r>
          </w:p>
        </w:tc>
        <w:tc>
          <w:tcPr>
            <w:tcW w:w="150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Employee</w:t>
            </w:r>
          </w:p>
        </w:tc>
        <w:tc>
          <w:tcPr>
            <w:tcW w:w="1480" w:type="dxa"/>
            <w:vAlign w:val="bottom"/>
            <w:tcBorders>
              <w:top w:val="single" w:sz="8" w:color="auto"/>
              <w:right w:val="single" w:sz="8" w:color="auto"/>
            </w:tcBorders>
            <w:shd w:val="clear" w:color="auto" w:fill="003445"/>
          </w:tcPr>
          <w:p>
            <w:pPr>
              <w:ind w:left="560"/>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196"/>
        </w:trPr>
        <w:tc>
          <w:tcPr>
            <w:tcW w:w="2800" w:type="dxa"/>
            <w:vAlign w:val="bottom"/>
            <w:tcBorders>
              <w:left w:val="single" w:sz="8" w:color="auto"/>
              <w:right w:val="single" w:sz="8" w:color="auto"/>
            </w:tcBorders>
            <w:shd w:val="clear" w:color="auto" w:fill="003445"/>
          </w:tcPr>
          <w:p>
            <w:pPr>
              <w:ind w:left="740"/>
              <w:spacing w:after="0"/>
              <w:rPr>
                <w:sz w:val="20"/>
                <w:szCs w:val="20"/>
                <w:color w:val="auto"/>
              </w:rPr>
            </w:pPr>
            <w:r>
              <w:rPr>
                <w:rFonts w:ascii="Arial" w:cs="Arial" w:eastAsia="Arial" w:hAnsi="Arial"/>
                <w:sz w:val="17"/>
                <w:szCs w:val="17"/>
                <w:b w:val="1"/>
                <w:bCs w:val="1"/>
                <w:color w:val="FFFFFF"/>
              </w:rPr>
              <w:t>Principal Position</w:t>
            </w:r>
          </w:p>
        </w:tc>
        <w:tc>
          <w:tcPr>
            <w:tcW w:w="152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Payment</w:t>
            </w:r>
          </w:p>
        </w:tc>
        <w:tc>
          <w:tcPr>
            <w:tcW w:w="148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Incentive</w:t>
            </w:r>
          </w:p>
        </w:tc>
        <w:tc>
          <w:tcPr>
            <w:tcW w:w="192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Based</w:t>
            </w:r>
          </w:p>
        </w:tc>
        <w:tc>
          <w:tcPr>
            <w:tcW w:w="150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Benefits</w:t>
            </w:r>
          </w:p>
        </w:tc>
        <w:tc>
          <w:tcPr>
            <w:tcW w:w="1480" w:type="dxa"/>
            <w:vAlign w:val="bottom"/>
            <w:tcBorders>
              <w:right w:val="single" w:sz="8" w:color="auto"/>
            </w:tcBorders>
            <w:shd w:val="clear" w:color="auto" w:fill="003445"/>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shd w:val="clear" w:color="auto" w:fill="003445"/>
          </w:tcPr>
          <w:p>
            <w:pPr>
              <w:spacing w:after="0"/>
              <w:rPr>
                <w:sz w:val="17"/>
                <w:szCs w:val="17"/>
                <w:color w:val="auto"/>
              </w:rPr>
            </w:pPr>
          </w:p>
        </w:tc>
        <w:tc>
          <w:tcPr>
            <w:tcW w:w="1520" w:type="dxa"/>
            <w:vAlign w:val="bottom"/>
            <w:tcBorders>
              <w:right w:val="single" w:sz="8" w:color="auto"/>
            </w:tcBorders>
            <w:shd w:val="clear" w:color="auto" w:fill="003445"/>
          </w:tcPr>
          <w:p>
            <w:pPr>
              <w:spacing w:after="0"/>
              <w:rPr>
                <w:sz w:val="17"/>
                <w:szCs w:val="17"/>
                <w:color w:val="auto"/>
              </w:rPr>
            </w:pPr>
          </w:p>
        </w:tc>
        <w:tc>
          <w:tcPr>
            <w:tcW w:w="148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Awards</w:t>
            </w:r>
          </w:p>
        </w:tc>
        <w:tc>
          <w:tcPr>
            <w:tcW w:w="192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Compensation</w:t>
            </w:r>
          </w:p>
        </w:tc>
        <w:tc>
          <w:tcPr>
            <w:tcW w:w="1500" w:type="dxa"/>
            <w:vAlign w:val="bottom"/>
            <w:tcBorders>
              <w:right w:val="single" w:sz="8" w:color="auto"/>
            </w:tcBorders>
            <w:shd w:val="clear" w:color="auto" w:fill="003445"/>
          </w:tcPr>
          <w:p>
            <w:pPr>
              <w:spacing w:after="0"/>
              <w:rPr>
                <w:sz w:val="17"/>
                <w:szCs w:val="17"/>
                <w:color w:val="auto"/>
              </w:rPr>
            </w:pPr>
          </w:p>
        </w:tc>
        <w:tc>
          <w:tcPr>
            <w:tcW w:w="1480" w:type="dxa"/>
            <w:vAlign w:val="bottom"/>
            <w:tcBorders>
              <w:right w:val="single" w:sz="8" w:color="auto"/>
            </w:tcBorders>
            <w:shd w:val="clear" w:color="auto" w:fill="003445"/>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800" w:type="dxa"/>
            <w:vAlign w:val="bottom"/>
            <w:tcBorders>
              <w:left w:val="single" w:sz="8" w:color="auto"/>
              <w:bottom w:val="single" w:sz="8" w:color="auto"/>
              <w:right w:val="single" w:sz="8" w:color="auto"/>
            </w:tcBorders>
            <w:shd w:val="clear" w:color="auto" w:fill="003445"/>
          </w:tcPr>
          <w:p>
            <w:pPr>
              <w:spacing w:after="0"/>
              <w:rPr>
                <w:sz w:val="16"/>
                <w:szCs w:val="16"/>
                <w:color w:val="auto"/>
              </w:rPr>
            </w:pPr>
          </w:p>
        </w:tc>
        <w:tc>
          <w:tcPr>
            <w:tcW w:w="1520" w:type="dxa"/>
            <w:vAlign w:val="bottom"/>
            <w:tcBorders>
              <w:bottom w:val="single" w:sz="8" w:color="auto"/>
              <w:right w:val="single" w:sz="8" w:color="auto"/>
            </w:tcBorders>
            <w:shd w:val="clear" w:color="auto" w:fill="003445"/>
          </w:tcPr>
          <w:p>
            <w:pPr>
              <w:spacing w:after="0"/>
              <w:rPr>
                <w:sz w:val="16"/>
                <w:szCs w:val="16"/>
                <w:color w:val="auto"/>
              </w:rPr>
            </w:pPr>
          </w:p>
        </w:tc>
        <w:tc>
          <w:tcPr>
            <w:tcW w:w="1480" w:type="dxa"/>
            <w:vAlign w:val="bottom"/>
            <w:tcBorders>
              <w:bottom w:val="single" w:sz="8" w:color="auto"/>
              <w:right w:val="single" w:sz="8" w:color="auto"/>
            </w:tcBorders>
            <w:shd w:val="clear" w:color="auto" w:fill="003445"/>
          </w:tcPr>
          <w:p>
            <w:pPr>
              <w:spacing w:after="0"/>
              <w:rPr>
                <w:sz w:val="16"/>
                <w:szCs w:val="16"/>
                <w:color w:val="auto"/>
              </w:rPr>
            </w:pPr>
          </w:p>
        </w:tc>
        <w:tc>
          <w:tcPr>
            <w:tcW w:w="192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3"/>
                <w:szCs w:val="13"/>
                <w:b w:val="1"/>
                <w:bCs w:val="1"/>
                <w:color w:val="FFFFFF"/>
              </w:rPr>
              <w:t>(1)</w:t>
            </w:r>
          </w:p>
        </w:tc>
        <w:tc>
          <w:tcPr>
            <w:tcW w:w="1500" w:type="dxa"/>
            <w:vAlign w:val="bottom"/>
            <w:tcBorders>
              <w:bottom w:val="single" w:sz="8" w:color="auto"/>
              <w:right w:val="single" w:sz="8" w:color="auto"/>
            </w:tcBorders>
            <w:shd w:val="clear" w:color="auto" w:fill="003445"/>
          </w:tcPr>
          <w:p>
            <w:pPr>
              <w:spacing w:after="0"/>
              <w:rPr>
                <w:sz w:val="16"/>
                <w:szCs w:val="16"/>
                <w:color w:val="auto"/>
              </w:rPr>
            </w:pPr>
          </w:p>
        </w:tc>
        <w:tc>
          <w:tcPr>
            <w:tcW w:w="1480" w:type="dxa"/>
            <w:vAlign w:val="bottom"/>
            <w:tcBorders>
              <w:bottom w:val="single" w:sz="8" w:color="auto"/>
              <w:right w:val="single" w:sz="8" w:color="auto"/>
            </w:tcBorders>
            <w:shd w:val="clear" w:color="auto" w:fill="003445"/>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tcBorders>
              <w:left w:val="single" w:sz="8" w:color="auto"/>
              <w:right w:val="single" w:sz="8" w:color="auto"/>
            </w:tcBorders>
          </w:tcPr>
          <w:p>
            <w:pPr>
              <w:ind w:left="160"/>
              <w:spacing w:after="0" w:line="204" w:lineRule="exact"/>
              <w:rPr>
                <w:sz w:val="20"/>
                <w:szCs w:val="20"/>
                <w:color w:val="auto"/>
              </w:rPr>
            </w:pPr>
            <w:r>
              <w:rPr>
                <w:rFonts w:ascii="Arial" w:cs="Arial" w:eastAsia="Arial" w:hAnsi="Arial"/>
                <w:sz w:val="19"/>
                <w:szCs w:val="19"/>
                <w:b w:val="1"/>
                <w:bCs w:val="1"/>
                <w:color w:val="auto"/>
              </w:rPr>
              <w:t>Michael Garcia</w:t>
            </w:r>
          </w:p>
        </w:tc>
        <w:tc>
          <w:tcPr>
            <w:tcW w:w="1520" w:type="dxa"/>
            <w:vAlign w:val="bottom"/>
            <w:tcBorders>
              <w:right w:val="single" w:sz="8" w:color="auto"/>
            </w:tcBorders>
            <w:vMerge w:val="restart"/>
          </w:tcPr>
          <w:p>
            <w:pPr>
              <w:jc w:val="center"/>
              <w:ind w:left="6"/>
              <w:spacing w:after="0"/>
              <w:rPr>
                <w:sz w:val="20"/>
                <w:szCs w:val="20"/>
                <w:color w:val="auto"/>
              </w:rPr>
            </w:pPr>
            <w:r>
              <w:rPr>
                <w:rFonts w:ascii="Arial" w:cs="Arial" w:eastAsia="Arial" w:hAnsi="Arial"/>
                <w:sz w:val="19"/>
                <w:szCs w:val="19"/>
                <w:color w:val="auto"/>
                <w:w w:val="96"/>
              </w:rPr>
              <w:t>$1,042,236</w:t>
            </w:r>
            <w:r>
              <w:rPr>
                <w:rFonts w:ascii="Arial" w:cs="Arial" w:eastAsia="Arial" w:hAnsi="Arial"/>
                <w:sz w:val="28"/>
                <w:szCs w:val="28"/>
                <w:color w:val="auto"/>
                <w:w w:val="96"/>
                <w:vertAlign w:val="superscript"/>
              </w:rPr>
              <w:t>(2)</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6"/>
              </w:rPr>
              <w:t>$1,198,571</w:t>
            </w:r>
            <w:r>
              <w:rPr>
                <w:rFonts w:ascii="Arial" w:cs="Arial" w:eastAsia="Arial" w:hAnsi="Arial"/>
                <w:sz w:val="28"/>
                <w:szCs w:val="28"/>
                <w:color w:val="auto"/>
                <w:w w:val="96"/>
                <w:vertAlign w:val="superscript"/>
              </w:rPr>
              <w:t>(2)</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$8,687,767</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4"/>
              </w:rPr>
              <w:t>$134,027</w:t>
            </w:r>
            <w:r>
              <w:rPr>
                <w:rFonts w:ascii="Arial" w:cs="Arial" w:eastAsia="Arial" w:hAnsi="Arial"/>
                <w:sz w:val="28"/>
                <w:szCs w:val="28"/>
                <w:color w:val="auto"/>
                <w:w w:val="94"/>
                <w:vertAlign w:val="superscript"/>
              </w:rPr>
              <w:t>(2)</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6"/>
              </w:rPr>
              <w:t>$11,062,601</w:t>
            </w:r>
            <w:r>
              <w:rPr>
                <w:rFonts w:ascii="Arial" w:cs="Arial" w:eastAsia="Arial" w:hAnsi="Arial"/>
                <w:sz w:val="28"/>
                <w:szCs w:val="28"/>
                <w:color w:val="auto"/>
                <w:w w:val="96"/>
                <w:vertAlign w:val="superscript"/>
              </w:rPr>
              <w:t>(2)</w:t>
            </w:r>
          </w:p>
        </w:tc>
        <w:tc>
          <w:tcPr>
            <w:tcW w:w="0" w:type="dxa"/>
            <w:vAlign w:val="bottom"/>
          </w:tcPr>
          <w:p>
            <w:pPr>
              <w:spacing w:after="0"/>
              <w:rPr>
                <w:sz w:val="1"/>
                <w:szCs w:val="1"/>
                <w:color w:val="auto"/>
              </w:rPr>
            </w:pPr>
          </w:p>
        </w:tc>
      </w:tr>
      <w:tr>
        <w:trPr>
          <w:trHeight w:val="190"/>
        </w:trPr>
        <w:tc>
          <w:tcPr>
            <w:tcW w:w="28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i w:val="1"/>
                <w:iCs w:val="1"/>
                <w:color w:val="auto"/>
              </w:rPr>
              <w:t>Former Chief Executive Officer</w:t>
            </w:r>
          </w:p>
        </w:tc>
        <w:tc>
          <w:tcPr>
            <w:tcW w:w="152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1920" w:type="dxa"/>
            <w:vAlign w:val="bottom"/>
            <w:tcBorders>
              <w:right w:val="single" w:sz="8" w:color="auto"/>
            </w:tcBorders>
            <w:vMerge w:val="continue"/>
          </w:tcPr>
          <w:p>
            <w:pPr>
              <w:spacing w:after="0"/>
              <w:rPr>
                <w:sz w:val="16"/>
                <w:szCs w:val="16"/>
                <w:color w:val="auto"/>
              </w:rPr>
            </w:pPr>
          </w:p>
        </w:tc>
        <w:tc>
          <w:tcPr>
            <w:tcW w:w="1500" w:type="dxa"/>
            <w:vAlign w:val="bottom"/>
            <w:tcBorders>
              <w:right w:val="single" w:sz="8" w:color="auto"/>
            </w:tcBorders>
            <w:vMerge w:val="continue"/>
          </w:tcPr>
          <w:p>
            <w:pPr>
              <w:spacing w:after="0"/>
              <w:rPr>
                <w:sz w:val="16"/>
                <w:szCs w:val="16"/>
                <w:color w:val="auto"/>
              </w:rPr>
            </w:pPr>
          </w:p>
        </w:tc>
        <w:tc>
          <w:tcPr>
            <w:tcW w:w="14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8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52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92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800" w:type="dxa"/>
            <w:vAlign w:val="bottom"/>
            <w:tcBorders>
              <w:left w:val="single" w:sz="8" w:color="auto"/>
              <w:right w:val="single" w:sz="8" w:color="auto"/>
            </w:tcBorders>
          </w:tcPr>
          <w:p>
            <w:pPr>
              <w:ind w:left="160"/>
              <w:spacing w:after="0" w:line="198" w:lineRule="exact"/>
              <w:rPr>
                <w:sz w:val="20"/>
                <w:szCs w:val="20"/>
                <w:color w:val="auto"/>
              </w:rPr>
            </w:pPr>
            <w:r>
              <w:rPr>
                <w:rFonts w:ascii="Arial" w:cs="Arial" w:eastAsia="Arial" w:hAnsi="Arial"/>
                <w:sz w:val="19"/>
                <w:szCs w:val="19"/>
                <w:b w:val="1"/>
                <w:bCs w:val="1"/>
                <w:color w:val="auto"/>
              </w:rPr>
              <w:t>Rajat Marwah</w:t>
            </w:r>
          </w:p>
        </w:tc>
        <w:tc>
          <w:tcPr>
            <w:tcW w:w="152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right w:val="single" w:sz="8" w:color="auto"/>
            </w:tcBorders>
          </w:tcPr>
          <w:p>
            <w:pPr>
              <w:ind w:left="160"/>
              <w:spacing w:after="0" w:line="210" w:lineRule="exact"/>
              <w:rPr>
                <w:sz w:val="20"/>
                <w:szCs w:val="20"/>
                <w:color w:val="auto"/>
              </w:rPr>
            </w:pPr>
            <w:r>
              <w:rPr>
                <w:rFonts w:ascii="Arial" w:cs="Arial" w:eastAsia="Arial" w:hAnsi="Arial"/>
                <w:sz w:val="19"/>
                <w:szCs w:val="19"/>
                <w:i w:val="1"/>
                <w:iCs w:val="1"/>
                <w:color w:val="auto"/>
              </w:rPr>
              <w:t>Chief Executive Officer /</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$1,087,524</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$435,010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$5,729,964</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$69,364</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$7,321,862</w:t>
            </w:r>
          </w:p>
        </w:tc>
        <w:tc>
          <w:tcPr>
            <w:tcW w:w="0" w:type="dxa"/>
            <w:vAlign w:val="bottom"/>
          </w:tcPr>
          <w:p>
            <w:pPr>
              <w:spacing w:after="0"/>
              <w:rPr>
                <w:sz w:val="1"/>
                <w:szCs w:val="1"/>
                <w:color w:val="auto"/>
              </w:rPr>
            </w:pPr>
          </w:p>
        </w:tc>
      </w:tr>
      <w:tr>
        <w:trPr>
          <w:trHeight w:val="147"/>
        </w:trPr>
        <w:tc>
          <w:tcPr>
            <w:tcW w:w="2800" w:type="dxa"/>
            <w:vAlign w:val="bottom"/>
            <w:tcBorders>
              <w:left w:val="single" w:sz="8" w:color="auto"/>
              <w:right w:val="single" w:sz="8" w:color="auto"/>
            </w:tcBorders>
            <w:vMerge w:val="restart"/>
          </w:tcPr>
          <w:p>
            <w:pPr>
              <w:ind w:left="160"/>
              <w:spacing w:after="0" w:line="210" w:lineRule="exact"/>
              <w:rPr>
                <w:sz w:val="20"/>
                <w:szCs w:val="20"/>
                <w:color w:val="auto"/>
              </w:rPr>
            </w:pPr>
            <w:r>
              <w:rPr>
                <w:rFonts w:ascii="Arial" w:cs="Arial" w:eastAsia="Arial" w:hAnsi="Arial"/>
                <w:sz w:val="19"/>
                <w:szCs w:val="19"/>
                <w:i w:val="1"/>
                <w:iCs w:val="1"/>
                <w:color w:val="auto"/>
              </w:rPr>
              <w:t>Former President and Chief</w:t>
            </w:r>
          </w:p>
        </w:tc>
        <w:tc>
          <w:tcPr>
            <w:tcW w:w="152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800" w:type="dxa"/>
            <w:vAlign w:val="bottom"/>
            <w:tcBorders>
              <w:left w:val="single" w:sz="8" w:color="auto"/>
              <w:right w:val="single" w:sz="8" w:color="auto"/>
            </w:tcBorders>
            <w:vMerge w:val="continue"/>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i w:val="1"/>
                <w:iCs w:val="1"/>
                <w:color w:val="auto"/>
              </w:rPr>
              <w:t>Financial Officer</w:t>
            </w:r>
          </w:p>
        </w:tc>
        <w:tc>
          <w:tcPr>
            <w:tcW w:w="152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800" w:type="dxa"/>
            <w:vAlign w:val="bottom"/>
            <w:tcBorders>
              <w:left w:val="single" w:sz="8" w:color="auto"/>
              <w:right w:val="single" w:sz="8" w:color="auto"/>
            </w:tcBorders>
          </w:tcPr>
          <w:p>
            <w:pPr>
              <w:ind w:left="160"/>
              <w:spacing w:after="0" w:line="198" w:lineRule="exact"/>
              <w:rPr>
                <w:sz w:val="20"/>
                <w:szCs w:val="20"/>
                <w:color w:val="auto"/>
              </w:rPr>
            </w:pPr>
            <w:r>
              <w:rPr>
                <w:rFonts w:ascii="Arial" w:cs="Arial" w:eastAsia="Arial" w:hAnsi="Arial"/>
                <w:sz w:val="19"/>
                <w:szCs w:val="19"/>
                <w:b w:val="1"/>
                <w:bCs w:val="1"/>
                <w:color w:val="auto"/>
              </w:rPr>
              <w:t>John Naccarato</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$1,009,800</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$403,920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$5,601,558</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$75,562</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$7,090,840</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right w:val="single" w:sz="8" w:color="auto"/>
            </w:tcBorders>
          </w:tcPr>
          <w:p>
            <w:pPr>
              <w:ind w:left="160"/>
              <w:spacing w:after="0" w:line="210" w:lineRule="exact"/>
              <w:rPr>
                <w:sz w:val="20"/>
                <w:szCs w:val="20"/>
                <w:color w:val="auto"/>
              </w:rPr>
            </w:pPr>
            <w:r>
              <w:rPr>
                <w:rFonts w:ascii="Arial" w:cs="Arial" w:eastAsia="Arial" w:hAnsi="Arial"/>
                <w:sz w:val="19"/>
                <w:szCs w:val="19"/>
                <w:i w:val="1"/>
                <w:iCs w:val="1"/>
                <w:color w:val="auto"/>
              </w:rPr>
              <w:t>Vice President – Strategy and</w:t>
            </w:r>
          </w:p>
        </w:tc>
        <w:tc>
          <w:tcPr>
            <w:tcW w:w="1520" w:type="dxa"/>
            <w:vAlign w:val="bottom"/>
            <w:tcBorders>
              <w:right w:val="single" w:sz="8" w:color="auto"/>
            </w:tcBorders>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192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i w:val="1"/>
                <w:iCs w:val="1"/>
                <w:color w:val="auto"/>
              </w:rPr>
              <w:t>Chief Legal Officer</w:t>
            </w:r>
          </w:p>
        </w:tc>
        <w:tc>
          <w:tcPr>
            <w:tcW w:w="152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800" w:type="dxa"/>
            <w:vAlign w:val="bottom"/>
            <w:tcBorders>
              <w:left w:val="single" w:sz="8" w:color="auto"/>
              <w:right w:val="single" w:sz="8" w:color="auto"/>
            </w:tcBorders>
          </w:tcPr>
          <w:p>
            <w:pPr>
              <w:ind w:left="160"/>
              <w:spacing w:after="0" w:line="198" w:lineRule="exact"/>
              <w:rPr>
                <w:sz w:val="20"/>
                <w:szCs w:val="20"/>
                <w:color w:val="auto"/>
              </w:rPr>
            </w:pPr>
            <w:r>
              <w:rPr>
                <w:rFonts w:ascii="Arial" w:cs="Arial" w:eastAsia="Arial" w:hAnsi="Arial"/>
                <w:sz w:val="19"/>
                <w:szCs w:val="19"/>
                <w:b w:val="1"/>
                <w:bCs w:val="1"/>
                <w:color w:val="auto"/>
              </w:rPr>
              <w:t>Mark Nogalo</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$850,000</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$340,000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$4,120,059</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$37,597</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$5,347,656</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right w:val="single" w:sz="8" w:color="auto"/>
            </w:tcBorders>
          </w:tcPr>
          <w:p>
            <w:pPr>
              <w:ind w:left="160"/>
              <w:spacing w:after="0" w:line="210" w:lineRule="exact"/>
              <w:rPr>
                <w:sz w:val="20"/>
                <w:szCs w:val="20"/>
                <w:color w:val="auto"/>
              </w:rPr>
            </w:pPr>
            <w:r>
              <w:rPr>
                <w:rFonts w:ascii="Arial" w:cs="Arial" w:eastAsia="Arial" w:hAnsi="Arial"/>
                <w:sz w:val="19"/>
                <w:szCs w:val="19"/>
                <w:i w:val="1"/>
                <w:iCs w:val="1"/>
                <w:color w:val="auto"/>
              </w:rPr>
              <w:t>Former Vice President –</w:t>
            </w:r>
          </w:p>
        </w:tc>
        <w:tc>
          <w:tcPr>
            <w:tcW w:w="1520" w:type="dxa"/>
            <w:vAlign w:val="bottom"/>
            <w:tcBorders>
              <w:right w:val="single" w:sz="8" w:color="auto"/>
            </w:tcBorders>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192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i w:val="1"/>
                <w:iCs w:val="1"/>
                <w:color w:val="auto"/>
              </w:rPr>
              <w:t>Strategic Transformation</w:t>
            </w:r>
          </w:p>
        </w:tc>
        <w:tc>
          <w:tcPr>
            <w:tcW w:w="152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800" w:type="dxa"/>
            <w:vAlign w:val="bottom"/>
            <w:tcBorders>
              <w:left w:val="single" w:sz="8" w:color="auto"/>
              <w:right w:val="single" w:sz="8" w:color="auto"/>
            </w:tcBorders>
          </w:tcPr>
          <w:p>
            <w:pPr>
              <w:ind w:left="160"/>
              <w:spacing w:after="0" w:line="198" w:lineRule="exact"/>
              <w:rPr>
                <w:sz w:val="20"/>
                <w:szCs w:val="20"/>
                <w:color w:val="auto"/>
              </w:rPr>
            </w:pPr>
            <w:r>
              <w:rPr>
                <w:rFonts w:ascii="Arial" w:cs="Arial" w:eastAsia="Arial" w:hAnsi="Arial"/>
                <w:sz w:val="19"/>
                <w:szCs w:val="19"/>
                <w:b w:val="1"/>
                <w:bCs w:val="1"/>
                <w:color w:val="auto"/>
              </w:rPr>
              <w:t>Michael Panzeri</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$596,700</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$477,360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$1,948,969</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$34,958</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$3,057,986</w:t>
            </w:r>
          </w:p>
        </w:tc>
        <w:tc>
          <w:tcPr>
            <w:tcW w:w="0" w:type="dxa"/>
            <w:vAlign w:val="bottom"/>
          </w:tcPr>
          <w:p>
            <w:pPr>
              <w:spacing w:after="0"/>
              <w:rPr>
                <w:sz w:val="1"/>
                <w:szCs w:val="1"/>
                <w:color w:val="auto"/>
              </w:rPr>
            </w:pPr>
          </w:p>
        </w:tc>
      </w:tr>
      <w:tr>
        <w:trPr>
          <w:trHeight w:val="210"/>
        </w:trPr>
        <w:tc>
          <w:tcPr>
            <w:tcW w:w="2800" w:type="dxa"/>
            <w:vAlign w:val="bottom"/>
            <w:tcBorders>
              <w:left w:val="single" w:sz="8" w:color="auto"/>
              <w:right w:val="single" w:sz="8" w:color="auto"/>
            </w:tcBorders>
          </w:tcPr>
          <w:p>
            <w:pPr>
              <w:ind w:left="160"/>
              <w:spacing w:after="0" w:line="210" w:lineRule="exact"/>
              <w:rPr>
                <w:sz w:val="20"/>
                <w:szCs w:val="20"/>
                <w:color w:val="auto"/>
              </w:rPr>
            </w:pPr>
            <w:r>
              <w:rPr>
                <w:rFonts w:ascii="Arial" w:cs="Arial" w:eastAsia="Arial" w:hAnsi="Arial"/>
                <w:sz w:val="19"/>
                <w:szCs w:val="19"/>
                <w:i w:val="1"/>
                <w:iCs w:val="1"/>
                <w:color w:val="auto"/>
              </w:rPr>
              <w:t>Senior Vice President,</w:t>
            </w:r>
          </w:p>
        </w:tc>
        <w:tc>
          <w:tcPr>
            <w:tcW w:w="1520" w:type="dxa"/>
            <w:vAlign w:val="bottom"/>
            <w:tcBorders>
              <w:right w:val="single" w:sz="8" w:color="auto"/>
            </w:tcBorders>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192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i w:val="1"/>
                <w:iCs w:val="1"/>
                <w:color w:val="auto"/>
              </w:rPr>
              <w:t>Production</w:t>
            </w:r>
          </w:p>
        </w:tc>
        <w:tc>
          <w:tcPr>
            <w:tcW w:w="152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2223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ind w:left="520" w:right="20" w:hanging="415"/>
        <w:spacing w:after="0" w:line="248" w:lineRule="auto"/>
        <w:tabs>
          <w:tab w:leader="none" w:pos="520" w:val="left"/>
        </w:tabs>
        <w:numPr>
          <w:ilvl w:val="0"/>
          <w:numId w:val="34"/>
        </w:numPr>
        <w:rPr>
          <w:rFonts w:ascii="Arial" w:cs="Arial" w:eastAsia="Arial" w:hAnsi="Arial"/>
          <w:sz w:val="16"/>
          <w:szCs w:val="16"/>
          <w:i w:val="1"/>
          <w:iCs w:val="1"/>
          <w:color w:val="003445"/>
        </w:rPr>
      </w:pPr>
      <w:r>
        <w:rPr>
          <w:rFonts w:ascii="Arial" w:cs="Arial" w:eastAsia="Arial" w:hAnsi="Arial"/>
          <w:sz w:val="16"/>
          <w:szCs w:val="16"/>
          <w:i w:val="1"/>
          <w:iCs w:val="1"/>
          <w:color w:val="003445"/>
        </w:rPr>
        <w:t>Share-based compensation includes RSUs and PSUs granted under the Company’s Omnibus Incentive Plan. The value of vesting RSUs and PSUs has been determined based on the $6.37 closing price of the Shares on the TSX on April 30, 2026.</w:t>
      </w:r>
    </w:p>
    <w:p>
      <w:pPr>
        <w:ind w:left="520" w:hanging="415"/>
        <w:spacing w:after="0"/>
        <w:tabs>
          <w:tab w:leader="none" w:pos="520" w:val="left"/>
        </w:tabs>
        <w:numPr>
          <w:ilvl w:val="0"/>
          <w:numId w:val="34"/>
        </w:numPr>
        <w:rPr>
          <w:rFonts w:ascii="Arial" w:cs="Arial" w:eastAsia="Arial" w:hAnsi="Arial"/>
          <w:sz w:val="16"/>
          <w:szCs w:val="16"/>
          <w:i w:val="1"/>
          <w:iCs w:val="1"/>
          <w:color w:val="003445"/>
        </w:rPr>
      </w:pPr>
      <w:r>
        <w:rPr>
          <w:rFonts w:ascii="Arial" w:cs="Arial" w:eastAsia="Arial" w:hAnsi="Arial"/>
          <w:sz w:val="16"/>
          <w:szCs w:val="16"/>
          <w:i w:val="1"/>
          <w:iCs w:val="1"/>
          <w:color w:val="003445"/>
        </w:rPr>
        <w:t>Converted from U.S. dollars to Canadian dollars using the Bank of Canada exchange rate on April 30, 2026, being US$1 to C$1.3624.</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0700"/>
          </w:cols>
          <w:pgMar w:left="600" w:top="262" w:right="599" w:bottom="1440" w:gutter="0" w:footer="0" w:header="0"/>
        </w:sectPr>
      </w:pPr>
    </w:p>
    <w:bookmarkStart w:id="67" w:name="page68"/>
    <w:bookmarkEnd w:id="67"/>
    <w:p>
      <w:pPr>
        <w:ind w:right="20"/>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following table provides an estimate of the payments payable by the Company to each of the NEOs, assuming a termination following a change of control taking place on December 31, 2025:</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322"/>
        </w:trPr>
        <w:tc>
          <w:tcPr>
            <w:tcW w:w="2480" w:type="dxa"/>
            <w:vAlign w:val="bottom"/>
            <w:tcBorders>
              <w:top w:val="single" w:sz="8" w:color="auto"/>
              <w:left w:val="single" w:sz="8" w:color="auto"/>
              <w:right w:val="single" w:sz="8" w:color="auto"/>
            </w:tcBorders>
            <w:shd w:val="clear" w:color="auto" w:fill="003445"/>
          </w:tcPr>
          <w:p>
            <w:pPr>
              <w:spacing w:after="0"/>
              <w:rPr>
                <w:sz w:val="24"/>
                <w:szCs w:val="24"/>
                <w:color w:val="auto"/>
              </w:rPr>
            </w:pPr>
          </w:p>
        </w:tc>
        <w:tc>
          <w:tcPr>
            <w:tcW w:w="1620" w:type="dxa"/>
            <w:vAlign w:val="bottom"/>
            <w:tcBorders>
              <w:top w:val="single" w:sz="8" w:color="003445"/>
              <w:right w:val="single" w:sz="8" w:color="auto"/>
            </w:tcBorders>
            <w:shd w:val="clear" w:color="auto" w:fill="003445"/>
          </w:tcPr>
          <w:p>
            <w:pPr>
              <w:spacing w:after="0"/>
              <w:rPr>
                <w:sz w:val="24"/>
                <w:szCs w:val="24"/>
                <w:color w:val="auto"/>
              </w:rPr>
            </w:pPr>
          </w:p>
        </w:tc>
        <w:tc>
          <w:tcPr>
            <w:tcW w:w="1700" w:type="dxa"/>
            <w:vAlign w:val="bottom"/>
            <w:tcBorders>
              <w:top w:val="single" w:sz="8" w:color="003445"/>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Short-Term</w:t>
            </w:r>
          </w:p>
        </w:tc>
        <w:tc>
          <w:tcPr>
            <w:tcW w:w="1920" w:type="dxa"/>
            <w:vAlign w:val="bottom"/>
            <w:tcBorders>
              <w:top w:val="single" w:sz="8" w:color="003445"/>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Vesting of Share-</w:t>
            </w:r>
          </w:p>
        </w:tc>
        <w:tc>
          <w:tcPr>
            <w:tcW w:w="1500" w:type="dxa"/>
            <w:vAlign w:val="bottom"/>
            <w:tcBorders>
              <w:top w:val="single" w:sz="8" w:color="003445"/>
              <w:right w:val="single" w:sz="8" w:color="auto"/>
            </w:tcBorders>
            <w:shd w:val="clear" w:color="auto" w:fill="003445"/>
          </w:tcPr>
          <w:p>
            <w:pPr>
              <w:spacing w:after="0"/>
              <w:rPr>
                <w:sz w:val="24"/>
                <w:szCs w:val="24"/>
                <w:color w:val="auto"/>
              </w:rPr>
            </w:pPr>
          </w:p>
        </w:tc>
        <w:tc>
          <w:tcPr>
            <w:tcW w:w="1480" w:type="dxa"/>
            <w:vAlign w:val="bottom"/>
            <w:tcBorders>
              <w:top w:val="single" w:sz="8" w:color="003445"/>
              <w:right w:val="single" w:sz="8" w:color="auto"/>
            </w:tcBorders>
            <w:shd w:val="clear" w:color="auto" w:fill="00344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80" w:type="dxa"/>
            <w:vAlign w:val="bottom"/>
            <w:tcBorders>
              <w:left w:val="single" w:sz="8" w:color="auto"/>
              <w:right w:val="single" w:sz="8" w:color="auto"/>
            </w:tcBorders>
            <w:shd w:val="clear" w:color="auto" w:fill="003445"/>
          </w:tcPr>
          <w:p>
            <w:pPr>
              <w:ind w:left="500"/>
              <w:spacing w:after="0"/>
              <w:rPr>
                <w:sz w:val="20"/>
                <w:szCs w:val="20"/>
                <w:color w:val="auto"/>
              </w:rPr>
            </w:pPr>
            <w:r>
              <w:rPr>
                <w:rFonts w:ascii="Arial" w:cs="Arial" w:eastAsia="Arial" w:hAnsi="Arial"/>
                <w:sz w:val="17"/>
                <w:szCs w:val="17"/>
                <w:b w:val="1"/>
                <w:bCs w:val="1"/>
                <w:color w:val="FFFFFF"/>
              </w:rPr>
              <w:t>Name and Principal</w:t>
            </w:r>
          </w:p>
        </w:tc>
        <w:tc>
          <w:tcPr>
            <w:tcW w:w="162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Termination</w:t>
            </w:r>
          </w:p>
        </w:tc>
        <w:tc>
          <w:tcPr>
            <w:tcW w:w="170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Incentive</w:t>
            </w:r>
          </w:p>
        </w:tc>
        <w:tc>
          <w:tcPr>
            <w:tcW w:w="192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Based</w:t>
            </w:r>
          </w:p>
        </w:tc>
        <w:tc>
          <w:tcPr>
            <w:tcW w:w="150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Employee</w:t>
            </w:r>
          </w:p>
        </w:tc>
        <w:tc>
          <w:tcPr>
            <w:tcW w:w="1480" w:type="dxa"/>
            <w:vAlign w:val="bottom"/>
            <w:tcBorders>
              <w:right w:val="single" w:sz="8" w:color="auto"/>
            </w:tcBorders>
            <w:shd w:val="clear" w:color="auto" w:fill="003445"/>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480" w:type="dxa"/>
            <w:vAlign w:val="bottom"/>
            <w:tcBorders>
              <w:left w:val="single" w:sz="8" w:color="auto"/>
              <w:bottom w:val="single" w:sz="8" w:color="auto"/>
              <w:right w:val="single" w:sz="8" w:color="auto"/>
            </w:tcBorders>
            <w:shd w:val="clear" w:color="auto" w:fill="003445"/>
          </w:tcPr>
          <w:p>
            <w:pPr>
              <w:ind w:left="960"/>
              <w:spacing w:after="0"/>
              <w:rPr>
                <w:sz w:val="20"/>
                <w:szCs w:val="20"/>
                <w:color w:val="auto"/>
              </w:rPr>
            </w:pPr>
            <w:r>
              <w:rPr>
                <w:rFonts w:ascii="Arial" w:cs="Arial" w:eastAsia="Arial" w:hAnsi="Arial"/>
                <w:sz w:val="17"/>
                <w:szCs w:val="17"/>
                <w:b w:val="1"/>
                <w:bCs w:val="1"/>
                <w:color w:val="FFFFFF"/>
              </w:rPr>
              <w:t>Position</w:t>
            </w:r>
          </w:p>
        </w:tc>
        <w:tc>
          <w:tcPr>
            <w:tcW w:w="162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Payment</w:t>
            </w:r>
          </w:p>
        </w:tc>
        <w:tc>
          <w:tcPr>
            <w:tcW w:w="170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Awards</w:t>
            </w:r>
          </w:p>
        </w:tc>
        <w:tc>
          <w:tcPr>
            <w:tcW w:w="1920" w:type="dxa"/>
            <w:vAlign w:val="bottom"/>
            <w:tcBorders>
              <w:bottom w:val="single" w:sz="8" w:color="auto"/>
              <w:right w:val="single" w:sz="8" w:color="auto"/>
            </w:tcBorders>
            <w:shd w:val="clear" w:color="auto" w:fill="003445"/>
          </w:tcPr>
          <w:p>
            <w:pPr>
              <w:jc w:val="center"/>
              <w:spacing w:after="0" w:line="255" w:lineRule="exact"/>
              <w:rPr>
                <w:sz w:val="20"/>
                <w:szCs w:val="20"/>
                <w:color w:val="auto"/>
              </w:rPr>
            </w:pPr>
            <w:r>
              <w:rPr>
                <w:rFonts w:ascii="Arial" w:cs="Arial" w:eastAsia="Arial" w:hAnsi="Arial"/>
                <w:sz w:val="17"/>
                <w:szCs w:val="17"/>
                <w:b w:val="1"/>
                <w:bCs w:val="1"/>
                <w:color w:val="FFFFFF"/>
                <w:w w:val="94"/>
              </w:rPr>
              <w:t>Compensation</w:t>
            </w:r>
            <w:r>
              <w:rPr>
                <w:rFonts w:ascii="Arial" w:cs="Arial" w:eastAsia="Arial" w:hAnsi="Arial"/>
                <w:sz w:val="26"/>
                <w:szCs w:val="26"/>
                <w:b w:val="1"/>
                <w:bCs w:val="1"/>
                <w:color w:val="FFFFFF"/>
                <w:w w:val="94"/>
                <w:vertAlign w:val="superscript"/>
              </w:rPr>
              <w:t>(1)(2)</w:t>
            </w:r>
          </w:p>
        </w:tc>
        <w:tc>
          <w:tcPr>
            <w:tcW w:w="150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Benefits</w:t>
            </w:r>
          </w:p>
        </w:tc>
        <w:tc>
          <w:tcPr>
            <w:tcW w:w="1480" w:type="dxa"/>
            <w:vAlign w:val="bottom"/>
            <w:tcBorders>
              <w:bottom w:val="single" w:sz="8" w:color="auto"/>
              <w:right w:val="single" w:sz="8" w:color="auto"/>
            </w:tcBorders>
            <w:shd w:val="clear" w:color="auto" w:fill="003445"/>
          </w:tcPr>
          <w:p>
            <w:pPr>
              <w:ind w:left="560"/>
              <w:spacing w:after="0"/>
              <w:rPr>
                <w:sz w:val="20"/>
                <w:szCs w:val="20"/>
                <w:color w:val="auto"/>
              </w:rPr>
            </w:pPr>
            <w:r>
              <w:rPr>
                <w:rFonts w:ascii="Arial" w:cs="Arial" w:eastAsia="Arial" w:hAnsi="Arial"/>
                <w:sz w:val="17"/>
                <w:szCs w:val="17"/>
                <w:b w:val="1"/>
                <w:bCs w:val="1"/>
                <w:color w:val="FFFFFF"/>
              </w:rPr>
              <w:t>Total</w:t>
            </w:r>
          </w:p>
        </w:tc>
        <w:tc>
          <w:tcPr>
            <w:tcW w:w="0" w:type="dxa"/>
            <w:vAlign w:val="bottom"/>
          </w:tcPr>
          <w:p>
            <w:pPr>
              <w:spacing w:after="0"/>
              <w:rPr>
                <w:sz w:val="1"/>
                <w:szCs w:val="1"/>
                <w:color w:val="auto"/>
              </w:rPr>
            </w:pPr>
          </w:p>
        </w:tc>
      </w:tr>
      <w:tr>
        <w:trPr>
          <w:trHeight w:val="196"/>
        </w:trPr>
        <w:tc>
          <w:tcPr>
            <w:tcW w:w="2480" w:type="dxa"/>
            <w:vAlign w:val="bottom"/>
            <w:tcBorders>
              <w:left w:val="single" w:sz="8" w:color="auto"/>
              <w:right w:val="single" w:sz="8" w:color="auto"/>
            </w:tcBorders>
          </w:tcPr>
          <w:p>
            <w:pPr>
              <w:ind w:left="160"/>
              <w:spacing w:after="0" w:line="196" w:lineRule="exact"/>
              <w:rPr>
                <w:sz w:val="20"/>
                <w:szCs w:val="20"/>
                <w:color w:val="auto"/>
              </w:rPr>
            </w:pPr>
            <w:r>
              <w:rPr>
                <w:rFonts w:ascii="Arial" w:cs="Arial" w:eastAsia="Arial" w:hAnsi="Arial"/>
                <w:sz w:val="19"/>
                <w:szCs w:val="19"/>
                <w:b w:val="1"/>
                <w:bCs w:val="1"/>
                <w:color w:val="auto"/>
              </w:rPr>
              <w:t>Michael Garcia</w:t>
            </w: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6"/>
              </w:rPr>
              <w:t>$2,605,590</w:t>
            </w:r>
            <w:r>
              <w:rPr>
                <w:rFonts w:ascii="Arial" w:cs="Arial" w:eastAsia="Arial" w:hAnsi="Arial"/>
                <w:sz w:val="28"/>
                <w:szCs w:val="28"/>
                <w:color w:val="auto"/>
                <w:w w:val="96"/>
                <w:vertAlign w:val="superscript"/>
              </w:rPr>
              <w:t>(3)</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6"/>
              </w:rPr>
              <w:t>$3,595,714</w:t>
            </w:r>
            <w:r>
              <w:rPr>
                <w:rFonts w:ascii="Arial" w:cs="Arial" w:eastAsia="Arial" w:hAnsi="Arial"/>
                <w:sz w:val="28"/>
                <w:szCs w:val="28"/>
                <w:color w:val="auto"/>
                <w:w w:val="96"/>
                <w:vertAlign w:val="superscript"/>
              </w:rPr>
              <w:t>(3)</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$8,687,767</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4"/>
              </w:rPr>
              <w:t>$271,097</w:t>
            </w:r>
            <w:r>
              <w:rPr>
                <w:rFonts w:ascii="Arial" w:cs="Arial" w:eastAsia="Arial" w:hAnsi="Arial"/>
                <w:sz w:val="28"/>
                <w:szCs w:val="28"/>
                <w:color w:val="auto"/>
                <w:w w:val="94"/>
                <w:vertAlign w:val="superscript"/>
              </w:rPr>
              <w:t>(3)</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6"/>
              </w:rPr>
              <w:t>$15,160,168</w:t>
            </w:r>
            <w:r>
              <w:rPr>
                <w:rFonts w:ascii="Arial" w:cs="Arial" w:eastAsia="Arial" w:hAnsi="Arial"/>
                <w:sz w:val="28"/>
                <w:szCs w:val="28"/>
                <w:color w:val="auto"/>
                <w:w w:val="96"/>
                <w:vertAlign w:val="superscript"/>
              </w:rPr>
              <w:t>(3)</w:t>
            </w:r>
          </w:p>
        </w:tc>
        <w:tc>
          <w:tcPr>
            <w:tcW w:w="0" w:type="dxa"/>
            <w:vAlign w:val="bottom"/>
          </w:tcPr>
          <w:p>
            <w:pPr>
              <w:spacing w:after="0"/>
              <w:rPr>
                <w:sz w:val="1"/>
                <w:szCs w:val="1"/>
                <w:color w:val="auto"/>
              </w:rPr>
            </w:pPr>
          </w:p>
        </w:tc>
      </w:tr>
      <w:tr>
        <w:trPr>
          <w:trHeight w:val="210"/>
        </w:trPr>
        <w:tc>
          <w:tcPr>
            <w:tcW w:w="2480" w:type="dxa"/>
            <w:vAlign w:val="bottom"/>
            <w:tcBorders>
              <w:left w:val="single" w:sz="8" w:color="auto"/>
              <w:right w:val="single" w:sz="8" w:color="auto"/>
            </w:tcBorders>
          </w:tcPr>
          <w:p>
            <w:pPr>
              <w:ind w:left="160"/>
              <w:spacing w:after="0" w:line="210" w:lineRule="exact"/>
              <w:rPr>
                <w:sz w:val="20"/>
                <w:szCs w:val="20"/>
                <w:color w:val="auto"/>
              </w:rPr>
            </w:pPr>
            <w:r>
              <w:rPr>
                <w:rFonts w:ascii="Arial" w:cs="Arial" w:eastAsia="Arial" w:hAnsi="Arial"/>
                <w:sz w:val="19"/>
                <w:szCs w:val="19"/>
                <w:i w:val="1"/>
                <w:iCs w:val="1"/>
                <w:color w:val="auto"/>
              </w:rPr>
              <w:t>Former Chief Executive</w:t>
            </w:r>
          </w:p>
        </w:tc>
        <w:tc>
          <w:tcPr>
            <w:tcW w:w="162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192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4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i w:val="1"/>
                <w:iCs w:val="1"/>
                <w:color w:val="auto"/>
              </w:rPr>
              <w:t>Officer</w:t>
            </w:r>
          </w:p>
        </w:tc>
        <w:tc>
          <w:tcPr>
            <w:tcW w:w="162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480" w:type="dxa"/>
            <w:vAlign w:val="bottom"/>
            <w:tcBorders>
              <w:left w:val="single" w:sz="8" w:color="auto"/>
              <w:right w:val="single" w:sz="8" w:color="auto"/>
            </w:tcBorders>
          </w:tcPr>
          <w:p>
            <w:pPr>
              <w:ind w:left="160"/>
              <w:spacing w:after="0" w:line="198" w:lineRule="exact"/>
              <w:rPr>
                <w:sz w:val="20"/>
                <w:szCs w:val="20"/>
                <w:color w:val="auto"/>
              </w:rPr>
            </w:pPr>
            <w:r>
              <w:rPr>
                <w:rFonts w:ascii="Arial" w:cs="Arial" w:eastAsia="Arial" w:hAnsi="Arial"/>
                <w:sz w:val="19"/>
                <w:szCs w:val="19"/>
                <w:b w:val="1"/>
                <w:bCs w:val="1"/>
                <w:color w:val="auto"/>
              </w:rPr>
              <w:t>Rajat Marwah</w:t>
            </w:r>
          </w:p>
        </w:tc>
        <w:tc>
          <w:tcPr>
            <w:tcW w:w="1620" w:type="dxa"/>
            <w:vAlign w:val="bottom"/>
            <w:tcBorders>
              <w:right w:val="single" w:sz="8" w:color="auto"/>
            </w:tcBorders>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4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Borders>
              <w:left w:val="single" w:sz="8" w:color="auto"/>
              <w:right w:val="single" w:sz="8" w:color="auto"/>
            </w:tcBorders>
          </w:tcPr>
          <w:p>
            <w:pPr>
              <w:ind w:left="160"/>
              <w:spacing w:after="0" w:line="210" w:lineRule="exact"/>
              <w:rPr>
                <w:sz w:val="20"/>
                <w:szCs w:val="20"/>
                <w:color w:val="auto"/>
              </w:rPr>
            </w:pPr>
            <w:r>
              <w:rPr>
                <w:rFonts w:ascii="Arial" w:cs="Arial" w:eastAsia="Arial" w:hAnsi="Arial"/>
                <w:sz w:val="19"/>
                <w:szCs w:val="19"/>
                <w:i w:val="1"/>
                <w:iCs w:val="1"/>
                <w:color w:val="auto"/>
              </w:rPr>
              <w:t>Chief Executive Officer /</w:t>
            </w:r>
          </w:p>
        </w:tc>
        <w:tc>
          <w:tcPr>
            <w:tcW w:w="1620" w:type="dxa"/>
            <w:vAlign w:val="bottom"/>
            <w:tcBorders>
              <w:right w:val="single" w:sz="8" w:color="auto"/>
            </w:tcBorders>
            <w:vMerge w:val="restart"/>
          </w:tcPr>
          <w:p>
            <w:pPr>
              <w:jc w:val="center"/>
              <w:ind w:left="6"/>
              <w:spacing w:after="0"/>
              <w:rPr>
                <w:sz w:val="20"/>
                <w:szCs w:val="20"/>
                <w:color w:val="auto"/>
              </w:rPr>
            </w:pPr>
            <w:r>
              <w:rPr>
                <w:rFonts w:ascii="Arial" w:cs="Arial" w:eastAsia="Arial" w:hAnsi="Arial"/>
                <w:sz w:val="19"/>
                <w:szCs w:val="19"/>
                <w:color w:val="auto"/>
              </w:rPr>
              <w:t>$1,359,405</w:t>
            </w:r>
          </w:p>
        </w:tc>
        <w:tc>
          <w:tcPr>
            <w:tcW w:w="17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9"/>
                <w:szCs w:val="19"/>
                <w:color w:val="auto"/>
              </w:rPr>
              <w:t>$1,305,029</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$5,729,964</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$104,254</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$8,498,652</w:t>
            </w:r>
          </w:p>
        </w:tc>
        <w:tc>
          <w:tcPr>
            <w:tcW w:w="0" w:type="dxa"/>
            <w:vAlign w:val="bottom"/>
          </w:tcPr>
          <w:p>
            <w:pPr>
              <w:spacing w:after="0"/>
              <w:rPr>
                <w:sz w:val="1"/>
                <w:szCs w:val="1"/>
                <w:color w:val="auto"/>
              </w:rPr>
            </w:pPr>
          </w:p>
        </w:tc>
      </w:tr>
      <w:tr>
        <w:trPr>
          <w:trHeight w:val="147"/>
        </w:trPr>
        <w:tc>
          <w:tcPr>
            <w:tcW w:w="2480" w:type="dxa"/>
            <w:vAlign w:val="bottom"/>
            <w:tcBorders>
              <w:left w:val="single" w:sz="8" w:color="auto"/>
              <w:right w:val="single" w:sz="8" w:color="auto"/>
            </w:tcBorders>
            <w:vMerge w:val="restart"/>
          </w:tcPr>
          <w:p>
            <w:pPr>
              <w:ind w:left="160"/>
              <w:spacing w:after="0" w:line="210" w:lineRule="exact"/>
              <w:rPr>
                <w:sz w:val="20"/>
                <w:szCs w:val="20"/>
                <w:color w:val="auto"/>
              </w:rPr>
            </w:pPr>
            <w:r>
              <w:rPr>
                <w:rFonts w:ascii="Arial" w:cs="Arial" w:eastAsia="Arial" w:hAnsi="Arial"/>
                <w:sz w:val="19"/>
                <w:szCs w:val="19"/>
                <w:i w:val="1"/>
                <w:iCs w:val="1"/>
                <w:color w:val="auto"/>
              </w:rPr>
              <w:t>Former President and</w:t>
            </w:r>
          </w:p>
        </w:tc>
        <w:tc>
          <w:tcPr>
            <w:tcW w:w="162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480" w:type="dxa"/>
            <w:vAlign w:val="bottom"/>
            <w:tcBorders>
              <w:left w:val="single" w:sz="8" w:color="auto"/>
              <w:right w:val="single" w:sz="8" w:color="auto"/>
            </w:tcBorders>
            <w:vMerge w:val="continue"/>
          </w:tcPr>
          <w:p>
            <w:pPr>
              <w:spacing w:after="0"/>
              <w:rPr>
                <w:sz w:val="5"/>
                <w:szCs w:val="5"/>
                <w:color w:val="auto"/>
              </w:rPr>
            </w:pPr>
          </w:p>
        </w:tc>
        <w:tc>
          <w:tcPr>
            <w:tcW w:w="1620" w:type="dxa"/>
            <w:vAlign w:val="bottom"/>
            <w:tcBorders>
              <w:right w:val="single" w:sz="8" w:color="auto"/>
            </w:tcBorders>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1500" w:type="dxa"/>
            <w:vAlign w:val="bottom"/>
            <w:tcBorders>
              <w:right w:val="single" w:sz="8" w:color="auto"/>
            </w:tcBorders>
          </w:tcPr>
          <w:p>
            <w:pPr>
              <w:spacing w:after="0"/>
              <w:rPr>
                <w:sz w:val="5"/>
                <w:szCs w:val="5"/>
                <w:color w:val="auto"/>
              </w:rPr>
            </w:pPr>
          </w:p>
        </w:tc>
        <w:tc>
          <w:tcPr>
            <w:tcW w:w="14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4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i w:val="1"/>
                <w:iCs w:val="1"/>
                <w:color w:val="auto"/>
              </w:rPr>
              <w:t>Chief Financial Officer</w:t>
            </w:r>
          </w:p>
        </w:tc>
        <w:tc>
          <w:tcPr>
            <w:tcW w:w="162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480" w:type="dxa"/>
            <w:vAlign w:val="bottom"/>
            <w:tcBorders>
              <w:left w:val="single" w:sz="8" w:color="auto"/>
              <w:right w:val="single" w:sz="8" w:color="auto"/>
            </w:tcBorders>
          </w:tcPr>
          <w:p>
            <w:pPr>
              <w:ind w:left="160"/>
              <w:spacing w:after="0" w:line="198" w:lineRule="exact"/>
              <w:rPr>
                <w:sz w:val="20"/>
                <w:szCs w:val="20"/>
                <w:color w:val="auto"/>
              </w:rPr>
            </w:pPr>
            <w:r>
              <w:rPr>
                <w:rFonts w:ascii="Arial" w:cs="Arial" w:eastAsia="Arial" w:hAnsi="Arial"/>
                <w:sz w:val="19"/>
                <w:szCs w:val="19"/>
                <w:b w:val="1"/>
                <w:bCs w:val="1"/>
                <w:color w:val="auto"/>
              </w:rPr>
              <w:t>John Naccarato</w:t>
            </w:r>
          </w:p>
        </w:tc>
        <w:tc>
          <w:tcPr>
            <w:tcW w:w="1620" w:type="dxa"/>
            <w:vAlign w:val="bottom"/>
            <w:tcBorders>
              <w:right w:val="single" w:sz="8" w:color="auto"/>
            </w:tcBorders>
            <w:vMerge w:val="restart"/>
          </w:tcPr>
          <w:p>
            <w:pPr>
              <w:jc w:val="center"/>
              <w:ind w:left="6"/>
              <w:spacing w:after="0"/>
              <w:rPr>
                <w:sz w:val="20"/>
                <w:szCs w:val="20"/>
                <w:color w:val="auto"/>
              </w:rPr>
            </w:pPr>
            <w:r>
              <w:rPr>
                <w:rFonts w:ascii="Arial" w:cs="Arial" w:eastAsia="Arial" w:hAnsi="Arial"/>
                <w:sz w:val="19"/>
                <w:szCs w:val="19"/>
                <w:color w:val="auto"/>
              </w:rPr>
              <w:t>$1,262,250</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$1,211,760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$5,601,558</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$110,452</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$8,186,020</w:t>
            </w:r>
          </w:p>
        </w:tc>
        <w:tc>
          <w:tcPr>
            <w:tcW w:w="0" w:type="dxa"/>
            <w:vAlign w:val="bottom"/>
          </w:tcPr>
          <w:p>
            <w:pPr>
              <w:spacing w:after="0"/>
              <w:rPr>
                <w:sz w:val="1"/>
                <w:szCs w:val="1"/>
                <w:color w:val="auto"/>
              </w:rPr>
            </w:pPr>
          </w:p>
        </w:tc>
      </w:tr>
      <w:tr>
        <w:trPr>
          <w:trHeight w:val="210"/>
        </w:trPr>
        <w:tc>
          <w:tcPr>
            <w:tcW w:w="2480" w:type="dxa"/>
            <w:vAlign w:val="bottom"/>
            <w:tcBorders>
              <w:left w:val="single" w:sz="8" w:color="auto"/>
              <w:right w:val="single" w:sz="8" w:color="auto"/>
            </w:tcBorders>
          </w:tcPr>
          <w:p>
            <w:pPr>
              <w:ind w:left="160"/>
              <w:spacing w:after="0" w:line="210" w:lineRule="exact"/>
              <w:rPr>
                <w:sz w:val="20"/>
                <w:szCs w:val="20"/>
                <w:color w:val="auto"/>
              </w:rPr>
            </w:pPr>
            <w:r>
              <w:rPr>
                <w:rFonts w:ascii="Arial" w:cs="Arial" w:eastAsia="Arial" w:hAnsi="Arial"/>
                <w:sz w:val="19"/>
                <w:szCs w:val="19"/>
                <w:i w:val="1"/>
                <w:iCs w:val="1"/>
                <w:color w:val="auto"/>
              </w:rPr>
              <w:t>Vice President – Strategy</w:t>
            </w:r>
          </w:p>
        </w:tc>
        <w:tc>
          <w:tcPr>
            <w:tcW w:w="162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192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4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i w:val="1"/>
                <w:iCs w:val="1"/>
                <w:color w:val="auto"/>
              </w:rPr>
              <w:t>and Chief Legal Officer</w:t>
            </w:r>
          </w:p>
        </w:tc>
        <w:tc>
          <w:tcPr>
            <w:tcW w:w="162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480" w:type="dxa"/>
            <w:vAlign w:val="bottom"/>
            <w:tcBorders>
              <w:left w:val="single" w:sz="8" w:color="auto"/>
              <w:right w:val="single" w:sz="8" w:color="auto"/>
            </w:tcBorders>
          </w:tcPr>
          <w:p>
            <w:pPr>
              <w:ind w:left="160"/>
              <w:spacing w:after="0" w:line="198" w:lineRule="exact"/>
              <w:rPr>
                <w:sz w:val="20"/>
                <w:szCs w:val="20"/>
                <w:color w:val="auto"/>
              </w:rPr>
            </w:pPr>
            <w:r>
              <w:rPr>
                <w:rFonts w:ascii="Arial" w:cs="Arial" w:eastAsia="Arial" w:hAnsi="Arial"/>
                <w:sz w:val="19"/>
                <w:szCs w:val="19"/>
                <w:b w:val="1"/>
                <w:bCs w:val="1"/>
                <w:color w:val="auto"/>
              </w:rPr>
              <w:t>Mark Nogalo</w:t>
            </w:r>
          </w:p>
        </w:tc>
        <w:tc>
          <w:tcPr>
            <w:tcW w:w="1620" w:type="dxa"/>
            <w:vAlign w:val="bottom"/>
            <w:tcBorders>
              <w:right w:val="single" w:sz="8" w:color="auto"/>
            </w:tcBorders>
            <w:vMerge w:val="restart"/>
          </w:tcPr>
          <w:p>
            <w:pPr>
              <w:jc w:val="center"/>
              <w:ind w:left="6"/>
              <w:spacing w:after="0"/>
              <w:rPr>
                <w:sz w:val="20"/>
                <w:szCs w:val="20"/>
                <w:color w:val="auto"/>
              </w:rPr>
            </w:pPr>
            <w:r>
              <w:rPr>
                <w:rFonts w:ascii="Arial" w:cs="Arial" w:eastAsia="Arial" w:hAnsi="Arial"/>
                <w:sz w:val="19"/>
                <w:szCs w:val="19"/>
                <w:color w:val="auto"/>
              </w:rPr>
              <w:t>$1,062,500</w:t>
            </w:r>
          </w:p>
        </w:tc>
        <w:tc>
          <w:tcPr>
            <w:tcW w:w="17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9"/>
                <w:szCs w:val="19"/>
                <w:color w:val="auto"/>
              </w:rPr>
              <w:t>$1,020,000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$4,120,059</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$37,597</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$6,240,156</w:t>
            </w:r>
          </w:p>
        </w:tc>
        <w:tc>
          <w:tcPr>
            <w:tcW w:w="0" w:type="dxa"/>
            <w:vAlign w:val="bottom"/>
          </w:tcPr>
          <w:p>
            <w:pPr>
              <w:spacing w:after="0"/>
              <w:rPr>
                <w:sz w:val="1"/>
                <w:szCs w:val="1"/>
                <w:color w:val="auto"/>
              </w:rPr>
            </w:pPr>
          </w:p>
        </w:tc>
      </w:tr>
      <w:tr>
        <w:trPr>
          <w:trHeight w:val="210"/>
        </w:trPr>
        <w:tc>
          <w:tcPr>
            <w:tcW w:w="2480" w:type="dxa"/>
            <w:vAlign w:val="bottom"/>
            <w:tcBorders>
              <w:left w:val="single" w:sz="8" w:color="auto"/>
              <w:right w:val="single" w:sz="8" w:color="auto"/>
            </w:tcBorders>
          </w:tcPr>
          <w:p>
            <w:pPr>
              <w:ind w:left="160"/>
              <w:spacing w:after="0" w:line="210" w:lineRule="exact"/>
              <w:rPr>
                <w:sz w:val="20"/>
                <w:szCs w:val="20"/>
                <w:color w:val="auto"/>
              </w:rPr>
            </w:pPr>
            <w:r>
              <w:rPr>
                <w:rFonts w:ascii="Arial" w:cs="Arial" w:eastAsia="Arial" w:hAnsi="Arial"/>
                <w:sz w:val="19"/>
                <w:szCs w:val="19"/>
                <w:i w:val="1"/>
                <w:iCs w:val="1"/>
                <w:color w:val="auto"/>
              </w:rPr>
              <w:t>Former Vice President –</w:t>
            </w:r>
          </w:p>
        </w:tc>
        <w:tc>
          <w:tcPr>
            <w:tcW w:w="162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192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4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i w:val="1"/>
                <w:iCs w:val="1"/>
                <w:color w:val="auto"/>
              </w:rPr>
              <w:t>Strategic Transformation</w:t>
            </w:r>
          </w:p>
        </w:tc>
        <w:tc>
          <w:tcPr>
            <w:tcW w:w="162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480" w:type="dxa"/>
            <w:vAlign w:val="bottom"/>
            <w:tcBorders>
              <w:left w:val="single" w:sz="8" w:color="auto"/>
              <w:right w:val="single" w:sz="8" w:color="auto"/>
            </w:tcBorders>
          </w:tcPr>
          <w:p>
            <w:pPr>
              <w:ind w:left="160"/>
              <w:spacing w:after="0" w:line="198" w:lineRule="exact"/>
              <w:rPr>
                <w:sz w:val="20"/>
                <w:szCs w:val="20"/>
                <w:color w:val="auto"/>
              </w:rPr>
            </w:pPr>
            <w:r>
              <w:rPr>
                <w:rFonts w:ascii="Arial" w:cs="Arial" w:eastAsia="Arial" w:hAnsi="Arial"/>
                <w:sz w:val="19"/>
                <w:szCs w:val="19"/>
                <w:b w:val="1"/>
                <w:bCs w:val="1"/>
                <w:color w:val="auto"/>
              </w:rPr>
              <w:t>Michael Panzeri</w:t>
            </w:r>
          </w:p>
        </w:tc>
        <w:tc>
          <w:tcPr>
            <w:tcW w:w="1620" w:type="dxa"/>
            <w:vAlign w:val="bottom"/>
            <w:tcBorders>
              <w:right w:val="single" w:sz="8" w:color="auto"/>
            </w:tcBorders>
            <w:vMerge w:val="restart"/>
          </w:tcPr>
          <w:p>
            <w:pPr>
              <w:jc w:val="center"/>
              <w:ind w:left="6"/>
              <w:spacing w:after="0"/>
              <w:rPr>
                <w:sz w:val="20"/>
                <w:szCs w:val="20"/>
                <w:color w:val="auto"/>
              </w:rPr>
            </w:pPr>
            <w:r>
              <w:rPr>
                <w:rFonts w:ascii="Arial" w:cs="Arial" w:eastAsia="Arial" w:hAnsi="Arial"/>
                <w:sz w:val="19"/>
                <w:szCs w:val="19"/>
                <w:color w:val="auto"/>
              </w:rPr>
              <w:t>$895,050</w:t>
            </w:r>
          </w:p>
        </w:tc>
        <w:tc>
          <w:tcPr>
            <w:tcW w:w="1700" w:type="dxa"/>
            <w:vAlign w:val="bottom"/>
            <w:tcBorders>
              <w:right w:val="single" w:sz="8" w:color="auto"/>
            </w:tcBorders>
            <w:vMerge w:val="restart"/>
          </w:tcPr>
          <w:p>
            <w:pPr>
              <w:jc w:val="center"/>
              <w:ind w:left="7"/>
              <w:spacing w:after="0"/>
              <w:rPr>
                <w:sz w:val="20"/>
                <w:szCs w:val="20"/>
                <w:color w:val="auto"/>
              </w:rPr>
            </w:pPr>
            <w:r>
              <w:rPr>
                <w:rFonts w:ascii="Arial" w:cs="Arial" w:eastAsia="Arial" w:hAnsi="Arial"/>
                <w:sz w:val="19"/>
                <w:szCs w:val="19"/>
                <w:color w:val="auto"/>
              </w:rPr>
              <w:t>$1,432,080</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$1,948,969</w:t>
            </w:r>
          </w:p>
        </w:tc>
        <w:tc>
          <w:tcPr>
            <w:tcW w:w="15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w w:val="98"/>
              </w:rPr>
              <w:t>$69,848</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color w:val="auto"/>
              </w:rPr>
              <w:t>$4,345,946</w:t>
            </w:r>
          </w:p>
        </w:tc>
        <w:tc>
          <w:tcPr>
            <w:tcW w:w="0" w:type="dxa"/>
            <w:vAlign w:val="bottom"/>
          </w:tcPr>
          <w:p>
            <w:pPr>
              <w:spacing w:after="0"/>
              <w:rPr>
                <w:sz w:val="1"/>
                <w:szCs w:val="1"/>
                <w:color w:val="auto"/>
              </w:rPr>
            </w:pPr>
          </w:p>
        </w:tc>
      </w:tr>
      <w:tr>
        <w:trPr>
          <w:trHeight w:val="210"/>
        </w:trPr>
        <w:tc>
          <w:tcPr>
            <w:tcW w:w="2480" w:type="dxa"/>
            <w:vAlign w:val="bottom"/>
            <w:tcBorders>
              <w:left w:val="single" w:sz="8" w:color="auto"/>
              <w:right w:val="single" w:sz="8" w:color="auto"/>
            </w:tcBorders>
          </w:tcPr>
          <w:p>
            <w:pPr>
              <w:ind w:left="160"/>
              <w:spacing w:after="0" w:line="210" w:lineRule="exact"/>
              <w:rPr>
                <w:sz w:val="20"/>
                <w:szCs w:val="20"/>
                <w:color w:val="auto"/>
              </w:rPr>
            </w:pPr>
            <w:r>
              <w:rPr>
                <w:rFonts w:ascii="Arial" w:cs="Arial" w:eastAsia="Arial" w:hAnsi="Arial"/>
                <w:sz w:val="19"/>
                <w:szCs w:val="19"/>
                <w:i w:val="1"/>
                <w:iCs w:val="1"/>
                <w:color w:val="auto"/>
              </w:rPr>
              <w:t>Senior Vice President,</w:t>
            </w:r>
          </w:p>
        </w:tc>
        <w:tc>
          <w:tcPr>
            <w:tcW w:w="1620" w:type="dxa"/>
            <w:vAlign w:val="bottom"/>
            <w:tcBorders>
              <w:right w:val="single" w:sz="8" w:color="auto"/>
            </w:tcBorders>
            <w:vMerge w:val="continue"/>
          </w:tcPr>
          <w:p>
            <w:pPr>
              <w:spacing w:after="0"/>
              <w:rPr>
                <w:sz w:val="18"/>
                <w:szCs w:val="18"/>
                <w:color w:val="auto"/>
              </w:rPr>
            </w:pPr>
          </w:p>
        </w:tc>
        <w:tc>
          <w:tcPr>
            <w:tcW w:w="1700" w:type="dxa"/>
            <w:vAlign w:val="bottom"/>
            <w:tcBorders>
              <w:right w:val="single" w:sz="8" w:color="auto"/>
            </w:tcBorders>
            <w:vMerge w:val="continue"/>
          </w:tcPr>
          <w:p>
            <w:pPr>
              <w:spacing w:after="0"/>
              <w:rPr>
                <w:sz w:val="18"/>
                <w:szCs w:val="18"/>
                <w:color w:val="auto"/>
              </w:rPr>
            </w:pPr>
          </w:p>
        </w:tc>
        <w:tc>
          <w:tcPr>
            <w:tcW w:w="1920" w:type="dxa"/>
            <w:vAlign w:val="bottom"/>
            <w:tcBorders>
              <w:right w:val="single" w:sz="8" w:color="auto"/>
            </w:tcBorders>
            <w:vMerge w:val="continue"/>
          </w:tcPr>
          <w:p>
            <w:pPr>
              <w:spacing w:after="0"/>
              <w:rPr>
                <w:sz w:val="18"/>
                <w:szCs w:val="18"/>
                <w:color w:val="auto"/>
              </w:rPr>
            </w:pPr>
          </w:p>
        </w:tc>
        <w:tc>
          <w:tcPr>
            <w:tcW w:w="1500" w:type="dxa"/>
            <w:vAlign w:val="bottom"/>
            <w:tcBorders>
              <w:right w:val="single" w:sz="8" w:color="auto"/>
            </w:tcBorders>
            <w:vMerge w:val="continue"/>
          </w:tcPr>
          <w:p>
            <w:pPr>
              <w:spacing w:after="0"/>
              <w:rPr>
                <w:sz w:val="18"/>
                <w:szCs w:val="18"/>
                <w:color w:val="auto"/>
              </w:rPr>
            </w:pPr>
          </w:p>
        </w:tc>
        <w:tc>
          <w:tcPr>
            <w:tcW w:w="14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4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i w:val="1"/>
                <w:iCs w:val="1"/>
                <w:color w:val="auto"/>
              </w:rPr>
              <w:t>Production</w:t>
            </w:r>
          </w:p>
        </w:tc>
        <w:tc>
          <w:tcPr>
            <w:tcW w:w="1620" w:type="dxa"/>
            <w:vAlign w:val="bottom"/>
            <w:tcBorders>
              <w:bottom w:val="single" w:sz="8" w:color="auto"/>
              <w:right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150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22237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jc w:val="both"/>
        <w:ind w:left="520" w:right="20" w:hanging="415"/>
        <w:spacing w:after="0" w:line="243" w:lineRule="auto"/>
        <w:tabs>
          <w:tab w:leader="none" w:pos="520" w:val="left"/>
        </w:tabs>
        <w:numPr>
          <w:ilvl w:val="0"/>
          <w:numId w:val="35"/>
        </w:numPr>
        <w:rPr>
          <w:rFonts w:ascii="Arial" w:cs="Arial" w:eastAsia="Arial" w:hAnsi="Arial"/>
          <w:sz w:val="16"/>
          <w:szCs w:val="16"/>
          <w:i w:val="1"/>
          <w:iCs w:val="1"/>
          <w:color w:val="003445"/>
        </w:rPr>
      </w:pPr>
      <w:r>
        <w:rPr>
          <w:rFonts w:ascii="Arial" w:cs="Arial" w:eastAsia="Arial" w:hAnsi="Arial"/>
          <w:sz w:val="16"/>
          <w:szCs w:val="16"/>
          <w:i w:val="1"/>
          <w:iCs w:val="1"/>
          <w:color w:val="003445"/>
        </w:rPr>
        <w:t>Share-based compensation includes RSUs and PSUs granted under the Company’s Omnibus Incentive Plan. On termination without cause or change of control, the NEO will be entitled to vest any earned RSUs and PSUs in accordance with the conditions of vesting as set forth in the respective award agreements and the Omnibus Incentive Plan. The value of vesting RSUs and PSUs has been determined based on the C$6.37 closing price of the Shares on the TSX on April 30, 2026.</w:t>
      </w:r>
    </w:p>
    <w:p>
      <w:pPr>
        <w:spacing w:after="0" w:line="2" w:lineRule="exact"/>
        <w:rPr>
          <w:rFonts w:ascii="Arial" w:cs="Arial" w:eastAsia="Arial" w:hAnsi="Arial"/>
          <w:sz w:val="16"/>
          <w:szCs w:val="16"/>
          <w:i w:val="1"/>
          <w:iCs w:val="1"/>
          <w:color w:val="003445"/>
        </w:rPr>
      </w:pPr>
    </w:p>
    <w:p>
      <w:pPr>
        <w:jc w:val="both"/>
        <w:ind w:left="520" w:right="20" w:hanging="415"/>
        <w:spacing w:after="0" w:line="239" w:lineRule="auto"/>
        <w:tabs>
          <w:tab w:leader="none" w:pos="520" w:val="left"/>
        </w:tabs>
        <w:numPr>
          <w:ilvl w:val="0"/>
          <w:numId w:val="35"/>
        </w:numPr>
        <w:rPr>
          <w:rFonts w:ascii="Arial" w:cs="Arial" w:eastAsia="Arial" w:hAnsi="Arial"/>
          <w:sz w:val="16"/>
          <w:szCs w:val="16"/>
          <w:i w:val="1"/>
          <w:iCs w:val="1"/>
          <w:color w:val="003445"/>
        </w:rPr>
      </w:pPr>
      <w:r>
        <w:rPr>
          <w:rFonts w:ascii="Arial" w:cs="Arial" w:eastAsia="Arial" w:hAnsi="Arial"/>
          <w:sz w:val="16"/>
          <w:szCs w:val="16"/>
          <w:i w:val="1"/>
          <w:iCs w:val="1"/>
          <w:color w:val="003445"/>
        </w:rPr>
        <w:t>Share-based compensation includes RSUs and PSUs granted under the Company’s Omnibus Incentive Plan. On termination without cause or change of control, the NEO will be entitled to vest any earned RSUs and PSUs in accordance with the conditions of vesting as set forth in the respective award agreements and the Omnibus Incentive Plan. The value of vesting RSUs and PSUs has been determined based on the C$6.37 closing price of the Shares on the TSX on April 30, 2026.</w:t>
      </w:r>
    </w:p>
    <w:p>
      <w:pPr>
        <w:ind w:left="520" w:hanging="415"/>
        <w:spacing w:after="0"/>
        <w:tabs>
          <w:tab w:leader="none" w:pos="520" w:val="left"/>
        </w:tabs>
        <w:numPr>
          <w:ilvl w:val="0"/>
          <w:numId w:val="35"/>
        </w:numPr>
        <w:rPr>
          <w:rFonts w:ascii="Arial" w:cs="Arial" w:eastAsia="Arial" w:hAnsi="Arial"/>
          <w:sz w:val="16"/>
          <w:szCs w:val="16"/>
          <w:i w:val="1"/>
          <w:iCs w:val="1"/>
          <w:color w:val="003445"/>
        </w:rPr>
      </w:pPr>
      <w:r>
        <w:rPr>
          <w:rFonts w:ascii="Arial" w:cs="Arial" w:eastAsia="Arial" w:hAnsi="Arial"/>
          <w:sz w:val="16"/>
          <w:szCs w:val="16"/>
          <w:i w:val="1"/>
          <w:iCs w:val="1"/>
          <w:color w:val="003445"/>
        </w:rPr>
        <w:t>Converted from U.S. dollars to Canadian dollars using the Bank of Canada exchange rate on April 30, 2026, being US$1 to C$1.3624.</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The payments provided upon termination under each NEO’s employment agreement are further summarized below.</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Michael Garcia, Former Chief Executive Officer</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9"/>
          <w:szCs w:val="19"/>
          <w:color w:val="auto"/>
        </w:rPr>
        <w:t>If Mr. Garcia’s employment had been terminated for cause, he would have received the sum of his accrued but unpaid base salary, earned but unused vacation pay, earned but unpaid annual bonus in respect of any fiscal year completed prior to his termination date, and reimbursement for unreimbursed business expenses properly incurred (the “</w:t>
      </w:r>
      <w:r>
        <w:rPr>
          <w:rFonts w:ascii="Arial" w:cs="Arial" w:eastAsia="Arial" w:hAnsi="Arial"/>
          <w:sz w:val="19"/>
          <w:szCs w:val="19"/>
          <w:b w:val="1"/>
          <w:bCs w:val="1"/>
          <w:color w:val="auto"/>
        </w:rPr>
        <w:t>Garcia Accrued</w:t>
      </w:r>
      <w:r>
        <w:rPr>
          <w:rFonts w:ascii="Arial" w:cs="Arial" w:eastAsia="Arial" w:hAnsi="Arial"/>
          <w:sz w:val="19"/>
          <w:szCs w:val="19"/>
          <w:color w:val="auto"/>
        </w:rPr>
        <w:t xml:space="preserve"> </w:t>
      </w:r>
      <w:r>
        <w:rPr>
          <w:rFonts w:ascii="Arial" w:cs="Arial" w:eastAsia="Arial" w:hAnsi="Arial"/>
          <w:sz w:val="19"/>
          <w:szCs w:val="19"/>
          <w:b w:val="1"/>
          <w:bCs w:val="1"/>
          <w:color w:val="auto"/>
        </w:rPr>
        <w:t>Amounts</w:t>
      </w:r>
      <w:r>
        <w:rPr>
          <w:rFonts w:ascii="Arial" w:cs="Arial" w:eastAsia="Arial" w:hAnsi="Arial"/>
          <w:sz w:val="19"/>
          <w:szCs w:val="19"/>
          <w:color w:val="auto"/>
        </w:rPr>
        <w:t>”). He would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0700"/>
          </w:cols>
          <w:pgMar w:left="600" w:top="262" w:right="599" w:bottom="1440" w:gutter="0" w:footer="0" w:header="0"/>
        </w:sectPr>
      </w:pPr>
    </w:p>
    <w:bookmarkStart w:id="68" w:name="page69"/>
    <w:bookmarkEnd w:id="68"/>
    <w:p>
      <w:pPr>
        <w:jc w:val="both"/>
        <w:spacing w:after="0" w:line="23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 xml:space="preserve">also have been entitled to participate in any benefits, additional perquisites and such other benefits as required by the </w:t>
      </w:r>
      <w:r>
        <w:rPr>
          <w:rFonts w:ascii="Arial" w:cs="Arial" w:eastAsia="Arial" w:hAnsi="Arial"/>
          <w:sz w:val="19"/>
          <w:szCs w:val="19"/>
          <w:i w:val="1"/>
          <w:iCs w:val="1"/>
          <w:color w:val="auto"/>
        </w:rPr>
        <w:t>Employment Standards Act</w:t>
      </w:r>
      <w:r>
        <w:rPr>
          <w:rFonts w:ascii="Arial" w:cs="Arial" w:eastAsia="Arial" w:hAnsi="Arial"/>
          <w:sz w:val="19"/>
          <w:szCs w:val="19"/>
          <w:color w:val="auto"/>
        </w:rPr>
        <w:t>, 2000 (the “</w:t>
      </w:r>
      <w:r>
        <w:rPr>
          <w:rFonts w:ascii="Arial" w:cs="Arial" w:eastAsia="Arial" w:hAnsi="Arial"/>
          <w:sz w:val="19"/>
          <w:szCs w:val="19"/>
          <w:b w:val="1"/>
          <w:bCs w:val="1"/>
          <w:color w:val="auto"/>
        </w:rPr>
        <w:t>ESA</w:t>
      </w:r>
      <w:r>
        <w:rPr>
          <w:rFonts w:ascii="Arial" w:cs="Arial" w:eastAsia="Arial" w:hAnsi="Arial"/>
          <w:sz w:val="19"/>
          <w:szCs w:val="19"/>
          <w:color w:val="auto"/>
        </w:rPr>
        <w:t>”). Mr. Garcia’s participation in all bonus or incentive plans would have terminated</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 on his termination date, and he would not be entitled to any bonus or incentive (including his annual bonus) for the fiscal year in which the termination date occurs. Algoma would have had no other obligations to Mr. Garcia, save and except for any obligations under the ESA.</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If Mr. Garcia’s employment had been terminated without cause (other than in the event of a change of control, as discussed further below), Mr. Garcia would have received, in the form of base salary continuance: (a) if his service was less than four years, 12 months’ base salary; (b) if his service was more than four years but less than 10 years, 18 months’ base salary; or</w:t>
      </w:r>
    </w:p>
    <w:p>
      <w:pPr>
        <w:spacing w:after="0" w:line="2" w:lineRule="exact"/>
        <w:rPr>
          <w:sz w:val="20"/>
          <w:szCs w:val="20"/>
          <w:color w:val="auto"/>
        </w:rPr>
      </w:pPr>
    </w:p>
    <w:p>
      <w:pPr>
        <w:jc w:val="both"/>
        <w:spacing w:after="0" w:line="239" w:lineRule="auto"/>
        <w:tabs>
          <w:tab w:leader="none" w:pos="282"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his service was 10 years or more, 24 months’ base salary (the “</w:t>
      </w:r>
      <w:r>
        <w:rPr>
          <w:rFonts w:ascii="Arial" w:cs="Arial" w:eastAsia="Arial" w:hAnsi="Arial"/>
          <w:sz w:val="19"/>
          <w:szCs w:val="19"/>
          <w:b w:val="1"/>
          <w:bCs w:val="1"/>
          <w:color w:val="auto"/>
        </w:rPr>
        <w:t>Garcia Salary Continuance Period</w:t>
      </w:r>
      <w:r>
        <w:rPr>
          <w:rFonts w:ascii="Arial" w:cs="Arial" w:eastAsia="Arial" w:hAnsi="Arial"/>
          <w:sz w:val="19"/>
          <w:szCs w:val="19"/>
          <w:color w:val="auto"/>
        </w:rPr>
        <w:t>”). Mr. Garcia would have been entitled to vest any earned RSUs and PSUs in accordance with the conditions of vesting as set forth in the respective award agreements and the Omnibus Incentive Plan.</w:t>
      </w:r>
    </w:p>
    <w:p>
      <w:pPr>
        <w:spacing w:after="0" w:line="168"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In the event of a change of control, if Mr. Garcia’s employment had been terminated without cause, or he resigned due to constructive dismissal, within, if it is a direct consequence of an anticipated change of control, six months prior to a change of control or within one year following a change of control, he would have been entitled to a lump sum severance in an amount equal to: (a) 30 months’ base salary; and (b) a pro rata VCIP payment for the period up to the termination date and then, for the 24 month period after the termination date, a VCIP payment at full target under the VCIP. Mr. Garcia would have further be entitled to reimbursement of reasonable moving expenses up to a maximum of US$75,000 (C$102,180, calculated using the Bank of Canada exchange rate on April 30, 2026, being US$1 to C$1.3624), in connection with the relocation of his residence from Sault Ste. Marie, Ontario to Tucson, Arizona (or its vicinity). Mr. Garcia would have been entitled to vest any earned RSUs and PSUs in accordance with the conditions of vesting as set forth in the respective award agreements and the Omnibus Incentive Plan. For PSUs issued in 2025, if there was a change in control prior to the final measurement date for PSU vesting, and there was accelerated vesting of the PSUs pursuant to Section 10.2(b)(i) of the Omnibus Equity Incentive Plan, then PSU vesting would have been at the greater of (i) 100% and (ii) the amount that would be eligible to vest using a performance period that starts on the initial measurement date and ends on the later of (A) the date that the change in control was completed and (B) the earlier of the date on which Mr. Garcia’s employment was terminated without cause or the Company’s shares cease to be publicly traded.</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In certain circumstances, Mr. Garcia would have received amounts payable prior to the termination date in accordance with the VCIP and would have been entitled to receive a pro rata VCIP payment at full target under the plan for the partial fiscal year up to the termination date. During the Garcia Salary Continuance Period or until he obtains alternate employment, Mr. Garcia would have, (a) subject to and in accordance with the terms of the applicable benefit plan, received medical, dental and life insurance coverage; and (b) subject to and in accordance with the terms of the applicable retirement plan, participated in the retirement plans.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the event Mr. Garcia’s employment had been terminated following his death or disability, no compensation would have been owed by Algoma to him or his estate other than the Garcia Accrued Amounts, if any, and any amounts that may have been owing under the ESA.</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0680"/>
          </w:cols>
          <w:pgMar w:left="600" w:top="262" w:right="619" w:bottom="1440" w:gutter="0" w:footer="0" w:header="0"/>
        </w:sectPr>
      </w:pPr>
    </w:p>
    <w:bookmarkStart w:id="69" w:name="page70"/>
    <w:bookmarkEnd w:id="69"/>
    <w:p>
      <w:pPr>
        <w:spacing w:after="0"/>
        <w:rPr>
          <w:sz w:val="20"/>
          <w:szCs w:val="20"/>
          <w:color w:val="auto"/>
        </w:rPr>
      </w:pPr>
      <w:r>
        <w:rPr>
          <w:rFonts w:ascii="Arial" w:cs="Arial" w:eastAsia="Arial" w:hAnsi="Arial"/>
          <w:sz w:val="19"/>
          <w:szCs w:val="19"/>
          <w:b w:val="1"/>
          <w:bCs w:val="1"/>
          <w:u w:val="single" w:color="auto"/>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Rajat Marwah, Chief Executive Officer and Former President and Chief Financial Officer</w:t>
      </w:r>
    </w:p>
    <w:p>
      <w:pPr>
        <w:spacing w:after="0" w:line="20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If Mr. Marwah’s employment is terminated for cause, he will receive the sum of his accrued but unpaid base salary, earned but unused vacation pay, earned but unpaid VCIP payments, and reimbursement for unreimbursed business expenses properly incurred (collectively, the “</w:t>
      </w:r>
      <w:r>
        <w:rPr>
          <w:rFonts w:ascii="Arial" w:cs="Arial" w:eastAsia="Arial" w:hAnsi="Arial"/>
          <w:sz w:val="19"/>
          <w:szCs w:val="19"/>
          <w:b w:val="1"/>
          <w:bCs w:val="1"/>
          <w:color w:val="auto"/>
        </w:rPr>
        <w:t>Accrued Amounts</w:t>
      </w:r>
      <w:r>
        <w:rPr>
          <w:rFonts w:ascii="Arial" w:cs="Arial" w:eastAsia="Arial" w:hAnsi="Arial"/>
          <w:sz w:val="19"/>
          <w:szCs w:val="19"/>
          <w:color w:val="auto"/>
        </w:rPr>
        <w:t>”). Algoma will have no other obligations to Mr. Marwah, save and except for any obligations under the ESA.</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If Mr. Marwah’s employment is terminated without cause (other than in the event of a change of control, as discussed further below), Mr. Marwah will receive 24 months’ base salary (the “</w:t>
      </w:r>
      <w:r>
        <w:rPr>
          <w:rFonts w:ascii="Arial" w:cs="Arial" w:eastAsia="Arial" w:hAnsi="Arial"/>
          <w:sz w:val="19"/>
          <w:szCs w:val="19"/>
          <w:b w:val="1"/>
          <w:bCs w:val="1"/>
          <w:color w:val="auto"/>
        </w:rPr>
        <w:t>Salary Continuance Period</w:t>
      </w:r>
      <w:r>
        <w:rPr>
          <w:rFonts w:ascii="Arial" w:cs="Arial" w:eastAsia="Arial" w:hAnsi="Arial"/>
          <w:sz w:val="19"/>
          <w:szCs w:val="19"/>
          <w:color w:val="auto"/>
        </w:rPr>
        <w:t>”). Mr. Marwah is entitled to vest any earned RSUs and PSUs in accordance with the conditions of vesting as set forth in the respective award agreements and the Omnibus Incentive Plan.</w:t>
      </w:r>
    </w:p>
    <w:p>
      <w:pPr>
        <w:spacing w:after="0" w:line="163"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In the event of a change of control, if Mr. Marwah’s employment is terminated without cause, or he resigns due to constructive dismissal, within, if it is a direct consequence of an anticipated change of control, six months prior to a change of control or within one year following a change of control, he will be entitled to a lump sum severance in an amount equal to 30 months’ base salary; and (b) a pro rata VCIP payment for the period up to the termination date and then, for the 24 month period after the termination date, a VCIP payment at full target under the VCIP. Mr. Marwah is entitled to vest any earned RSUs and PSUs in accordance with the conditions of vesting as set forth in the respective award agreements and the Omnibus Incentive Plan. For PSUs issued in 2025, if there is a change in control prior to the final measurement date for PSU vesting, and there is accelerated vesting of the PSUs pursuant to Section 10.2(b)(i) of the Omnibus Equity Incentive Plan, then PSU vesting will be at the greater of (i) 100% and (ii) the amount that would be eligible to vest using a performance period that starts on the initial measurement date and ends on the later of (A) the date that the change in control is completed and (B) the earlier of the date on which Mr. Marwah’s employment is terminated without cause or the Company’s shares cease to be publicly traded.</w:t>
      </w:r>
    </w:p>
    <w:p>
      <w:pPr>
        <w:spacing w:after="0" w:line="172"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In certain circumstances, Mr. Marwah will receive amounts payable prior to the termination date in accordance with the VCIP and will be entitled to receive a pro rata VCIP payment at full target under the plan for the partial fiscal year up to the termination date. During the Salary Continuance Period or until he obtains alternate employment, Mr. Marwah will, (a) subject to and in accordance with the terms of the applicable benefit plan, receive medical, dental and life insurance coverage; and</w:t>
      </w:r>
    </w:p>
    <w:p>
      <w:pPr>
        <w:spacing w:after="0" w:line="1" w:lineRule="exact"/>
        <w:rPr>
          <w:sz w:val="20"/>
          <w:szCs w:val="20"/>
          <w:color w:val="auto"/>
        </w:rPr>
      </w:pPr>
    </w:p>
    <w:p>
      <w:pPr>
        <w:jc w:val="both"/>
        <w:spacing w:after="0" w:line="239" w:lineRule="auto"/>
        <w:tabs>
          <w:tab w:leader="none" w:pos="339" w:val="left"/>
        </w:tabs>
        <w:numPr>
          <w:ilvl w:val="0"/>
          <w:numId w:val="37"/>
        </w:numPr>
        <w:rPr>
          <w:rFonts w:ascii="Arial" w:cs="Arial" w:eastAsia="Arial" w:hAnsi="Arial"/>
          <w:sz w:val="19"/>
          <w:szCs w:val="19"/>
          <w:color w:val="auto"/>
        </w:rPr>
      </w:pPr>
      <w:r>
        <w:rPr>
          <w:rFonts w:ascii="Arial" w:cs="Arial" w:eastAsia="Arial" w:hAnsi="Arial"/>
          <w:sz w:val="19"/>
          <w:szCs w:val="19"/>
          <w:color w:val="auto"/>
        </w:rPr>
        <w:t>subject to and in accordance with the terms of the applicable retirement plan, participate in the retirement plans. Mr. Marwah will also receive short or long-term disability benefit coverage during the period corresponding to the statutory notice period as required under the ESA.</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In the event Mr. Marwah’s employment is terminated following his death, no compensation will be owed by Algoma to him or his estate other than the Accrued Amounts, if any, and any amounts that may be owing under the ESA.</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John Naccarato, Vice President – Strategy and Chief Legal Officer</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If Mr. Naccarato’s employment is terminated for cause, he will receive the sum of his Accrued Amounts and Algoma will have no other obligations to Mr. Naccarato, save and except for any obligations under the ESA.</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If Mr. Naccarato’s employment is terminated without cause (other than in the event of a change of control, as discussed further below), Mr. Naccarato will continue to receive his base salary</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0680"/>
          </w:cols>
          <w:pgMar w:left="600" w:top="260" w:right="619" w:bottom="1440" w:gutter="0" w:footer="0" w:header="0"/>
        </w:sectPr>
      </w:pPr>
    </w:p>
    <w:bookmarkStart w:id="70" w:name="page71"/>
    <w:bookmarkEnd w:id="70"/>
    <w:p>
      <w:pPr>
        <w:jc w:val="both"/>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during the Salary Continuance Period. Mr. Naccarato is entitled to vest any earned RSUs and PSUs in accordance with the conditions of vesting as set forth in the respective award agreements and the Omnibus Incentive Plan.</w:t>
      </w:r>
    </w:p>
    <w:p>
      <w:pPr>
        <w:spacing w:after="0" w:line="141"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In the event of a change of control, if Mr. Naccarato’s employment is terminated without cause, or he resigns due to constructive dismissal, within, if it is a direct consequence of an anticipated change of control, six months prior to a change of control or within one year following a change of control, he will be entitled to a lump sum severance in an amount equal to:</w:t>
      </w:r>
    </w:p>
    <w:p>
      <w:pPr>
        <w:spacing w:after="0" w:line="2" w:lineRule="exact"/>
        <w:rPr>
          <w:sz w:val="20"/>
          <w:szCs w:val="20"/>
          <w:color w:val="auto"/>
        </w:rPr>
      </w:pPr>
    </w:p>
    <w:p>
      <w:pPr>
        <w:jc w:val="both"/>
        <w:spacing w:after="0" w:line="233" w:lineRule="auto"/>
        <w:tabs>
          <w:tab w:leader="none" w:pos="305" w:val="left"/>
        </w:tabs>
        <w:numPr>
          <w:ilvl w:val="0"/>
          <w:numId w:val="38"/>
        </w:numPr>
        <w:rPr>
          <w:rFonts w:ascii="Arial" w:cs="Arial" w:eastAsia="Arial" w:hAnsi="Arial"/>
          <w:sz w:val="19"/>
          <w:szCs w:val="19"/>
          <w:color w:val="auto"/>
        </w:rPr>
      </w:pPr>
      <w:r>
        <w:rPr>
          <w:rFonts w:ascii="Arial" w:cs="Arial" w:eastAsia="Arial" w:hAnsi="Arial"/>
          <w:sz w:val="19"/>
          <w:szCs w:val="19"/>
          <w:color w:val="auto"/>
        </w:rPr>
        <w:t>30 months’ base salary; and (b) a pro rata VCIP payment for the period up to the termination date and then, for the 24 month period after the termination date, a VCIP payment at full target under the VCIP. Mr. Naccarato is entitled to vest any earned RSUs and PSUs in accordance with the conditions of vesting as set forth in the respective award agreements and the Omnibus Incentive Plan. For PSUs issued in 2025, if there is a change in control prior to the final measurement date for PSU vesting, and there is accelerated vesting of the PSUs pursuant to Section 10.2(b)(i) of the Omnibus Equity Incentive Plan, then PSU vesting will be at the greater of (i) 100% and (ii) the amount that would be eligible to vest using a performance period that starts on the initial measurement date and ends on the later of (A) the date that the change in control is completed and (B) the earlier of the date on which Mr. Naccarato’s employment is terminated without cause or the Company’s shares cease to be publicly traded.</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In certain circumstances, Mr. Naccarato will receive amounts payable prior to the termination date in accordance with the VCIP and will be entitled to receive a pro rata VCIP payment at full target under the plan for the partial fiscal year up to the termination date. During the Salary Continuance Period or until he obtains alternate employment, Mr. Naccarato will,</w:t>
      </w:r>
    </w:p>
    <w:p>
      <w:pPr>
        <w:spacing w:after="0" w:line="2" w:lineRule="exact"/>
        <w:rPr>
          <w:sz w:val="20"/>
          <w:szCs w:val="20"/>
          <w:color w:val="auto"/>
        </w:rPr>
      </w:pPr>
    </w:p>
    <w:p>
      <w:pPr>
        <w:jc w:val="both"/>
        <w:spacing w:after="0" w:line="235" w:lineRule="auto"/>
        <w:tabs>
          <w:tab w:leader="none" w:pos="319" w:val="left"/>
        </w:tabs>
        <w:numPr>
          <w:ilvl w:val="0"/>
          <w:numId w:val="39"/>
        </w:numPr>
        <w:rPr>
          <w:rFonts w:ascii="Arial" w:cs="Arial" w:eastAsia="Arial" w:hAnsi="Arial"/>
          <w:sz w:val="19"/>
          <w:szCs w:val="19"/>
          <w:color w:val="auto"/>
        </w:rPr>
      </w:pPr>
      <w:r>
        <w:rPr>
          <w:rFonts w:ascii="Arial" w:cs="Arial" w:eastAsia="Arial" w:hAnsi="Arial"/>
          <w:sz w:val="19"/>
          <w:szCs w:val="19"/>
          <w:color w:val="auto"/>
        </w:rPr>
        <w:t>subject to and in accordance with the terms of the applicable benefit plan, receive medical, dental and life insurance coverage; (b) subject to and in accordance with the terms of the applicable retirement plan, participate in the retirement plans; and (c) receive a continuation of the applicable perquisites set out in his employment agreement. Mr. Naccarato will also receive short or long-term disability benefit coverage during the period corresponding to the statutory notice period as required under the ESA.</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the event Mr. Naccarato’s employment is terminated following his death or disability, no compensation will be owed by Algoma to him or his estate other than the Accrued Amounts, if any, and any amounts that may be owing under the ESA.</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Mark Nogalo, Former Vice President – Strategic Transformation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If Mr. Nogalo’s employment had been terminated for cause, he would have received the sum of his Accrued Amounts and Algoma would have had no other obligations to Mr. Nogalo, save and except for any obligations under the ESA.</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If Mr. Nogalo’s employment had been terminated without cause (other than in the event of a change of control, as discussed further below), Mr. Nogalo would have continued to receive his base salary during the Salary Continuance Period. Mr. Nogalo would have been entitled to vest any earned RSUs and PSUs in accordance with the conditions of vesting as set forth in the respective award agreements and the Omnibus Incentive Plan.</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the event of a change of control, if Mr. Nogalo’s employment had been terminated without cause, or he resigned due to constructive dismissal, within, if it had been a direct consequence of an anticipated change of control, six months prior to a change of control or within one year following a change of control, he would have been entitled to severance in an amount equal to</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0680"/>
          </w:cols>
          <w:pgMar w:left="600" w:top="262" w:right="619" w:bottom="1440" w:gutter="0" w:footer="0" w:header="0"/>
        </w:sectPr>
      </w:pPr>
    </w:p>
    <w:bookmarkStart w:id="71" w:name="page72"/>
    <w:bookmarkEnd w:id="71"/>
    <w:p>
      <w:pPr>
        <w:jc w:val="both"/>
        <w:spacing w:after="0" w:line="235" w:lineRule="auto"/>
        <w:tabs>
          <w:tab w:leader="none" w:pos="305" w:val="left"/>
        </w:tabs>
        <w:numPr>
          <w:ilvl w:val="0"/>
          <w:numId w:val="40"/>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30 months’ base salary; and (b) a pro rata VCIP payment for the period up to the termination date and then, for the 24 month period after the termination date, a VCIP payment at full target under the VCIP. Mr. Nogalo would have been entitled to vest any earned RSUs and PSUs in accordance with the conditions of vesting as set forth in the respective award agreements and the Omnibus Incentive Plan. For PSUs issued in 2025, if there is a change in control prior to the final measurement date for PSU vesting, and there is accelerated vesting of the PSUs pursuant to Section 10.2(b)(i) of the Omnibus Equity Incentive Plan, then PSU vesting will be at the greater of (i) 100% and (ii) the amount that would be eligible to vest using a performance period that starts on the initial measurement date and ends on the later of (A) the date that the change in control is completed and (B) the earlier of the date on which Mr. Nogalo’s employment is terminated without cause or the Company’s shares cease to be publicly traded.</w:t>
      </w:r>
    </w:p>
    <w:p>
      <w:pPr>
        <w:spacing w:after="0" w:line="17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In certain circumstances, Mr. Nogalo would have received amounts payable prior to the termination date in accordance with the VCIP and would have been entitled to receive a pro rata VCIP payment at full target under the plan for the partial fiscal year up to the termination date. During the Salary Continuance Period or until he obtained alternate employment, Mr. Nogalo would have, (a) subject to and in accordance with the terms of the applicable benefit plan, received medical, dental and life insurance coverage; and (b) subject to and in accordance with the terms of the applicable retirement plan, participated in the retirement plans. Mr. Nogalo would have also received short or long-term disability benefit coverage during the period corresponding to the statutory notice period as required under the ESA.</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the event Mr. Nogalo’s employment had been terminated following his death or disability, no compensation would have been owed by Algoma to him or his estate other than the Accrued Amounts, if any, and any amounts that may be owing under the ESA.</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Michael Panzeri, Senior Vice-President – Production</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If Mr. Panzeri’s employment is terminated for cause, he will receive the sum of his Accrued Amounts and Algoma will have no other obligations to Mr. Panzeri, save and except for any obligations under the ESA.</w:t>
      </w:r>
    </w:p>
    <w:p>
      <w:pPr>
        <w:spacing w:after="0" w:line="14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If Mr. Panzeri’s employment is terminated without cause (other than in the event of a change of control, as discussed further below), Mr. Panzeri will receive, in the form of base salary continuance, (a) if his service is less than four years, 12 months’ base salary; (b) if his service is more than four years but less than 10 years, 18 months’ base salary; or (c) if his service is 10 years or more, 24 months’ base salary (the “</w:t>
      </w:r>
      <w:r>
        <w:rPr>
          <w:rFonts w:ascii="Arial" w:cs="Arial" w:eastAsia="Arial" w:hAnsi="Arial"/>
          <w:sz w:val="19"/>
          <w:szCs w:val="19"/>
          <w:b w:val="1"/>
          <w:bCs w:val="1"/>
          <w:color w:val="auto"/>
        </w:rPr>
        <w:t>Panzeri Salary Continuance Period</w:t>
      </w:r>
      <w:r>
        <w:rPr>
          <w:rFonts w:ascii="Arial" w:cs="Arial" w:eastAsia="Arial" w:hAnsi="Arial"/>
          <w:sz w:val="19"/>
          <w:szCs w:val="19"/>
          <w:color w:val="auto"/>
        </w:rPr>
        <w:t>”). Mr. Panzeri is entitled to vest any earned RSUs and PSUs in accordance with the conditions of vesting as set forth in the respective award agreements and the Omnibus Incentive Plan.</w:t>
      </w:r>
    </w:p>
    <w:p>
      <w:pPr>
        <w:spacing w:after="0" w:line="167"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In the event of a change of control, if Mr. Panzeri’s employment is terminated without cause, or he resigns due to constructive dismissal, within, if it is a direct consequence of an anticipated change of control, six months prior to a change of control or within one year following a change of control, he will be entitled to a lump sum severance in an amount equal to: (a) 1.5 times the total amount of base salary that otherwise was to have been provided during the Panzeri Salary Continuance Period, to a maximum payment of 30 months’ base salary; and (b) a pro rata VCIP payment for the period up to the termination date and then, for the 24 month period after the termination date, a VCIP payment at full target under the VCIP. Mr. Panzeri is entitled to vest any earned RSUs and PSUs in accordance with the conditions of vesting as set forth in the respective award agreements and the Omnibus Incentive Plan. For PSUs issued in 2025, if there is a change in control prior to the final measurement date for PSU vesting, and there is accelerated vesting of</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0680"/>
          </w:cols>
          <w:pgMar w:left="600" w:top="262" w:right="619" w:bottom="1440" w:gutter="0" w:footer="0" w:header="0"/>
        </w:sectPr>
      </w:pPr>
    </w:p>
    <w:bookmarkStart w:id="72" w:name="page73"/>
    <w:bookmarkEnd w:id="72"/>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PSUs pursuant to Section 10.2(b)(i) of the Omnibus Equity Incentive Plan, then PSU vesting will be at the greater of</w:t>
      </w:r>
    </w:p>
    <w:p>
      <w:pPr>
        <w:spacing w:after="0" w:line="9" w:lineRule="exact"/>
        <w:rPr>
          <w:sz w:val="20"/>
          <w:szCs w:val="20"/>
          <w:color w:val="auto"/>
        </w:rPr>
      </w:pPr>
    </w:p>
    <w:p>
      <w:pPr>
        <w:jc w:val="both"/>
        <w:ind w:right="20"/>
        <w:spacing w:after="0" w:line="239" w:lineRule="auto"/>
        <w:tabs>
          <w:tab w:leader="none" w:pos="237" w:val="left"/>
        </w:tabs>
        <w:numPr>
          <w:ilvl w:val="0"/>
          <w:numId w:val="41"/>
        </w:numPr>
        <w:rPr>
          <w:rFonts w:ascii="Arial" w:cs="Arial" w:eastAsia="Arial" w:hAnsi="Arial"/>
          <w:sz w:val="19"/>
          <w:szCs w:val="19"/>
          <w:color w:val="auto"/>
        </w:rPr>
      </w:pPr>
      <w:r>
        <w:rPr>
          <w:rFonts w:ascii="Arial" w:cs="Arial" w:eastAsia="Arial" w:hAnsi="Arial"/>
          <w:sz w:val="19"/>
          <w:szCs w:val="19"/>
          <w:color w:val="auto"/>
        </w:rPr>
        <w:t>100% and (ii) the amount that would be eligible to vest using a performance period that starts on the initial measurement date and ends on the later of (A) the date that the change in control is completed and (B) the earlier of the date on which Mr. Panzeri’s employment is terminated without cause or the Company’s shares cease to be publicly traded.</w:t>
      </w:r>
    </w:p>
    <w:p>
      <w:pPr>
        <w:spacing w:after="0" w:line="168"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In certain circumstances, Mr. Panzeri will receive amounts payable prior to the termination date in accordance with the VCIP and will be entitled to receive a pro rata VCIP payment at full target under the plan for the partial fiscal year up to the termination date. During the Panzeri Salary Continuance Period or until he obtains alternate employment, Mr. Panzeri will,</w:t>
      </w:r>
    </w:p>
    <w:p>
      <w:pPr>
        <w:spacing w:after="0" w:line="2" w:lineRule="exact"/>
        <w:rPr>
          <w:sz w:val="20"/>
          <w:szCs w:val="20"/>
          <w:color w:val="auto"/>
        </w:rPr>
      </w:pPr>
    </w:p>
    <w:p>
      <w:pPr>
        <w:jc w:val="both"/>
        <w:ind w:right="20"/>
        <w:spacing w:after="0" w:line="239" w:lineRule="auto"/>
        <w:tabs>
          <w:tab w:leader="none" w:pos="319" w:val="left"/>
        </w:tabs>
        <w:numPr>
          <w:ilvl w:val="0"/>
          <w:numId w:val="42"/>
        </w:numPr>
        <w:rPr>
          <w:rFonts w:ascii="Arial" w:cs="Arial" w:eastAsia="Arial" w:hAnsi="Arial"/>
          <w:sz w:val="19"/>
          <w:szCs w:val="19"/>
          <w:color w:val="auto"/>
        </w:rPr>
      </w:pPr>
      <w:r>
        <w:rPr>
          <w:rFonts w:ascii="Arial" w:cs="Arial" w:eastAsia="Arial" w:hAnsi="Arial"/>
          <w:sz w:val="19"/>
          <w:szCs w:val="19"/>
          <w:color w:val="auto"/>
        </w:rPr>
        <w:t>subject to and in accordance with the terms of the applicable benefit plan, receive medical, dental and life insurance coverage. Mr. Panzeri will also receive short or long-term disability benefit coverage during the period corresponding to the statutory notice period as required under the ESA.</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Burn Rate</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The following table sets forth the annual burn rate, calculated in accordance with the rules of the Toronto Stock Exchange (TSX), in respect of the Omnibus Incentive Plan for the most recently completed financial years:</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6780" w:type="dxa"/>
            <w:vAlign w:val="bottom"/>
            <w:tcBorders>
              <w:top w:val="single" w:sz="8" w:color="auto"/>
              <w:left w:val="single" w:sz="8" w:color="auto"/>
              <w:bottom w:val="single" w:sz="8" w:color="auto"/>
              <w:right w:val="single" w:sz="8" w:color="auto"/>
            </w:tcBorders>
            <w:shd w:val="clear" w:color="auto" w:fill="003445"/>
          </w:tcPr>
          <w:p>
            <w:pPr>
              <w:ind w:left="3260"/>
              <w:spacing w:after="0"/>
              <w:rPr>
                <w:sz w:val="20"/>
                <w:szCs w:val="20"/>
                <w:color w:val="auto"/>
              </w:rPr>
            </w:pPr>
            <w:r>
              <w:rPr>
                <w:rFonts w:ascii="Arial" w:cs="Arial" w:eastAsia="Arial" w:hAnsi="Arial"/>
                <w:sz w:val="19"/>
                <w:szCs w:val="19"/>
                <w:b w:val="1"/>
                <w:bCs w:val="1"/>
                <w:color w:val="FFFFFF"/>
              </w:rPr>
              <w:t>Plan</w:t>
            </w:r>
          </w:p>
        </w:tc>
        <w:tc>
          <w:tcPr>
            <w:tcW w:w="1980" w:type="dxa"/>
            <w:vAlign w:val="bottom"/>
            <w:tcBorders>
              <w:top w:val="single" w:sz="8" w:color="auto"/>
              <w:bottom w:val="single" w:sz="8" w:color="auto"/>
              <w:right w:val="single" w:sz="8" w:color="auto"/>
            </w:tcBorders>
            <w:shd w:val="clear" w:color="auto" w:fill="003445"/>
          </w:tcPr>
          <w:p>
            <w:pPr>
              <w:ind w:left="520"/>
              <w:spacing w:after="0"/>
              <w:rPr>
                <w:sz w:val="20"/>
                <w:szCs w:val="20"/>
                <w:color w:val="auto"/>
              </w:rPr>
            </w:pPr>
            <w:r>
              <w:rPr>
                <w:rFonts w:ascii="Arial" w:cs="Arial" w:eastAsia="Arial" w:hAnsi="Arial"/>
                <w:sz w:val="19"/>
                <w:szCs w:val="19"/>
                <w:b w:val="1"/>
                <w:bCs w:val="1"/>
                <w:color w:val="FFFFFF"/>
              </w:rPr>
              <w:t>Fiscal 2024</w:t>
            </w:r>
          </w:p>
        </w:tc>
        <w:tc>
          <w:tcPr>
            <w:tcW w:w="1940" w:type="dxa"/>
            <w:vAlign w:val="bottom"/>
            <w:tcBorders>
              <w:top w:val="single" w:sz="8" w:color="auto"/>
              <w:bottom w:val="single" w:sz="8" w:color="auto"/>
              <w:right w:val="single" w:sz="8" w:color="auto"/>
            </w:tcBorders>
            <w:shd w:val="clear" w:color="auto" w:fill="003445"/>
          </w:tcPr>
          <w:p>
            <w:pPr>
              <w:ind w:left="480"/>
              <w:spacing w:after="0"/>
              <w:rPr>
                <w:sz w:val="20"/>
                <w:szCs w:val="20"/>
                <w:color w:val="auto"/>
              </w:rPr>
            </w:pPr>
            <w:r>
              <w:rPr>
                <w:rFonts w:ascii="Arial" w:cs="Arial" w:eastAsia="Arial" w:hAnsi="Arial"/>
                <w:sz w:val="19"/>
                <w:szCs w:val="19"/>
                <w:b w:val="1"/>
                <w:bCs w:val="1"/>
                <w:color w:val="FFFFFF"/>
              </w:rPr>
              <w:t>Fiscal 2025</w:t>
            </w:r>
          </w:p>
        </w:tc>
        <w:tc>
          <w:tcPr>
            <w:tcW w:w="0" w:type="dxa"/>
            <w:vAlign w:val="bottom"/>
          </w:tcPr>
          <w:p>
            <w:pPr>
              <w:spacing w:after="0"/>
              <w:rPr>
                <w:sz w:val="1"/>
                <w:szCs w:val="1"/>
                <w:color w:val="auto"/>
              </w:rPr>
            </w:pPr>
          </w:p>
        </w:tc>
      </w:tr>
      <w:tr>
        <w:trPr>
          <w:trHeight w:val="194"/>
        </w:trPr>
        <w:tc>
          <w:tcPr>
            <w:tcW w:w="6780" w:type="dxa"/>
            <w:vAlign w:val="bottom"/>
            <w:tcBorders>
              <w:left w:val="single" w:sz="8" w:color="auto"/>
              <w:right w:val="single" w:sz="8" w:color="auto"/>
            </w:tcBorders>
          </w:tcPr>
          <w:p>
            <w:pPr>
              <w:ind w:left="160"/>
              <w:spacing w:after="0" w:line="194" w:lineRule="exact"/>
              <w:rPr>
                <w:sz w:val="20"/>
                <w:szCs w:val="20"/>
                <w:color w:val="auto"/>
              </w:rPr>
            </w:pPr>
            <w:r>
              <w:rPr>
                <w:rFonts w:ascii="Arial" w:cs="Arial" w:eastAsia="Arial" w:hAnsi="Arial"/>
                <w:sz w:val="19"/>
                <w:szCs w:val="19"/>
                <w:color w:val="auto"/>
              </w:rPr>
              <w:t>Number of securities (including options) granted under the Omnibus Incentive</w:t>
            </w:r>
          </w:p>
        </w:tc>
        <w:tc>
          <w:tcPr>
            <w:tcW w:w="1980" w:type="dxa"/>
            <w:vAlign w:val="bottom"/>
            <w:tcBorders>
              <w:right w:val="single" w:sz="8" w:color="auto"/>
            </w:tcBorders>
            <w:vMerge w:val="restart"/>
          </w:tcPr>
          <w:p>
            <w:pPr>
              <w:jc w:val="right"/>
              <w:ind w:right="424"/>
              <w:spacing w:after="0"/>
              <w:rPr>
                <w:sz w:val="20"/>
                <w:szCs w:val="20"/>
                <w:color w:val="auto"/>
              </w:rPr>
            </w:pPr>
            <w:r>
              <w:rPr>
                <w:rFonts w:ascii="Arial" w:cs="Arial" w:eastAsia="Arial" w:hAnsi="Arial"/>
                <w:sz w:val="19"/>
                <w:szCs w:val="19"/>
                <w:color w:val="auto"/>
              </w:rPr>
              <w:t>1,093,038</w:t>
            </w:r>
          </w:p>
        </w:tc>
        <w:tc>
          <w:tcPr>
            <w:tcW w:w="1940" w:type="dxa"/>
            <w:vAlign w:val="bottom"/>
            <w:tcBorders>
              <w:right w:val="single" w:sz="8" w:color="auto"/>
            </w:tcBorders>
            <w:vMerge w:val="restart"/>
          </w:tcPr>
          <w:p>
            <w:pPr>
              <w:jc w:val="right"/>
              <w:ind w:right="404"/>
              <w:spacing w:after="0"/>
              <w:rPr>
                <w:sz w:val="20"/>
                <w:szCs w:val="20"/>
                <w:color w:val="auto"/>
              </w:rPr>
            </w:pPr>
            <w:r>
              <w:rPr>
                <w:rFonts w:ascii="Arial" w:cs="Arial" w:eastAsia="Arial" w:hAnsi="Arial"/>
                <w:sz w:val="19"/>
                <w:szCs w:val="19"/>
                <w:color w:val="auto"/>
              </w:rPr>
              <w:t>1,261,355</w:t>
            </w:r>
          </w:p>
        </w:tc>
        <w:tc>
          <w:tcPr>
            <w:tcW w:w="0" w:type="dxa"/>
            <w:vAlign w:val="bottom"/>
          </w:tcPr>
          <w:p>
            <w:pPr>
              <w:spacing w:after="0"/>
              <w:rPr>
                <w:sz w:val="1"/>
                <w:szCs w:val="1"/>
                <w:color w:val="auto"/>
              </w:rPr>
            </w:pPr>
          </w:p>
        </w:tc>
      </w:tr>
      <w:tr>
        <w:trPr>
          <w:trHeight w:val="149"/>
        </w:trPr>
        <w:tc>
          <w:tcPr>
            <w:tcW w:w="67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color w:val="auto"/>
              </w:rPr>
              <w:t>Plan</w:t>
            </w:r>
          </w:p>
        </w:tc>
        <w:tc>
          <w:tcPr>
            <w:tcW w:w="1980" w:type="dxa"/>
            <w:vAlign w:val="bottom"/>
            <w:tcBorders>
              <w:right w:val="single" w:sz="8" w:color="auto"/>
            </w:tcBorders>
            <w:vMerge w:val="continue"/>
          </w:tcPr>
          <w:p>
            <w:pPr>
              <w:spacing w:after="0"/>
              <w:rPr>
                <w:sz w:val="12"/>
                <w:szCs w:val="12"/>
                <w:color w:val="auto"/>
              </w:rPr>
            </w:pPr>
          </w:p>
        </w:tc>
        <w:tc>
          <w:tcPr>
            <w:tcW w:w="1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67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67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Weighted average of outstanding Shares</w:t>
            </w:r>
          </w:p>
        </w:tc>
        <w:tc>
          <w:tcPr>
            <w:tcW w:w="19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 xml:space="preserve">      103,793,360    </w:t>
            </w:r>
          </w:p>
        </w:tc>
        <w:tc>
          <w:tcPr>
            <w:tcW w:w="19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 xml:space="preserve">      104,924,898    </w:t>
            </w:r>
          </w:p>
        </w:tc>
        <w:tc>
          <w:tcPr>
            <w:tcW w:w="0" w:type="dxa"/>
            <w:vAlign w:val="bottom"/>
          </w:tcPr>
          <w:p>
            <w:pPr>
              <w:spacing w:after="0"/>
              <w:rPr>
                <w:sz w:val="1"/>
                <w:szCs w:val="1"/>
                <w:color w:val="auto"/>
              </w:rPr>
            </w:pPr>
          </w:p>
        </w:tc>
      </w:tr>
      <w:tr>
        <w:trPr>
          <w:trHeight w:val="242"/>
        </w:trPr>
        <w:tc>
          <w:tcPr>
            <w:tcW w:w="6780" w:type="dxa"/>
            <w:vAlign w:val="bottom"/>
            <w:tcBorders>
              <w:left w:val="single" w:sz="8" w:color="auto"/>
              <w:bottom w:val="single" w:sz="8" w:color="auto"/>
              <w:right w:val="single" w:sz="8" w:color="auto"/>
            </w:tcBorders>
          </w:tcPr>
          <w:p>
            <w:pPr>
              <w:ind w:left="160"/>
              <w:spacing w:after="0" w:line="242" w:lineRule="exact"/>
              <w:rPr>
                <w:sz w:val="20"/>
                <w:szCs w:val="20"/>
                <w:color w:val="auto"/>
              </w:rPr>
            </w:pPr>
            <w:r>
              <w:rPr>
                <w:rFonts w:ascii="Arial" w:cs="Arial" w:eastAsia="Arial" w:hAnsi="Arial"/>
                <w:sz w:val="19"/>
                <w:szCs w:val="19"/>
                <w:color w:val="auto"/>
              </w:rPr>
              <w:t>Annual Burn Rate</w:t>
            </w:r>
            <w:r>
              <w:rPr>
                <w:rFonts w:ascii="Arial" w:cs="Arial" w:eastAsia="Arial" w:hAnsi="Arial"/>
                <w:sz w:val="28"/>
                <w:szCs w:val="28"/>
                <w:color w:val="auto"/>
                <w:vertAlign w:val="superscript"/>
              </w:rPr>
              <w:t>(1)</w:t>
            </w:r>
          </w:p>
        </w:tc>
        <w:tc>
          <w:tcPr>
            <w:tcW w:w="1980" w:type="dxa"/>
            <w:vAlign w:val="bottom"/>
            <w:tcBorders>
              <w:bottom w:val="single" w:sz="8" w:color="auto"/>
              <w:right w:val="single" w:sz="8" w:color="auto"/>
            </w:tcBorders>
          </w:tcPr>
          <w:p>
            <w:pPr>
              <w:jc w:val="right"/>
              <w:ind w:right="584"/>
              <w:spacing w:after="0"/>
              <w:rPr>
                <w:sz w:val="20"/>
                <w:szCs w:val="20"/>
                <w:color w:val="auto"/>
              </w:rPr>
            </w:pPr>
            <w:r>
              <w:rPr>
                <w:rFonts w:ascii="Arial" w:cs="Arial" w:eastAsia="Arial" w:hAnsi="Arial"/>
                <w:sz w:val="19"/>
                <w:szCs w:val="19"/>
                <w:color w:val="auto"/>
              </w:rPr>
              <w:t>1.05%</w:t>
            </w:r>
          </w:p>
        </w:tc>
        <w:tc>
          <w:tcPr>
            <w:tcW w:w="1940" w:type="dxa"/>
            <w:vAlign w:val="bottom"/>
            <w:tcBorders>
              <w:bottom w:val="single" w:sz="8" w:color="auto"/>
              <w:right w:val="single" w:sz="8" w:color="auto"/>
            </w:tcBorders>
          </w:tcPr>
          <w:p>
            <w:pPr>
              <w:jc w:val="right"/>
              <w:ind w:right="564"/>
              <w:spacing w:after="0"/>
              <w:rPr>
                <w:sz w:val="20"/>
                <w:szCs w:val="20"/>
                <w:color w:val="auto"/>
              </w:rPr>
            </w:pPr>
            <w:r>
              <w:rPr>
                <w:rFonts w:ascii="Arial" w:cs="Arial" w:eastAsia="Arial" w:hAnsi="Arial"/>
                <w:sz w:val="19"/>
                <w:szCs w:val="19"/>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12223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ind w:left="520" w:right="20" w:hanging="415"/>
        <w:spacing w:after="0" w:line="302" w:lineRule="auto"/>
        <w:tabs>
          <w:tab w:leader="none" w:pos="520" w:val="left"/>
        </w:tabs>
        <w:numPr>
          <w:ilvl w:val="0"/>
          <w:numId w:val="43"/>
        </w:numPr>
        <w:rPr>
          <w:rFonts w:ascii="Arial" w:cs="Arial" w:eastAsia="Arial" w:hAnsi="Arial"/>
          <w:sz w:val="15"/>
          <w:szCs w:val="15"/>
          <w:i w:val="1"/>
          <w:iCs w:val="1"/>
          <w:color w:val="003445"/>
        </w:rPr>
      </w:pPr>
      <w:r>
        <w:rPr>
          <w:rFonts w:ascii="Arial" w:cs="Arial" w:eastAsia="Arial" w:hAnsi="Arial"/>
          <w:sz w:val="15"/>
          <w:szCs w:val="15"/>
          <w:i w:val="1"/>
          <w:iCs w:val="1"/>
          <w:color w:val="003445"/>
        </w:rPr>
        <w:t>The annual burn rate is calculated as follows and expressed as a percentage: number of securities (including options) granted under the specific plan during the applicable fiscal year / weighted average number of securities (including options) outstanding for the applicable fiscal year.</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Pension Plan Benefits</w:t>
      </w:r>
    </w:p>
    <w:p>
      <w:pPr>
        <w:spacing w:after="0" w:line="207"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The Company, through Algoma Steel Inc., provides a defined benefit plan (Pension Plan for Salaried Employees, registered under the PBA as number 1079896) (the “</w:t>
      </w:r>
      <w:r>
        <w:rPr>
          <w:rFonts w:ascii="Arial" w:cs="Arial" w:eastAsia="Arial" w:hAnsi="Arial"/>
          <w:sz w:val="19"/>
          <w:szCs w:val="19"/>
          <w:b w:val="1"/>
          <w:bCs w:val="1"/>
          <w:color w:val="auto"/>
        </w:rPr>
        <w:t>DB Plan</w:t>
      </w:r>
      <w:r>
        <w:rPr>
          <w:rFonts w:ascii="Arial" w:cs="Arial" w:eastAsia="Arial" w:hAnsi="Arial"/>
          <w:sz w:val="19"/>
          <w:szCs w:val="19"/>
          <w:color w:val="auto"/>
        </w:rPr>
        <w:t>”) and a defined contribution plan (Money Purchase Pension Plan, registered with the Financial Services Regulatory Authority of Ontario under registration number 1124106) (the “</w:t>
      </w:r>
      <w:r>
        <w:rPr>
          <w:rFonts w:ascii="Arial" w:cs="Arial" w:eastAsia="Arial" w:hAnsi="Arial"/>
          <w:sz w:val="19"/>
          <w:szCs w:val="19"/>
          <w:b w:val="1"/>
          <w:bCs w:val="1"/>
          <w:color w:val="auto"/>
        </w:rPr>
        <w:t>DC Plan</w:t>
      </w:r>
      <w:r>
        <w:rPr>
          <w:rFonts w:ascii="Arial" w:cs="Arial" w:eastAsia="Arial" w:hAnsi="Arial"/>
          <w:sz w:val="19"/>
          <w:szCs w:val="19"/>
          <w:color w:val="auto"/>
        </w:rPr>
        <w:t>”), to its NEOs (among other eligible employees). Algoma Steel Inc. also sponsors additional pension plans in which the NEOs are not entitled to participate.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Defined Benefit Plan</w:t>
      </w:r>
    </w:p>
    <w:p>
      <w:pPr>
        <w:spacing w:after="0" w:line="203"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In Fiscal 2025, Mr. Nogalo participated in the DB Plan, which includes certain salaried employees of the Company and is based on years of service and average earnings for a defined period prior to retirement. No other NEO participated in the DB Plan. A monthly pension is payable on an unreduced basis when the member attains age 60 and 10 years of service, and a bridge benefit is also payable from the unreduced age to age 65. The plan also contains various minimum benefit, pre-1988 member contribution benefit, grand-parenting, early retirement window and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0700"/>
          </w:cols>
          <w:pgMar w:left="600" w:top="262" w:right="599" w:bottom="1440" w:gutter="0" w:footer="0" w:header="0"/>
        </w:sectPr>
      </w:pPr>
    </w:p>
    <w:bookmarkStart w:id="73" w:name="page74"/>
    <w:bookmarkEnd w:id="73"/>
    <w:p>
      <w:pPr>
        <w:ind w:right="20"/>
        <w:spacing w:after="0" w:line="254"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plant closure provisions that may result in a larger or earlier unreduced pension than described above in certain circumstances.</w:t>
      </w: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provides certain information regarding the DB Plan for Fiscal 2025.</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1460" w:type="dxa"/>
            <w:vAlign w:val="bottom"/>
            <w:tcBorders>
              <w:top w:val="single" w:sz="8" w:color="auto"/>
              <w:left w:val="single" w:sz="8" w:color="auto"/>
              <w:right w:val="single" w:sz="8" w:color="auto"/>
            </w:tcBorders>
            <w:shd w:val="clear" w:color="auto" w:fill="003445"/>
          </w:tcPr>
          <w:p>
            <w:pPr>
              <w:spacing w:after="0"/>
              <w:rPr>
                <w:sz w:val="15"/>
                <w:szCs w:val="15"/>
                <w:color w:val="auto"/>
              </w:rPr>
            </w:pPr>
          </w:p>
        </w:tc>
        <w:tc>
          <w:tcPr>
            <w:tcW w:w="1200" w:type="dxa"/>
            <w:vAlign w:val="bottom"/>
            <w:tcBorders>
              <w:top w:val="single" w:sz="8" w:color="auto"/>
              <w:right w:val="single" w:sz="8" w:color="auto"/>
            </w:tcBorders>
            <w:shd w:val="clear" w:color="auto" w:fill="003445"/>
          </w:tcPr>
          <w:p>
            <w:pPr>
              <w:spacing w:after="0"/>
              <w:rPr>
                <w:sz w:val="15"/>
                <w:szCs w:val="15"/>
                <w:color w:val="auto"/>
              </w:rPr>
            </w:pPr>
          </w:p>
        </w:tc>
        <w:tc>
          <w:tcPr>
            <w:tcW w:w="2320" w:type="dxa"/>
            <w:vAlign w:val="bottom"/>
            <w:tcBorders>
              <w:top w:val="single" w:sz="8" w:color="auto"/>
              <w:right w:val="single" w:sz="8" w:color="auto"/>
            </w:tcBorders>
            <w:gridSpan w:val="3"/>
            <w:shd w:val="clear" w:color="auto" w:fill="003445"/>
          </w:tcPr>
          <w:p>
            <w:pPr>
              <w:jc w:val="center"/>
              <w:spacing w:after="0"/>
              <w:rPr>
                <w:sz w:val="20"/>
                <w:szCs w:val="20"/>
                <w:color w:val="auto"/>
              </w:rPr>
            </w:pPr>
            <w:r>
              <w:rPr>
                <w:rFonts w:ascii="Arial" w:cs="Arial" w:eastAsia="Arial" w:hAnsi="Arial"/>
                <w:sz w:val="12"/>
                <w:szCs w:val="12"/>
                <w:b w:val="1"/>
                <w:bCs w:val="1"/>
                <w:color w:val="FFFFFF"/>
              </w:rPr>
              <w:t>Annual Benefits Payable</w:t>
            </w:r>
          </w:p>
        </w:tc>
        <w:tc>
          <w:tcPr>
            <w:tcW w:w="1160" w:type="dxa"/>
            <w:vAlign w:val="bottom"/>
            <w:tcBorders>
              <w:top w:val="single" w:sz="8" w:color="auto"/>
              <w:right w:val="single" w:sz="8" w:color="auto"/>
            </w:tcBorders>
            <w:shd w:val="clear" w:color="auto" w:fill="003445"/>
          </w:tcPr>
          <w:p>
            <w:pPr>
              <w:spacing w:after="0"/>
              <w:rPr>
                <w:sz w:val="15"/>
                <w:szCs w:val="15"/>
                <w:color w:val="auto"/>
              </w:rPr>
            </w:pPr>
          </w:p>
        </w:tc>
        <w:tc>
          <w:tcPr>
            <w:tcW w:w="1180" w:type="dxa"/>
            <w:vAlign w:val="bottom"/>
            <w:tcBorders>
              <w:top w:val="single" w:sz="8" w:color="auto"/>
              <w:right w:val="single" w:sz="8" w:color="auto"/>
            </w:tcBorders>
            <w:shd w:val="clear" w:color="auto" w:fill="003445"/>
          </w:tcPr>
          <w:p>
            <w:pPr>
              <w:spacing w:after="0"/>
              <w:rPr>
                <w:sz w:val="15"/>
                <w:szCs w:val="15"/>
                <w:color w:val="auto"/>
              </w:rPr>
            </w:pPr>
          </w:p>
        </w:tc>
        <w:tc>
          <w:tcPr>
            <w:tcW w:w="1160" w:type="dxa"/>
            <w:vAlign w:val="bottom"/>
            <w:tcBorders>
              <w:top w:val="single" w:sz="8" w:color="auto"/>
              <w:right w:val="single" w:sz="8" w:color="auto"/>
            </w:tcBorders>
            <w:shd w:val="clear" w:color="auto" w:fill="003445"/>
          </w:tcPr>
          <w:p>
            <w:pPr>
              <w:spacing w:after="0"/>
              <w:rPr>
                <w:sz w:val="15"/>
                <w:szCs w:val="15"/>
                <w:color w:val="auto"/>
              </w:rPr>
            </w:pPr>
          </w:p>
        </w:tc>
        <w:tc>
          <w:tcPr>
            <w:tcW w:w="1160" w:type="dxa"/>
            <w:vAlign w:val="bottom"/>
            <w:tcBorders>
              <w:top w:val="single" w:sz="8" w:color="auto"/>
              <w:right w:val="single" w:sz="8" w:color="auto"/>
            </w:tcBorders>
            <w:shd w:val="clear" w:color="auto" w:fill="003445"/>
          </w:tcPr>
          <w:p>
            <w:pPr>
              <w:spacing w:after="0"/>
              <w:rPr>
                <w:sz w:val="15"/>
                <w:szCs w:val="15"/>
                <w:color w:val="auto"/>
              </w:rPr>
            </w:pPr>
          </w:p>
        </w:tc>
        <w:tc>
          <w:tcPr>
            <w:tcW w:w="1060" w:type="dxa"/>
            <w:vAlign w:val="bottom"/>
            <w:tcBorders>
              <w:top w:val="single" w:sz="8" w:color="auto"/>
              <w:right w:val="single" w:sz="8" w:color="auto"/>
            </w:tcBorders>
            <w:shd w:val="clear" w:color="auto" w:fill="003445"/>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460" w:type="dxa"/>
            <w:vAlign w:val="bottom"/>
            <w:tcBorders>
              <w:left w:val="single" w:sz="8" w:color="auto"/>
              <w:bottom w:val="single" w:sz="8" w:color="003445"/>
              <w:right w:val="single" w:sz="8" w:color="auto"/>
            </w:tcBorders>
            <w:shd w:val="clear" w:color="auto" w:fill="003445"/>
          </w:tcPr>
          <w:p>
            <w:pPr>
              <w:spacing w:after="0"/>
              <w:rPr>
                <w:sz w:val="16"/>
                <w:szCs w:val="16"/>
                <w:color w:val="auto"/>
              </w:rPr>
            </w:pPr>
          </w:p>
        </w:tc>
        <w:tc>
          <w:tcPr>
            <w:tcW w:w="1200" w:type="dxa"/>
            <w:vAlign w:val="bottom"/>
            <w:tcBorders>
              <w:bottom w:val="single" w:sz="8" w:color="003445"/>
              <w:right w:val="single" w:sz="8" w:color="auto"/>
            </w:tcBorders>
            <w:shd w:val="clear" w:color="auto" w:fill="003445"/>
          </w:tcPr>
          <w:p>
            <w:pPr>
              <w:spacing w:after="0"/>
              <w:rPr>
                <w:sz w:val="16"/>
                <w:szCs w:val="16"/>
                <w:color w:val="auto"/>
              </w:rPr>
            </w:pPr>
          </w:p>
        </w:tc>
        <w:tc>
          <w:tcPr>
            <w:tcW w:w="1020" w:type="dxa"/>
            <w:vAlign w:val="bottom"/>
            <w:tcBorders>
              <w:bottom w:val="single" w:sz="8" w:color="003445"/>
            </w:tcBorders>
            <w:shd w:val="clear" w:color="auto" w:fill="003445"/>
          </w:tcPr>
          <w:p>
            <w:pPr>
              <w:spacing w:after="0"/>
              <w:rPr>
                <w:sz w:val="16"/>
                <w:szCs w:val="16"/>
                <w:color w:val="auto"/>
              </w:rPr>
            </w:pPr>
          </w:p>
        </w:tc>
        <w:tc>
          <w:tcPr>
            <w:tcW w:w="1300" w:type="dxa"/>
            <w:vAlign w:val="bottom"/>
            <w:tcBorders>
              <w:bottom w:val="single" w:sz="8" w:color="003445"/>
              <w:right w:val="single" w:sz="8" w:color="auto"/>
            </w:tcBorders>
            <w:gridSpan w:val="2"/>
            <w:shd w:val="clear" w:color="auto" w:fill="003445"/>
          </w:tcPr>
          <w:p>
            <w:pPr>
              <w:jc w:val="right"/>
              <w:ind w:right="999"/>
              <w:spacing w:after="0"/>
              <w:rPr>
                <w:sz w:val="20"/>
                <w:szCs w:val="20"/>
                <w:color w:val="auto"/>
              </w:rPr>
            </w:pPr>
            <w:r>
              <w:rPr>
                <w:rFonts w:ascii="Arial" w:cs="Arial" w:eastAsia="Arial" w:hAnsi="Arial"/>
                <w:sz w:val="12"/>
                <w:szCs w:val="12"/>
                <w:b w:val="1"/>
                <w:bCs w:val="1"/>
                <w:color w:val="FFFFFF"/>
              </w:rPr>
              <w:t>($)</w:t>
            </w:r>
          </w:p>
        </w:tc>
        <w:tc>
          <w:tcPr>
            <w:tcW w:w="1160" w:type="dxa"/>
            <w:vAlign w:val="bottom"/>
            <w:tcBorders>
              <w:bottom w:val="single" w:sz="8" w:color="003445"/>
              <w:right w:val="single" w:sz="8" w:color="auto"/>
            </w:tcBorders>
            <w:shd w:val="clear" w:color="auto" w:fill="003445"/>
          </w:tcPr>
          <w:p>
            <w:pPr>
              <w:spacing w:after="0"/>
              <w:rPr>
                <w:sz w:val="16"/>
                <w:szCs w:val="16"/>
                <w:color w:val="auto"/>
              </w:rPr>
            </w:pPr>
          </w:p>
        </w:tc>
        <w:tc>
          <w:tcPr>
            <w:tcW w:w="1180" w:type="dxa"/>
            <w:vAlign w:val="bottom"/>
            <w:tcBorders>
              <w:bottom w:val="single" w:sz="8" w:color="003445"/>
              <w:right w:val="single" w:sz="8" w:color="auto"/>
            </w:tcBorders>
            <w:shd w:val="clear" w:color="auto" w:fill="003445"/>
          </w:tcPr>
          <w:p>
            <w:pPr>
              <w:spacing w:after="0"/>
              <w:rPr>
                <w:sz w:val="16"/>
                <w:szCs w:val="16"/>
                <w:color w:val="auto"/>
              </w:rPr>
            </w:pPr>
          </w:p>
        </w:tc>
        <w:tc>
          <w:tcPr>
            <w:tcW w:w="1160" w:type="dxa"/>
            <w:vAlign w:val="bottom"/>
            <w:tcBorders>
              <w:bottom w:val="single" w:sz="8" w:color="003445"/>
              <w:right w:val="single" w:sz="8" w:color="auto"/>
            </w:tcBorders>
            <w:shd w:val="clear" w:color="auto" w:fill="003445"/>
          </w:tcPr>
          <w:p>
            <w:pPr>
              <w:spacing w:after="0"/>
              <w:rPr>
                <w:sz w:val="16"/>
                <w:szCs w:val="16"/>
                <w:color w:val="auto"/>
              </w:rPr>
            </w:pPr>
          </w:p>
        </w:tc>
        <w:tc>
          <w:tcPr>
            <w:tcW w:w="1160" w:type="dxa"/>
            <w:vAlign w:val="bottom"/>
            <w:tcBorders>
              <w:bottom w:val="single" w:sz="8" w:color="003445"/>
              <w:right w:val="single" w:sz="8" w:color="auto"/>
            </w:tcBorders>
            <w:shd w:val="clear" w:color="auto" w:fill="003445"/>
          </w:tcPr>
          <w:p>
            <w:pPr>
              <w:spacing w:after="0"/>
              <w:rPr>
                <w:sz w:val="16"/>
                <w:szCs w:val="16"/>
                <w:color w:val="auto"/>
              </w:rPr>
            </w:pPr>
          </w:p>
        </w:tc>
        <w:tc>
          <w:tcPr>
            <w:tcW w:w="1060" w:type="dxa"/>
            <w:vAlign w:val="bottom"/>
            <w:tcBorders>
              <w:bottom w:val="single" w:sz="8" w:color="003445"/>
              <w:right w:val="single" w:sz="8" w:color="auto"/>
            </w:tcBorders>
            <w:shd w:val="clear" w:color="auto" w:fill="003445"/>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1460" w:type="dxa"/>
            <w:vAlign w:val="bottom"/>
            <w:tcBorders>
              <w:top w:val="single" w:sz="8" w:color="003445"/>
              <w:left w:val="single" w:sz="8" w:color="auto"/>
              <w:right w:val="single" w:sz="8" w:color="auto"/>
            </w:tcBorders>
            <w:shd w:val="clear" w:color="auto" w:fill="003445"/>
          </w:tcPr>
          <w:p>
            <w:pPr>
              <w:spacing w:after="0"/>
              <w:rPr>
                <w:sz w:val="10"/>
                <w:szCs w:val="10"/>
                <w:color w:val="auto"/>
              </w:rPr>
            </w:pPr>
          </w:p>
        </w:tc>
        <w:tc>
          <w:tcPr>
            <w:tcW w:w="1200" w:type="dxa"/>
            <w:vAlign w:val="bottom"/>
            <w:tcBorders>
              <w:top w:val="single" w:sz="8" w:color="003445"/>
              <w:right w:val="single" w:sz="8" w:color="auto"/>
            </w:tcBorders>
            <w:vMerge w:val="restart"/>
            <w:shd w:val="clear" w:color="auto" w:fill="003445"/>
          </w:tcPr>
          <w:p>
            <w:pPr>
              <w:jc w:val="center"/>
              <w:ind w:left="19"/>
              <w:spacing w:after="0"/>
              <w:rPr>
                <w:sz w:val="20"/>
                <w:szCs w:val="20"/>
                <w:color w:val="auto"/>
              </w:rPr>
            </w:pPr>
            <w:r>
              <w:rPr>
                <w:rFonts w:ascii="Arial" w:cs="Arial" w:eastAsia="Arial" w:hAnsi="Arial"/>
                <w:sz w:val="12"/>
                <w:szCs w:val="12"/>
                <w:b w:val="1"/>
                <w:bCs w:val="1"/>
                <w:color w:val="FFFFFF"/>
                <w:w w:val="99"/>
              </w:rPr>
              <w:t>Number of</w:t>
            </w:r>
          </w:p>
        </w:tc>
        <w:tc>
          <w:tcPr>
            <w:tcW w:w="1020" w:type="dxa"/>
            <w:vAlign w:val="bottom"/>
            <w:tcBorders>
              <w:top w:val="single" w:sz="8" w:color="auto"/>
            </w:tcBorders>
            <w:shd w:val="clear" w:color="auto" w:fill="003445"/>
          </w:tcPr>
          <w:p>
            <w:pPr>
              <w:spacing w:after="0"/>
              <w:rPr>
                <w:sz w:val="10"/>
                <w:szCs w:val="10"/>
                <w:color w:val="auto"/>
              </w:rPr>
            </w:pPr>
          </w:p>
        </w:tc>
        <w:tc>
          <w:tcPr>
            <w:tcW w:w="140" w:type="dxa"/>
            <w:vAlign w:val="bottom"/>
            <w:tcBorders>
              <w:top w:val="single" w:sz="8" w:color="auto"/>
              <w:right w:val="single" w:sz="8" w:color="auto"/>
            </w:tcBorders>
            <w:shd w:val="clear" w:color="auto" w:fill="003445"/>
          </w:tcPr>
          <w:p>
            <w:pPr>
              <w:spacing w:after="0"/>
              <w:rPr>
                <w:sz w:val="10"/>
                <w:szCs w:val="10"/>
                <w:color w:val="auto"/>
              </w:rPr>
            </w:pPr>
          </w:p>
        </w:tc>
        <w:tc>
          <w:tcPr>
            <w:tcW w:w="1160" w:type="dxa"/>
            <w:vAlign w:val="bottom"/>
            <w:tcBorders>
              <w:top w:val="single" w:sz="8" w:color="auto"/>
              <w:right w:val="single" w:sz="8" w:color="auto"/>
            </w:tcBorders>
            <w:shd w:val="clear" w:color="auto" w:fill="003445"/>
          </w:tcPr>
          <w:p>
            <w:pPr>
              <w:spacing w:after="0"/>
              <w:rPr>
                <w:sz w:val="10"/>
                <w:szCs w:val="10"/>
                <w:color w:val="auto"/>
              </w:rPr>
            </w:pPr>
          </w:p>
        </w:tc>
        <w:tc>
          <w:tcPr>
            <w:tcW w:w="1160" w:type="dxa"/>
            <w:vAlign w:val="bottom"/>
            <w:tcBorders>
              <w:top w:val="single" w:sz="8" w:color="003445"/>
              <w:right w:val="single" w:sz="8" w:color="auto"/>
            </w:tcBorders>
            <w:shd w:val="clear" w:color="auto" w:fill="003445"/>
          </w:tcPr>
          <w:p>
            <w:pPr>
              <w:spacing w:after="0"/>
              <w:rPr>
                <w:sz w:val="10"/>
                <w:szCs w:val="10"/>
                <w:color w:val="auto"/>
              </w:rPr>
            </w:pPr>
          </w:p>
        </w:tc>
        <w:tc>
          <w:tcPr>
            <w:tcW w:w="1180" w:type="dxa"/>
            <w:vAlign w:val="bottom"/>
            <w:tcBorders>
              <w:top w:val="single" w:sz="8" w:color="003445"/>
              <w:right w:val="single" w:sz="8" w:color="auto"/>
            </w:tcBorders>
            <w:vMerge w:val="restart"/>
            <w:shd w:val="clear" w:color="auto" w:fill="003445"/>
          </w:tcPr>
          <w:p>
            <w:pPr>
              <w:jc w:val="center"/>
              <w:ind w:left="19"/>
              <w:spacing w:after="0"/>
              <w:rPr>
                <w:sz w:val="20"/>
                <w:szCs w:val="20"/>
                <w:color w:val="auto"/>
              </w:rPr>
            </w:pPr>
            <w:r>
              <w:rPr>
                <w:rFonts w:ascii="Arial" w:cs="Arial" w:eastAsia="Arial" w:hAnsi="Arial"/>
                <w:sz w:val="12"/>
                <w:szCs w:val="12"/>
                <w:b w:val="1"/>
                <w:bCs w:val="1"/>
                <w:color w:val="FFFFFF"/>
              </w:rPr>
              <w:t>Opening present</w:t>
            </w:r>
          </w:p>
        </w:tc>
        <w:tc>
          <w:tcPr>
            <w:tcW w:w="1160" w:type="dxa"/>
            <w:vAlign w:val="bottom"/>
            <w:tcBorders>
              <w:top w:val="single" w:sz="8" w:color="003445"/>
              <w:right w:val="single" w:sz="8" w:color="auto"/>
            </w:tcBorders>
            <w:shd w:val="clear" w:color="auto" w:fill="003445"/>
          </w:tcPr>
          <w:p>
            <w:pPr>
              <w:spacing w:after="0"/>
              <w:rPr>
                <w:sz w:val="10"/>
                <w:szCs w:val="10"/>
                <w:color w:val="auto"/>
              </w:rPr>
            </w:pPr>
          </w:p>
        </w:tc>
        <w:tc>
          <w:tcPr>
            <w:tcW w:w="1160" w:type="dxa"/>
            <w:vAlign w:val="bottom"/>
            <w:tcBorders>
              <w:top w:val="single" w:sz="8" w:color="003445"/>
              <w:right w:val="single" w:sz="8" w:color="auto"/>
            </w:tcBorders>
            <w:shd w:val="clear" w:color="auto" w:fill="003445"/>
          </w:tcPr>
          <w:p>
            <w:pPr>
              <w:spacing w:after="0"/>
              <w:rPr>
                <w:sz w:val="10"/>
                <w:szCs w:val="10"/>
                <w:color w:val="auto"/>
              </w:rPr>
            </w:pPr>
          </w:p>
        </w:tc>
        <w:tc>
          <w:tcPr>
            <w:tcW w:w="1060" w:type="dxa"/>
            <w:vAlign w:val="bottom"/>
            <w:tcBorders>
              <w:top w:val="single" w:sz="8" w:color="003445"/>
              <w:right w:val="single" w:sz="8" w:color="auto"/>
            </w:tcBorders>
            <w:shd w:val="clear" w:color="auto" w:fill="003445"/>
          </w:tcPr>
          <w:p>
            <w:pPr>
              <w:jc w:val="center"/>
              <w:spacing w:after="0" w:line="120" w:lineRule="exact"/>
              <w:rPr>
                <w:sz w:val="20"/>
                <w:szCs w:val="20"/>
                <w:color w:val="auto"/>
              </w:rPr>
            </w:pPr>
            <w:r>
              <w:rPr>
                <w:rFonts w:ascii="Arial" w:cs="Arial" w:eastAsia="Arial" w:hAnsi="Arial"/>
                <w:sz w:val="12"/>
                <w:szCs w:val="12"/>
                <w:b w:val="1"/>
                <w:bCs w:val="1"/>
                <w:color w:val="FFFFFF"/>
              </w:rPr>
              <w:t>Closing</w:t>
            </w:r>
          </w:p>
        </w:tc>
        <w:tc>
          <w:tcPr>
            <w:tcW w:w="0" w:type="dxa"/>
            <w:vAlign w:val="bottom"/>
          </w:tcPr>
          <w:p>
            <w:pPr>
              <w:spacing w:after="0"/>
              <w:rPr>
                <w:sz w:val="1"/>
                <w:szCs w:val="1"/>
                <w:color w:val="auto"/>
              </w:rPr>
            </w:pPr>
          </w:p>
        </w:tc>
      </w:tr>
      <w:tr>
        <w:trPr>
          <w:trHeight w:val="123"/>
        </w:trPr>
        <w:tc>
          <w:tcPr>
            <w:tcW w:w="1460" w:type="dxa"/>
            <w:vAlign w:val="bottom"/>
            <w:tcBorders>
              <w:left w:val="single" w:sz="8" w:color="auto"/>
              <w:right w:val="single" w:sz="8" w:color="auto"/>
            </w:tcBorders>
            <w:shd w:val="clear" w:color="auto" w:fill="003445"/>
          </w:tcPr>
          <w:p>
            <w:pPr>
              <w:spacing w:after="0"/>
              <w:rPr>
                <w:sz w:val="10"/>
                <w:szCs w:val="10"/>
                <w:color w:val="auto"/>
              </w:rPr>
            </w:pPr>
          </w:p>
        </w:tc>
        <w:tc>
          <w:tcPr>
            <w:tcW w:w="1200" w:type="dxa"/>
            <w:vAlign w:val="bottom"/>
            <w:tcBorders>
              <w:right w:val="single" w:sz="8" w:color="auto"/>
            </w:tcBorders>
            <w:vMerge w:val="continue"/>
            <w:shd w:val="clear" w:color="auto" w:fill="003445"/>
          </w:tcPr>
          <w:p>
            <w:pPr>
              <w:spacing w:after="0"/>
              <w:rPr>
                <w:sz w:val="10"/>
                <w:szCs w:val="10"/>
                <w:color w:val="auto"/>
              </w:rPr>
            </w:pPr>
          </w:p>
        </w:tc>
        <w:tc>
          <w:tcPr>
            <w:tcW w:w="1020" w:type="dxa"/>
            <w:vAlign w:val="bottom"/>
            <w:shd w:val="clear" w:color="auto" w:fill="003445"/>
          </w:tcPr>
          <w:p>
            <w:pPr>
              <w:spacing w:after="0"/>
              <w:rPr>
                <w:sz w:val="10"/>
                <w:szCs w:val="10"/>
                <w:color w:val="auto"/>
              </w:rPr>
            </w:pPr>
          </w:p>
        </w:tc>
        <w:tc>
          <w:tcPr>
            <w:tcW w:w="140" w:type="dxa"/>
            <w:vAlign w:val="bottom"/>
            <w:tcBorders>
              <w:right w:val="single" w:sz="8" w:color="auto"/>
            </w:tcBorders>
            <w:shd w:val="clear" w:color="auto" w:fill="003445"/>
          </w:tcPr>
          <w:p>
            <w:pPr>
              <w:spacing w:after="0"/>
              <w:rPr>
                <w:sz w:val="10"/>
                <w:szCs w:val="10"/>
                <w:color w:val="auto"/>
              </w:rPr>
            </w:pPr>
          </w:p>
        </w:tc>
        <w:tc>
          <w:tcPr>
            <w:tcW w:w="1160" w:type="dxa"/>
            <w:vAlign w:val="bottom"/>
            <w:tcBorders>
              <w:right w:val="single" w:sz="8" w:color="auto"/>
            </w:tcBorders>
            <w:shd w:val="clear" w:color="auto" w:fill="003445"/>
          </w:tcPr>
          <w:p>
            <w:pPr>
              <w:spacing w:after="0"/>
              <w:rPr>
                <w:sz w:val="10"/>
                <w:szCs w:val="10"/>
                <w:color w:val="auto"/>
              </w:rPr>
            </w:pPr>
          </w:p>
        </w:tc>
        <w:tc>
          <w:tcPr>
            <w:tcW w:w="1160" w:type="dxa"/>
            <w:vAlign w:val="bottom"/>
            <w:tcBorders>
              <w:right w:val="single" w:sz="8" w:color="auto"/>
            </w:tcBorders>
            <w:shd w:val="clear" w:color="auto" w:fill="003445"/>
          </w:tcPr>
          <w:p>
            <w:pPr>
              <w:spacing w:after="0"/>
              <w:rPr>
                <w:sz w:val="10"/>
                <w:szCs w:val="10"/>
                <w:color w:val="auto"/>
              </w:rPr>
            </w:pPr>
          </w:p>
        </w:tc>
        <w:tc>
          <w:tcPr>
            <w:tcW w:w="1180" w:type="dxa"/>
            <w:vAlign w:val="bottom"/>
            <w:tcBorders>
              <w:right w:val="single" w:sz="8" w:color="auto"/>
            </w:tcBorders>
            <w:vMerge w:val="continue"/>
            <w:shd w:val="clear" w:color="auto" w:fill="003445"/>
          </w:tcPr>
          <w:p>
            <w:pPr>
              <w:spacing w:after="0"/>
              <w:rPr>
                <w:sz w:val="10"/>
                <w:szCs w:val="10"/>
                <w:color w:val="auto"/>
              </w:rPr>
            </w:pPr>
          </w:p>
        </w:tc>
        <w:tc>
          <w:tcPr>
            <w:tcW w:w="1160" w:type="dxa"/>
            <w:vAlign w:val="bottom"/>
            <w:tcBorders>
              <w:right w:val="single" w:sz="8" w:color="auto"/>
            </w:tcBorders>
            <w:shd w:val="clear" w:color="auto" w:fill="003445"/>
          </w:tcPr>
          <w:p>
            <w:pPr>
              <w:spacing w:after="0"/>
              <w:rPr>
                <w:sz w:val="10"/>
                <w:szCs w:val="10"/>
                <w:color w:val="auto"/>
              </w:rPr>
            </w:pPr>
          </w:p>
        </w:tc>
        <w:tc>
          <w:tcPr>
            <w:tcW w:w="1160" w:type="dxa"/>
            <w:vAlign w:val="bottom"/>
            <w:tcBorders>
              <w:right w:val="single" w:sz="8" w:color="auto"/>
            </w:tcBorders>
            <w:shd w:val="clear" w:color="auto" w:fill="003445"/>
          </w:tcPr>
          <w:p>
            <w:pPr>
              <w:spacing w:after="0"/>
              <w:rPr>
                <w:sz w:val="10"/>
                <w:szCs w:val="10"/>
                <w:color w:val="auto"/>
              </w:rPr>
            </w:pPr>
          </w:p>
        </w:tc>
        <w:tc>
          <w:tcPr>
            <w:tcW w:w="1060" w:type="dxa"/>
            <w:vAlign w:val="bottom"/>
            <w:tcBorders>
              <w:right w:val="single" w:sz="8" w:color="auto"/>
            </w:tcBorders>
            <w:shd w:val="clear" w:color="auto" w:fill="003445"/>
          </w:tcPr>
          <w:p>
            <w:pPr>
              <w:jc w:val="center"/>
              <w:spacing w:after="0" w:line="123" w:lineRule="exact"/>
              <w:rPr>
                <w:sz w:val="20"/>
                <w:szCs w:val="20"/>
                <w:color w:val="auto"/>
              </w:rPr>
            </w:pPr>
            <w:r>
              <w:rPr>
                <w:rFonts w:ascii="Arial" w:cs="Arial" w:eastAsia="Arial" w:hAnsi="Arial"/>
                <w:sz w:val="12"/>
                <w:szCs w:val="12"/>
                <w:b w:val="1"/>
                <w:bCs w:val="1"/>
                <w:color w:val="FFFFFF"/>
              </w:rPr>
              <w:t>present</w:t>
            </w: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shd w:val="clear" w:color="auto" w:fill="003445"/>
          </w:tcPr>
          <w:p>
            <w:pPr>
              <w:spacing w:after="0"/>
              <w:rPr>
                <w:sz w:val="11"/>
                <w:szCs w:val="11"/>
                <w:color w:val="auto"/>
              </w:rPr>
            </w:pPr>
          </w:p>
        </w:tc>
        <w:tc>
          <w:tcPr>
            <w:tcW w:w="1200" w:type="dxa"/>
            <w:vAlign w:val="bottom"/>
            <w:tcBorders>
              <w:right w:val="single" w:sz="8" w:color="auto"/>
            </w:tcBorders>
            <w:shd w:val="clear" w:color="auto" w:fill="003445"/>
          </w:tcPr>
          <w:p>
            <w:pPr>
              <w:jc w:val="center"/>
              <w:ind w:left="19"/>
              <w:spacing w:after="0" w:line="131" w:lineRule="exact"/>
              <w:rPr>
                <w:sz w:val="20"/>
                <w:szCs w:val="20"/>
                <w:color w:val="auto"/>
              </w:rPr>
            </w:pPr>
            <w:r>
              <w:rPr>
                <w:rFonts w:ascii="Arial" w:cs="Arial" w:eastAsia="Arial" w:hAnsi="Arial"/>
                <w:sz w:val="12"/>
                <w:szCs w:val="12"/>
                <w:b w:val="1"/>
                <w:bCs w:val="1"/>
                <w:color w:val="FFFFFF"/>
              </w:rPr>
              <w:t>years</w:t>
            </w:r>
          </w:p>
        </w:tc>
        <w:tc>
          <w:tcPr>
            <w:tcW w:w="1020" w:type="dxa"/>
            <w:vAlign w:val="bottom"/>
            <w:shd w:val="clear" w:color="auto" w:fill="003445"/>
          </w:tcPr>
          <w:p>
            <w:pPr>
              <w:spacing w:after="0"/>
              <w:rPr>
                <w:sz w:val="11"/>
                <w:szCs w:val="11"/>
                <w:color w:val="auto"/>
              </w:rPr>
            </w:pPr>
          </w:p>
        </w:tc>
        <w:tc>
          <w:tcPr>
            <w:tcW w:w="140" w:type="dxa"/>
            <w:vAlign w:val="bottom"/>
            <w:tcBorders>
              <w:right w:val="single" w:sz="8" w:color="auto"/>
            </w:tcBorders>
            <w:shd w:val="clear" w:color="auto" w:fill="003445"/>
          </w:tcPr>
          <w:p>
            <w:pPr>
              <w:spacing w:after="0"/>
              <w:rPr>
                <w:sz w:val="11"/>
                <w:szCs w:val="11"/>
                <w:color w:val="auto"/>
              </w:rPr>
            </w:pPr>
          </w:p>
        </w:tc>
        <w:tc>
          <w:tcPr>
            <w:tcW w:w="1160" w:type="dxa"/>
            <w:vAlign w:val="bottom"/>
            <w:tcBorders>
              <w:right w:val="single" w:sz="8" w:color="auto"/>
            </w:tcBorders>
            <w:shd w:val="clear" w:color="auto" w:fill="003445"/>
          </w:tcPr>
          <w:p>
            <w:pPr>
              <w:spacing w:after="0"/>
              <w:rPr>
                <w:sz w:val="11"/>
                <w:szCs w:val="11"/>
                <w:color w:val="auto"/>
              </w:rPr>
            </w:pPr>
          </w:p>
        </w:tc>
        <w:tc>
          <w:tcPr>
            <w:tcW w:w="1160" w:type="dxa"/>
            <w:vAlign w:val="bottom"/>
            <w:tcBorders>
              <w:right w:val="single" w:sz="8" w:color="auto"/>
            </w:tcBorders>
            <w:shd w:val="clear" w:color="auto" w:fill="003445"/>
          </w:tcPr>
          <w:p>
            <w:pPr>
              <w:spacing w:after="0"/>
              <w:rPr>
                <w:sz w:val="11"/>
                <w:szCs w:val="11"/>
                <w:color w:val="auto"/>
              </w:rPr>
            </w:pPr>
          </w:p>
        </w:tc>
        <w:tc>
          <w:tcPr>
            <w:tcW w:w="118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value of defined</w:t>
            </w:r>
          </w:p>
        </w:tc>
        <w:tc>
          <w:tcPr>
            <w:tcW w:w="1160" w:type="dxa"/>
            <w:vAlign w:val="bottom"/>
            <w:tcBorders>
              <w:right w:val="single" w:sz="8" w:color="auto"/>
            </w:tcBorders>
            <w:shd w:val="clear" w:color="auto" w:fill="003445"/>
          </w:tcPr>
          <w:p>
            <w:pPr>
              <w:spacing w:after="0"/>
              <w:rPr>
                <w:sz w:val="11"/>
                <w:szCs w:val="11"/>
                <w:color w:val="auto"/>
              </w:rPr>
            </w:pPr>
          </w:p>
        </w:tc>
        <w:tc>
          <w:tcPr>
            <w:tcW w:w="1160" w:type="dxa"/>
            <w:vAlign w:val="bottom"/>
            <w:tcBorders>
              <w:right w:val="single" w:sz="8" w:color="auto"/>
            </w:tcBorders>
            <w:vMerge w:val="restart"/>
            <w:shd w:val="clear" w:color="auto" w:fill="003445"/>
          </w:tcPr>
          <w:p>
            <w:pPr>
              <w:jc w:val="center"/>
              <w:ind w:left="19"/>
              <w:spacing w:after="0"/>
              <w:rPr>
                <w:sz w:val="20"/>
                <w:szCs w:val="20"/>
                <w:color w:val="auto"/>
              </w:rPr>
            </w:pPr>
            <w:r>
              <w:rPr>
                <w:rFonts w:ascii="Arial" w:cs="Arial" w:eastAsia="Arial" w:hAnsi="Arial"/>
                <w:sz w:val="12"/>
                <w:szCs w:val="12"/>
                <w:b w:val="1"/>
                <w:bCs w:val="1"/>
                <w:color w:val="FFFFFF"/>
              </w:rPr>
              <w:t>Non-</w:t>
            </w:r>
          </w:p>
        </w:tc>
        <w:tc>
          <w:tcPr>
            <w:tcW w:w="10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value of</w:t>
            </w: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shd w:val="clear" w:color="auto" w:fill="003445"/>
          </w:tcPr>
          <w:p>
            <w:pPr>
              <w:spacing w:after="0"/>
              <w:rPr>
                <w:sz w:val="11"/>
                <w:szCs w:val="11"/>
                <w:color w:val="auto"/>
              </w:rPr>
            </w:pPr>
          </w:p>
        </w:tc>
        <w:tc>
          <w:tcPr>
            <w:tcW w:w="1200" w:type="dxa"/>
            <w:vAlign w:val="bottom"/>
            <w:tcBorders>
              <w:right w:val="single" w:sz="8" w:color="auto"/>
            </w:tcBorders>
            <w:shd w:val="clear" w:color="auto" w:fill="003445"/>
          </w:tcPr>
          <w:p>
            <w:pPr>
              <w:jc w:val="center"/>
              <w:ind w:left="19"/>
              <w:spacing w:after="0" w:line="131" w:lineRule="exact"/>
              <w:rPr>
                <w:sz w:val="20"/>
                <w:szCs w:val="20"/>
                <w:color w:val="auto"/>
              </w:rPr>
            </w:pPr>
            <w:r>
              <w:rPr>
                <w:rFonts w:ascii="Arial" w:cs="Arial" w:eastAsia="Arial" w:hAnsi="Arial"/>
                <w:sz w:val="12"/>
                <w:szCs w:val="12"/>
                <w:b w:val="1"/>
                <w:bCs w:val="1"/>
                <w:color w:val="FFFFFF"/>
              </w:rPr>
              <w:t>credited</w:t>
            </w:r>
          </w:p>
        </w:tc>
        <w:tc>
          <w:tcPr>
            <w:tcW w:w="1020" w:type="dxa"/>
            <w:vAlign w:val="bottom"/>
            <w:shd w:val="clear" w:color="auto" w:fill="003445"/>
          </w:tcPr>
          <w:p>
            <w:pPr>
              <w:spacing w:after="0"/>
              <w:rPr>
                <w:sz w:val="11"/>
                <w:szCs w:val="11"/>
                <w:color w:val="auto"/>
              </w:rPr>
            </w:pPr>
          </w:p>
        </w:tc>
        <w:tc>
          <w:tcPr>
            <w:tcW w:w="140" w:type="dxa"/>
            <w:vAlign w:val="bottom"/>
            <w:tcBorders>
              <w:right w:val="single" w:sz="8" w:color="auto"/>
            </w:tcBorders>
            <w:shd w:val="clear" w:color="auto" w:fill="003445"/>
          </w:tcPr>
          <w:p>
            <w:pPr>
              <w:spacing w:after="0"/>
              <w:rPr>
                <w:sz w:val="11"/>
                <w:szCs w:val="11"/>
                <w:color w:val="auto"/>
              </w:rPr>
            </w:pPr>
          </w:p>
        </w:tc>
        <w:tc>
          <w:tcPr>
            <w:tcW w:w="1160" w:type="dxa"/>
            <w:vAlign w:val="bottom"/>
            <w:tcBorders>
              <w:right w:val="single" w:sz="8" w:color="auto"/>
            </w:tcBorders>
            <w:shd w:val="clear" w:color="auto" w:fill="003445"/>
          </w:tcPr>
          <w:p>
            <w:pPr>
              <w:spacing w:after="0"/>
              <w:rPr>
                <w:sz w:val="11"/>
                <w:szCs w:val="11"/>
                <w:color w:val="auto"/>
              </w:rPr>
            </w:pPr>
          </w:p>
        </w:tc>
        <w:tc>
          <w:tcPr>
            <w:tcW w:w="1160" w:type="dxa"/>
            <w:vAlign w:val="bottom"/>
            <w:tcBorders>
              <w:right w:val="single" w:sz="8" w:color="auto"/>
            </w:tcBorders>
            <w:vMerge w:val="restart"/>
            <w:shd w:val="clear" w:color="auto" w:fill="003445"/>
          </w:tcPr>
          <w:p>
            <w:pPr>
              <w:jc w:val="center"/>
              <w:ind w:left="19"/>
              <w:spacing w:after="0"/>
              <w:rPr>
                <w:sz w:val="20"/>
                <w:szCs w:val="20"/>
                <w:color w:val="auto"/>
              </w:rPr>
            </w:pPr>
            <w:r>
              <w:rPr>
                <w:rFonts w:ascii="Arial" w:cs="Arial" w:eastAsia="Arial" w:hAnsi="Arial"/>
                <w:sz w:val="12"/>
                <w:szCs w:val="12"/>
                <w:b w:val="1"/>
                <w:bCs w:val="1"/>
                <w:color w:val="FFFFFF"/>
              </w:rPr>
              <w:t>Option-</w:t>
            </w:r>
          </w:p>
        </w:tc>
        <w:tc>
          <w:tcPr>
            <w:tcW w:w="118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benefit</w:t>
            </w:r>
          </w:p>
        </w:tc>
        <w:tc>
          <w:tcPr>
            <w:tcW w:w="1160" w:type="dxa"/>
            <w:vAlign w:val="bottom"/>
            <w:tcBorders>
              <w:right w:val="single" w:sz="8" w:color="auto"/>
            </w:tcBorders>
            <w:vMerge w:val="restart"/>
            <w:shd w:val="clear" w:color="auto" w:fill="003445"/>
          </w:tcPr>
          <w:p>
            <w:pPr>
              <w:jc w:val="center"/>
              <w:ind w:left="1"/>
              <w:spacing w:after="0"/>
              <w:rPr>
                <w:sz w:val="20"/>
                <w:szCs w:val="20"/>
                <w:color w:val="auto"/>
              </w:rPr>
            </w:pPr>
            <w:r>
              <w:rPr>
                <w:rFonts w:ascii="Arial" w:cs="Arial" w:eastAsia="Arial" w:hAnsi="Arial"/>
                <w:sz w:val="12"/>
                <w:szCs w:val="12"/>
                <w:b w:val="1"/>
                <w:bCs w:val="1"/>
                <w:color w:val="FFFFFF"/>
              </w:rPr>
              <w:t>Compensatory</w:t>
            </w:r>
          </w:p>
        </w:tc>
        <w:tc>
          <w:tcPr>
            <w:tcW w:w="1160" w:type="dxa"/>
            <w:vAlign w:val="bottom"/>
            <w:tcBorders>
              <w:right w:val="single" w:sz="8" w:color="auto"/>
            </w:tcBorders>
            <w:vMerge w:val="continue"/>
            <w:shd w:val="clear" w:color="auto" w:fill="003445"/>
          </w:tcPr>
          <w:p>
            <w:pPr>
              <w:spacing w:after="0"/>
              <w:rPr>
                <w:sz w:val="11"/>
                <w:szCs w:val="11"/>
                <w:color w:val="auto"/>
              </w:rPr>
            </w:pPr>
          </w:p>
        </w:tc>
        <w:tc>
          <w:tcPr>
            <w:tcW w:w="10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defined</w:t>
            </w: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vMerge w:val="restart"/>
            <w:shd w:val="clear" w:color="auto" w:fill="003445"/>
          </w:tcPr>
          <w:p>
            <w:pPr>
              <w:ind w:left="220"/>
              <w:spacing w:after="0"/>
              <w:rPr>
                <w:sz w:val="20"/>
                <w:szCs w:val="20"/>
                <w:color w:val="auto"/>
              </w:rPr>
            </w:pPr>
            <w:r>
              <w:rPr>
                <w:rFonts w:ascii="Arial" w:cs="Arial" w:eastAsia="Arial" w:hAnsi="Arial"/>
                <w:sz w:val="12"/>
                <w:szCs w:val="12"/>
                <w:b w:val="1"/>
                <w:bCs w:val="1"/>
                <w:color w:val="FFFFFF"/>
              </w:rPr>
              <w:t>Name and Principal</w:t>
            </w:r>
          </w:p>
        </w:tc>
        <w:tc>
          <w:tcPr>
            <w:tcW w:w="120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service as at</w:t>
            </w:r>
          </w:p>
        </w:tc>
        <w:tc>
          <w:tcPr>
            <w:tcW w:w="1020" w:type="dxa"/>
            <w:vAlign w:val="bottom"/>
            <w:shd w:val="clear" w:color="auto" w:fill="003445"/>
          </w:tcPr>
          <w:p>
            <w:pPr>
              <w:spacing w:after="0"/>
              <w:rPr>
                <w:sz w:val="11"/>
                <w:szCs w:val="11"/>
                <w:color w:val="auto"/>
              </w:rPr>
            </w:pPr>
          </w:p>
        </w:tc>
        <w:tc>
          <w:tcPr>
            <w:tcW w:w="140" w:type="dxa"/>
            <w:vAlign w:val="bottom"/>
            <w:tcBorders>
              <w:right w:val="single" w:sz="8" w:color="auto"/>
            </w:tcBorders>
            <w:shd w:val="clear" w:color="auto" w:fill="003445"/>
          </w:tcPr>
          <w:p>
            <w:pPr>
              <w:spacing w:after="0"/>
              <w:rPr>
                <w:sz w:val="11"/>
                <w:szCs w:val="11"/>
                <w:color w:val="auto"/>
              </w:rPr>
            </w:pPr>
          </w:p>
        </w:tc>
        <w:tc>
          <w:tcPr>
            <w:tcW w:w="1160" w:type="dxa"/>
            <w:vAlign w:val="bottom"/>
            <w:tcBorders>
              <w:right w:val="single" w:sz="8" w:color="auto"/>
            </w:tcBorders>
            <w:shd w:val="clear" w:color="auto" w:fill="003445"/>
          </w:tcPr>
          <w:p>
            <w:pPr>
              <w:spacing w:after="0"/>
              <w:rPr>
                <w:sz w:val="11"/>
                <w:szCs w:val="11"/>
                <w:color w:val="auto"/>
              </w:rPr>
            </w:pPr>
          </w:p>
        </w:tc>
        <w:tc>
          <w:tcPr>
            <w:tcW w:w="1160" w:type="dxa"/>
            <w:vAlign w:val="bottom"/>
            <w:tcBorders>
              <w:right w:val="single" w:sz="8" w:color="auto"/>
            </w:tcBorders>
            <w:vMerge w:val="continue"/>
            <w:shd w:val="clear" w:color="auto" w:fill="003445"/>
          </w:tcPr>
          <w:p>
            <w:pPr>
              <w:spacing w:after="0"/>
              <w:rPr>
                <w:sz w:val="11"/>
                <w:szCs w:val="11"/>
                <w:color w:val="auto"/>
              </w:rPr>
            </w:pPr>
          </w:p>
        </w:tc>
        <w:tc>
          <w:tcPr>
            <w:tcW w:w="1180" w:type="dxa"/>
            <w:vAlign w:val="bottom"/>
            <w:tcBorders>
              <w:right w:val="single" w:sz="8" w:color="auto"/>
            </w:tcBorders>
            <w:shd w:val="clear" w:color="auto" w:fill="003445"/>
          </w:tcPr>
          <w:p>
            <w:pPr>
              <w:jc w:val="center"/>
              <w:ind w:left="19"/>
              <w:spacing w:after="0" w:line="131" w:lineRule="exact"/>
              <w:rPr>
                <w:sz w:val="20"/>
                <w:szCs w:val="20"/>
                <w:color w:val="auto"/>
              </w:rPr>
            </w:pPr>
            <w:r>
              <w:rPr>
                <w:rFonts w:ascii="Arial" w:cs="Arial" w:eastAsia="Arial" w:hAnsi="Arial"/>
                <w:sz w:val="12"/>
                <w:szCs w:val="12"/>
                <w:b w:val="1"/>
                <w:bCs w:val="1"/>
                <w:color w:val="FFFFFF"/>
              </w:rPr>
              <w:t>obligation as of</w:t>
            </w:r>
          </w:p>
        </w:tc>
        <w:tc>
          <w:tcPr>
            <w:tcW w:w="1160" w:type="dxa"/>
            <w:vAlign w:val="bottom"/>
            <w:tcBorders>
              <w:right w:val="single" w:sz="8" w:color="auto"/>
            </w:tcBorders>
            <w:vMerge w:val="continue"/>
            <w:shd w:val="clear" w:color="auto" w:fill="003445"/>
          </w:tcPr>
          <w:p>
            <w:pPr>
              <w:spacing w:after="0"/>
              <w:rPr>
                <w:sz w:val="11"/>
                <w:szCs w:val="11"/>
                <w:color w:val="auto"/>
              </w:rPr>
            </w:pPr>
          </w:p>
        </w:tc>
        <w:tc>
          <w:tcPr>
            <w:tcW w:w="1160" w:type="dxa"/>
            <w:vAlign w:val="bottom"/>
            <w:tcBorders>
              <w:right w:val="single" w:sz="8" w:color="auto"/>
            </w:tcBorders>
            <w:shd w:val="clear" w:color="auto" w:fill="003445"/>
          </w:tcPr>
          <w:p>
            <w:pPr>
              <w:jc w:val="center"/>
              <w:ind w:left="19"/>
              <w:spacing w:after="0" w:line="131" w:lineRule="exact"/>
              <w:rPr>
                <w:sz w:val="20"/>
                <w:szCs w:val="20"/>
                <w:color w:val="auto"/>
              </w:rPr>
            </w:pPr>
            <w:r>
              <w:rPr>
                <w:rFonts w:ascii="Arial" w:cs="Arial" w:eastAsia="Arial" w:hAnsi="Arial"/>
                <w:sz w:val="12"/>
                <w:szCs w:val="12"/>
                <w:b w:val="1"/>
                <w:bCs w:val="1"/>
                <w:color w:val="FFFFFF"/>
              </w:rPr>
              <w:t>compensatory</w:t>
            </w:r>
          </w:p>
        </w:tc>
        <w:tc>
          <w:tcPr>
            <w:tcW w:w="10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benefit</w:t>
            </w: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vMerge w:val="continue"/>
            <w:shd w:val="clear" w:color="auto" w:fill="003445"/>
          </w:tcPr>
          <w:p>
            <w:pPr>
              <w:spacing w:after="0"/>
              <w:rPr>
                <w:sz w:val="11"/>
                <w:szCs w:val="11"/>
                <w:color w:val="auto"/>
              </w:rPr>
            </w:pPr>
          </w:p>
        </w:tc>
        <w:tc>
          <w:tcPr>
            <w:tcW w:w="1200" w:type="dxa"/>
            <w:vAlign w:val="bottom"/>
            <w:tcBorders>
              <w:right w:val="single" w:sz="8" w:color="auto"/>
            </w:tcBorders>
            <w:shd w:val="clear" w:color="auto" w:fill="003445"/>
          </w:tcPr>
          <w:p>
            <w:pPr>
              <w:jc w:val="center"/>
              <w:ind w:left="19"/>
              <w:spacing w:after="0" w:line="131" w:lineRule="exact"/>
              <w:rPr>
                <w:sz w:val="20"/>
                <w:szCs w:val="20"/>
                <w:color w:val="auto"/>
              </w:rPr>
            </w:pPr>
            <w:r>
              <w:rPr>
                <w:rFonts w:ascii="Arial" w:cs="Arial" w:eastAsia="Arial" w:hAnsi="Arial"/>
                <w:sz w:val="12"/>
                <w:szCs w:val="12"/>
                <w:b w:val="1"/>
                <w:bCs w:val="1"/>
                <w:color w:val="FFFFFF"/>
              </w:rPr>
              <w:t>December</w:t>
            </w:r>
          </w:p>
        </w:tc>
        <w:tc>
          <w:tcPr>
            <w:tcW w:w="1020" w:type="dxa"/>
            <w:vAlign w:val="bottom"/>
            <w:vMerge w:val="restart"/>
            <w:shd w:val="clear" w:color="auto" w:fill="003445"/>
          </w:tcPr>
          <w:p>
            <w:pPr>
              <w:ind w:left="280"/>
              <w:spacing w:after="0"/>
              <w:rPr>
                <w:sz w:val="20"/>
                <w:szCs w:val="20"/>
                <w:color w:val="auto"/>
              </w:rPr>
            </w:pPr>
            <w:r>
              <w:rPr>
                <w:rFonts w:ascii="Arial" w:cs="Arial" w:eastAsia="Arial" w:hAnsi="Arial"/>
                <w:sz w:val="12"/>
                <w:szCs w:val="12"/>
                <w:b w:val="1"/>
                <w:bCs w:val="1"/>
                <w:color w:val="FFFFFF"/>
              </w:rPr>
              <w:t>At year end</w:t>
            </w:r>
          </w:p>
        </w:tc>
        <w:tc>
          <w:tcPr>
            <w:tcW w:w="140" w:type="dxa"/>
            <w:vAlign w:val="bottom"/>
            <w:tcBorders>
              <w:right w:val="single" w:sz="8" w:color="auto"/>
            </w:tcBorders>
            <w:shd w:val="clear" w:color="auto" w:fill="003445"/>
          </w:tcPr>
          <w:p>
            <w:pPr>
              <w:spacing w:after="0"/>
              <w:rPr>
                <w:sz w:val="11"/>
                <w:szCs w:val="11"/>
                <w:color w:val="auto"/>
              </w:rPr>
            </w:pPr>
          </w:p>
        </w:tc>
        <w:tc>
          <w:tcPr>
            <w:tcW w:w="1160" w:type="dxa"/>
            <w:vAlign w:val="bottom"/>
            <w:tcBorders>
              <w:right w:val="single" w:sz="8" w:color="auto"/>
            </w:tcBorders>
            <w:vMerge w:val="restart"/>
            <w:shd w:val="clear" w:color="auto" w:fill="003445"/>
          </w:tcPr>
          <w:p>
            <w:pPr>
              <w:ind w:left="340"/>
              <w:spacing w:after="0"/>
              <w:rPr>
                <w:sz w:val="20"/>
                <w:szCs w:val="20"/>
                <w:color w:val="auto"/>
              </w:rPr>
            </w:pPr>
            <w:r>
              <w:rPr>
                <w:rFonts w:ascii="Arial" w:cs="Arial" w:eastAsia="Arial" w:hAnsi="Arial"/>
                <w:sz w:val="12"/>
                <w:szCs w:val="12"/>
                <w:b w:val="1"/>
                <w:bCs w:val="1"/>
                <w:color w:val="FFFFFF"/>
              </w:rPr>
              <w:t>At age 65</w:t>
            </w:r>
          </w:p>
        </w:tc>
        <w:tc>
          <w:tcPr>
            <w:tcW w:w="1160" w:type="dxa"/>
            <w:vAlign w:val="bottom"/>
            <w:tcBorders>
              <w:right w:val="single" w:sz="8" w:color="auto"/>
            </w:tcBorders>
            <w:shd w:val="clear" w:color="auto" w:fill="003445"/>
          </w:tcPr>
          <w:p>
            <w:pPr>
              <w:jc w:val="center"/>
              <w:ind w:left="19"/>
              <w:spacing w:after="0" w:line="131" w:lineRule="exact"/>
              <w:rPr>
                <w:sz w:val="20"/>
                <w:szCs w:val="20"/>
                <w:color w:val="auto"/>
              </w:rPr>
            </w:pPr>
            <w:r>
              <w:rPr>
                <w:rFonts w:ascii="Arial" w:cs="Arial" w:eastAsia="Arial" w:hAnsi="Arial"/>
                <w:sz w:val="12"/>
                <w:szCs w:val="12"/>
                <w:b w:val="1"/>
                <w:bCs w:val="1"/>
                <w:color w:val="FFFFFF"/>
              </w:rPr>
              <w:t>based</w:t>
            </w:r>
          </w:p>
        </w:tc>
        <w:tc>
          <w:tcPr>
            <w:tcW w:w="1180" w:type="dxa"/>
            <w:vAlign w:val="bottom"/>
            <w:tcBorders>
              <w:right w:val="single" w:sz="8" w:color="auto"/>
            </w:tcBorders>
            <w:shd w:val="clear" w:color="auto" w:fill="003445"/>
          </w:tcPr>
          <w:p>
            <w:pPr>
              <w:jc w:val="center"/>
              <w:ind w:left="19"/>
              <w:spacing w:after="0" w:line="131" w:lineRule="exact"/>
              <w:rPr>
                <w:sz w:val="20"/>
                <w:szCs w:val="20"/>
                <w:color w:val="auto"/>
              </w:rPr>
            </w:pPr>
            <w:r>
              <w:rPr>
                <w:rFonts w:ascii="Arial" w:cs="Arial" w:eastAsia="Arial" w:hAnsi="Arial"/>
                <w:sz w:val="12"/>
                <w:szCs w:val="12"/>
                <w:b w:val="1"/>
                <w:bCs w:val="1"/>
                <w:color w:val="FFFFFF"/>
              </w:rPr>
              <w:t>January 1, 2025</w:t>
            </w:r>
          </w:p>
        </w:tc>
        <w:tc>
          <w:tcPr>
            <w:tcW w:w="1160" w:type="dxa"/>
            <w:vAlign w:val="bottom"/>
            <w:tcBorders>
              <w:right w:val="single" w:sz="8" w:color="auto"/>
            </w:tcBorders>
            <w:shd w:val="clear" w:color="auto" w:fill="003445"/>
          </w:tcPr>
          <w:p>
            <w:pPr>
              <w:jc w:val="center"/>
              <w:ind w:left="1"/>
              <w:spacing w:after="0" w:line="131" w:lineRule="exact"/>
              <w:rPr>
                <w:sz w:val="20"/>
                <w:szCs w:val="20"/>
                <w:color w:val="auto"/>
              </w:rPr>
            </w:pPr>
            <w:r>
              <w:rPr>
                <w:rFonts w:ascii="Arial" w:cs="Arial" w:eastAsia="Arial" w:hAnsi="Arial"/>
                <w:sz w:val="12"/>
                <w:szCs w:val="12"/>
                <w:b w:val="1"/>
                <w:bCs w:val="1"/>
                <w:color w:val="FFFFFF"/>
                <w:w w:val="99"/>
              </w:rPr>
              <w:t>change</w:t>
            </w:r>
          </w:p>
        </w:tc>
        <w:tc>
          <w:tcPr>
            <w:tcW w:w="1160" w:type="dxa"/>
            <w:vAlign w:val="bottom"/>
            <w:tcBorders>
              <w:right w:val="single" w:sz="8" w:color="auto"/>
            </w:tcBorders>
            <w:shd w:val="clear" w:color="auto" w:fill="003445"/>
          </w:tcPr>
          <w:p>
            <w:pPr>
              <w:jc w:val="center"/>
              <w:ind w:left="19"/>
              <w:spacing w:after="0" w:line="131" w:lineRule="exact"/>
              <w:rPr>
                <w:sz w:val="20"/>
                <w:szCs w:val="20"/>
                <w:color w:val="auto"/>
              </w:rPr>
            </w:pPr>
            <w:r>
              <w:rPr>
                <w:rFonts w:ascii="Arial" w:cs="Arial" w:eastAsia="Arial" w:hAnsi="Arial"/>
                <w:sz w:val="12"/>
                <w:szCs w:val="12"/>
                <w:b w:val="1"/>
                <w:bCs w:val="1"/>
                <w:color w:val="FFFFFF"/>
              </w:rPr>
              <w:t>change</w:t>
            </w:r>
          </w:p>
        </w:tc>
        <w:tc>
          <w:tcPr>
            <w:tcW w:w="1060" w:type="dxa"/>
            <w:vAlign w:val="bottom"/>
            <w:tcBorders>
              <w:right w:val="single" w:sz="8" w:color="auto"/>
            </w:tcBorders>
            <w:shd w:val="clear" w:color="auto" w:fill="003445"/>
          </w:tcPr>
          <w:p>
            <w:pPr>
              <w:jc w:val="center"/>
              <w:spacing w:after="0" w:line="131" w:lineRule="exact"/>
              <w:rPr>
                <w:sz w:val="20"/>
                <w:szCs w:val="20"/>
                <w:color w:val="auto"/>
              </w:rPr>
            </w:pPr>
            <w:r>
              <w:rPr>
                <w:rFonts w:ascii="Arial" w:cs="Arial" w:eastAsia="Arial" w:hAnsi="Arial"/>
                <w:sz w:val="12"/>
                <w:szCs w:val="12"/>
                <w:b w:val="1"/>
                <w:bCs w:val="1"/>
                <w:color w:val="FFFFFF"/>
              </w:rPr>
              <w:t>obligation</w:t>
            </w:r>
          </w:p>
        </w:tc>
        <w:tc>
          <w:tcPr>
            <w:tcW w:w="0" w:type="dxa"/>
            <w:vAlign w:val="bottom"/>
          </w:tcPr>
          <w:p>
            <w:pPr>
              <w:spacing w:after="0"/>
              <w:rPr>
                <w:sz w:val="1"/>
                <w:szCs w:val="1"/>
                <w:color w:val="auto"/>
              </w:rPr>
            </w:pPr>
          </w:p>
        </w:tc>
      </w:tr>
      <w:tr>
        <w:trPr>
          <w:trHeight w:val="179"/>
        </w:trPr>
        <w:tc>
          <w:tcPr>
            <w:tcW w:w="1460" w:type="dxa"/>
            <w:vAlign w:val="bottom"/>
            <w:tcBorders>
              <w:left w:val="single" w:sz="8" w:color="auto"/>
              <w:bottom w:val="single" w:sz="8" w:color="auto"/>
              <w:right w:val="single" w:sz="8" w:color="auto"/>
            </w:tcBorders>
            <w:shd w:val="clear" w:color="auto" w:fill="003445"/>
          </w:tcPr>
          <w:p>
            <w:pPr>
              <w:ind w:left="560"/>
              <w:spacing w:after="0"/>
              <w:rPr>
                <w:sz w:val="20"/>
                <w:szCs w:val="20"/>
                <w:color w:val="auto"/>
              </w:rPr>
            </w:pPr>
            <w:r>
              <w:rPr>
                <w:rFonts w:ascii="Arial" w:cs="Arial" w:eastAsia="Arial" w:hAnsi="Arial"/>
                <w:sz w:val="12"/>
                <w:szCs w:val="12"/>
                <w:b w:val="1"/>
                <w:bCs w:val="1"/>
                <w:color w:val="FFFFFF"/>
              </w:rPr>
              <w:t>Position</w:t>
            </w:r>
          </w:p>
        </w:tc>
        <w:tc>
          <w:tcPr>
            <w:tcW w:w="1200" w:type="dxa"/>
            <w:vAlign w:val="bottom"/>
            <w:tcBorders>
              <w:bottom w:val="single" w:sz="8" w:color="auto"/>
              <w:right w:val="single" w:sz="8" w:color="auto"/>
            </w:tcBorders>
            <w:shd w:val="clear" w:color="auto" w:fill="003445"/>
          </w:tcPr>
          <w:p>
            <w:pPr>
              <w:jc w:val="center"/>
              <w:ind w:left="19"/>
              <w:spacing w:after="0"/>
              <w:rPr>
                <w:sz w:val="20"/>
                <w:szCs w:val="20"/>
                <w:color w:val="auto"/>
              </w:rPr>
            </w:pPr>
            <w:r>
              <w:rPr>
                <w:rFonts w:ascii="Arial" w:cs="Arial" w:eastAsia="Arial" w:hAnsi="Arial"/>
                <w:sz w:val="12"/>
                <w:szCs w:val="12"/>
                <w:b w:val="1"/>
                <w:bCs w:val="1"/>
                <w:color w:val="FFFFFF"/>
              </w:rPr>
              <w:t>31, 2025</w:t>
            </w:r>
          </w:p>
        </w:tc>
        <w:tc>
          <w:tcPr>
            <w:tcW w:w="1020" w:type="dxa"/>
            <w:vAlign w:val="bottom"/>
            <w:tcBorders>
              <w:bottom w:val="single" w:sz="8" w:color="auto"/>
            </w:tcBorders>
            <w:vMerge w:val="continue"/>
            <w:shd w:val="clear" w:color="auto" w:fill="003445"/>
          </w:tcPr>
          <w:p>
            <w:pPr>
              <w:spacing w:after="0"/>
              <w:rPr>
                <w:sz w:val="15"/>
                <w:szCs w:val="15"/>
                <w:color w:val="auto"/>
              </w:rPr>
            </w:pPr>
          </w:p>
        </w:tc>
        <w:tc>
          <w:tcPr>
            <w:tcW w:w="140" w:type="dxa"/>
            <w:vAlign w:val="bottom"/>
            <w:tcBorders>
              <w:bottom w:val="single" w:sz="8" w:color="auto"/>
              <w:right w:val="single" w:sz="8" w:color="auto"/>
            </w:tcBorders>
            <w:shd w:val="clear" w:color="auto" w:fill="003445"/>
          </w:tcPr>
          <w:p>
            <w:pPr>
              <w:spacing w:after="0"/>
              <w:rPr>
                <w:sz w:val="15"/>
                <w:szCs w:val="15"/>
                <w:color w:val="auto"/>
              </w:rPr>
            </w:pPr>
          </w:p>
        </w:tc>
        <w:tc>
          <w:tcPr>
            <w:tcW w:w="1160" w:type="dxa"/>
            <w:vAlign w:val="bottom"/>
            <w:tcBorders>
              <w:bottom w:val="single" w:sz="8" w:color="auto"/>
              <w:right w:val="single" w:sz="8" w:color="auto"/>
            </w:tcBorders>
            <w:vMerge w:val="continue"/>
            <w:shd w:val="clear" w:color="auto" w:fill="003445"/>
          </w:tcPr>
          <w:p>
            <w:pPr>
              <w:spacing w:after="0"/>
              <w:rPr>
                <w:sz w:val="15"/>
                <w:szCs w:val="15"/>
                <w:color w:val="auto"/>
              </w:rPr>
            </w:pPr>
          </w:p>
        </w:tc>
        <w:tc>
          <w:tcPr>
            <w:tcW w:w="116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2"/>
                <w:szCs w:val="12"/>
                <w:b w:val="1"/>
                <w:bCs w:val="1"/>
                <w:color w:val="FFFFFF"/>
              </w:rPr>
              <w:t>awards</w:t>
            </w:r>
          </w:p>
        </w:tc>
        <w:tc>
          <w:tcPr>
            <w:tcW w:w="1180" w:type="dxa"/>
            <w:vAlign w:val="bottom"/>
            <w:tcBorders>
              <w:bottom w:val="single" w:sz="8" w:color="auto"/>
              <w:right w:val="single" w:sz="8" w:color="auto"/>
            </w:tcBorders>
            <w:shd w:val="clear" w:color="auto" w:fill="003445"/>
          </w:tcPr>
          <w:p>
            <w:pPr>
              <w:jc w:val="center"/>
              <w:ind w:left="19"/>
              <w:spacing w:after="0"/>
              <w:rPr>
                <w:sz w:val="20"/>
                <w:szCs w:val="20"/>
                <w:color w:val="auto"/>
              </w:rPr>
            </w:pPr>
            <w:r>
              <w:rPr>
                <w:rFonts w:ascii="Arial" w:cs="Arial" w:eastAsia="Arial" w:hAnsi="Arial"/>
                <w:sz w:val="12"/>
                <w:szCs w:val="12"/>
                <w:b w:val="1"/>
                <w:bCs w:val="1"/>
                <w:color w:val="FFFFFF"/>
                <w:w w:val="95"/>
              </w:rPr>
              <w:t>($)</w:t>
            </w:r>
          </w:p>
        </w:tc>
        <w:tc>
          <w:tcPr>
            <w:tcW w:w="1160" w:type="dxa"/>
            <w:vAlign w:val="bottom"/>
            <w:tcBorders>
              <w:bottom w:val="single" w:sz="8" w:color="auto"/>
              <w:right w:val="single" w:sz="8" w:color="auto"/>
            </w:tcBorders>
            <w:shd w:val="clear" w:color="auto" w:fill="003445"/>
          </w:tcPr>
          <w:p>
            <w:pPr>
              <w:jc w:val="center"/>
              <w:ind w:left="1"/>
              <w:spacing w:after="0"/>
              <w:rPr>
                <w:sz w:val="20"/>
                <w:szCs w:val="20"/>
                <w:color w:val="auto"/>
              </w:rPr>
            </w:pPr>
            <w:r>
              <w:rPr>
                <w:rFonts w:ascii="Arial" w:cs="Arial" w:eastAsia="Arial" w:hAnsi="Arial"/>
                <w:sz w:val="12"/>
                <w:szCs w:val="12"/>
                <w:b w:val="1"/>
                <w:bCs w:val="1"/>
                <w:color w:val="FFFFFF"/>
                <w:w w:val="95"/>
              </w:rPr>
              <w:t>($)</w:t>
            </w:r>
          </w:p>
        </w:tc>
        <w:tc>
          <w:tcPr>
            <w:tcW w:w="1160" w:type="dxa"/>
            <w:vAlign w:val="bottom"/>
            <w:tcBorders>
              <w:bottom w:val="single" w:sz="8" w:color="auto"/>
              <w:right w:val="single" w:sz="8" w:color="auto"/>
            </w:tcBorders>
            <w:shd w:val="clear" w:color="auto" w:fill="003445"/>
          </w:tcPr>
          <w:p>
            <w:pPr>
              <w:jc w:val="center"/>
              <w:ind w:left="19"/>
              <w:spacing w:after="0"/>
              <w:rPr>
                <w:sz w:val="20"/>
                <w:szCs w:val="20"/>
                <w:color w:val="auto"/>
              </w:rPr>
            </w:pPr>
            <w:r>
              <w:rPr>
                <w:rFonts w:ascii="Arial" w:cs="Arial" w:eastAsia="Arial" w:hAnsi="Arial"/>
                <w:sz w:val="12"/>
                <w:szCs w:val="12"/>
                <w:b w:val="1"/>
                <w:bCs w:val="1"/>
                <w:color w:val="FFFFFF"/>
              </w:rPr>
              <w:t>($)</w:t>
            </w:r>
          </w:p>
        </w:tc>
        <w:tc>
          <w:tcPr>
            <w:tcW w:w="106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126"/>
        </w:trPr>
        <w:tc>
          <w:tcPr>
            <w:tcW w:w="1460" w:type="dxa"/>
            <w:vAlign w:val="bottom"/>
            <w:tcBorders>
              <w:left w:val="single" w:sz="8" w:color="auto"/>
              <w:right w:val="single" w:sz="8" w:color="auto"/>
            </w:tcBorders>
          </w:tcPr>
          <w:p>
            <w:pPr>
              <w:ind w:left="160"/>
              <w:spacing w:after="0" w:line="126" w:lineRule="exact"/>
              <w:rPr>
                <w:sz w:val="20"/>
                <w:szCs w:val="20"/>
                <w:color w:val="auto"/>
              </w:rPr>
            </w:pPr>
            <w:r>
              <w:rPr>
                <w:rFonts w:ascii="Arial" w:cs="Arial" w:eastAsia="Arial" w:hAnsi="Arial"/>
                <w:sz w:val="12"/>
                <w:szCs w:val="12"/>
                <w:b w:val="1"/>
                <w:bCs w:val="1"/>
                <w:color w:val="auto"/>
              </w:rPr>
              <w:t>Michael Garcia</w:t>
            </w:r>
          </w:p>
        </w:tc>
        <w:tc>
          <w:tcPr>
            <w:tcW w:w="12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89"/>
              </w:rPr>
              <w:t>–</w:t>
            </w:r>
          </w:p>
        </w:tc>
        <w:tc>
          <w:tcPr>
            <w:tcW w:w="1020" w:type="dxa"/>
            <w:vAlign w:val="bottom"/>
          </w:tcPr>
          <w:p>
            <w:pPr>
              <w:jc w:val="center"/>
              <w:ind w:left="139"/>
              <w:spacing w:after="0" w:line="126" w:lineRule="exact"/>
              <w:rPr>
                <w:sz w:val="20"/>
                <w:szCs w:val="20"/>
                <w:color w:val="auto"/>
              </w:rPr>
            </w:pPr>
            <w:r>
              <w:rPr>
                <w:rFonts w:ascii="Arial" w:cs="Arial" w:eastAsia="Arial" w:hAnsi="Arial"/>
                <w:sz w:val="12"/>
                <w:szCs w:val="12"/>
                <w:color w:val="auto"/>
                <w:w w:val="89"/>
              </w:rPr>
              <w:t>–</w:t>
            </w:r>
          </w:p>
        </w:tc>
        <w:tc>
          <w:tcPr>
            <w:tcW w:w="140" w:type="dxa"/>
            <w:vAlign w:val="bottom"/>
            <w:tcBorders>
              <w:right w:val="single" w:sz="8" w:color="auto"/>
            </w:tcBorders>
          </w:tcPr>
          <w:p>
            <w:pPr>
              <w:spacing w:after="0"/>
              <w:rPr>
                <w:sz w:val="10"/>
                <w:szCs w:val="10"/>
                <w:color w:val="auto"/>
              </w:rPr>
            </w:pPr>
          </w:p>
        </w:tc>
        <w:tc>
          <w:tcPr>
            <w:tcW w:w="11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9"/>
              <w:spacing w:after="0" w:line="126" w:lineRule="exact"/>
              <w:rPr>
                <w:sz w:val="20"/>
                <w:szCs w:val="20"/>
                <w:color w:val="auto"/>
              </w:rPr>
            </w:pPr>
            <w:r>
              <w:rPr>
                <w:rFonts w:ascii="Arial" w:cs="Arial" w:eastAsia="Arial" w:hAnsi="Arial"/>
                <w:sz w:val="12"/>
                <w:szCs w:val="12"/>
                <w:color w:val="auto"/>
              </w:rPr>
              <w:t>–</w:t>
            </w:r>
          </w:p>
        </w:tc>
        <w:tc>
          <w:tcPr>
            <w:tcW w:w="1180" w:type="dxa"/>
            <w:vAlign w:val="bottom"/>
            <w:tcBorders>
              <w:right w:val="single" w:sz="8" w:color="auto"/>
            </w:tcBorders>
          </w:tcPr>
          <w:p>
            <w:pPr>
              <w:jc w:val="center"/>
              <w:ind w:left="19"/>
              <w:spacing w:after="0" w:line="126"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
              <w:spacing w:after="0" w:line="126"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9"/>
              <w:spacing w:after="0" w:line="126" w:lineRule="exact"/>
              <w:rPr>
                <w:sz w:val="20"/>
                <w:szCs w:val="20"/>
                <w:color w:val="auto"/>
              </w:rPr>
            </w:pPr>
            <w:r>
              <w:rPr>
                <w:rFonts w:ascii="Arial" w:cs="Arial" w:eastAsia="Arial" w:hAnsi="Arial"/>
                <w:sz w:val="12"/>
                <w:szCs w:val="12"/>
                <w:color w:val="auto"/>
              </w:rPr>
              <w:t>–</w:t>
            </w:r>
          </w:p>
        </w:tc>
        <w:tc>
          <w:tcPr>
            <w:tcW w:w="106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Former Chief</w:t>
            </w:r>
          </w:p>
        </w:tc>
        <w:tc>
          <w:tcPr>
            <w:tcW w:w="12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i w:val="1"/>
                <w:iCs w:val="1"/>
                <w:color w:val="auto"/>
              </w:rPr>
              <w:t>Executive Officer</w:t>
            </w:r>
          </w:p>
        </w:tc>
        <w:tc>
          <w:tcPr>
            <w:tcW w:w="12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6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b w:val="1"/>
                <w:bCs w:val="1"/>
                <w:color w:val="auto"/>
              </w:rPr>
              <w:t>Rajat Marwah</w:t>
            </w:r>
          </w:p>
        </w:tc>
        <w:tc>
          <w:tcPr>
            <w:tcW w:w="12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020" w:type="dxa"/>
            <w:vAlign w:val="bottom"/>
          </w:tcPr>
          <w:p>
            <w:pPr>
              <w:jc w:val="center"/>
              <w:ind w:left="139"/>
              <w:spacing w:after="0" w:line="129" w:lineRule="exact"/>
              <w:rPr>
                <w:sz w:val="20"/>
                <w:szCs w:val="20"/>
                <w:color w:val="auto"/>
              </w:rPr>
            </w:pPr>
            <w:r>
              <w:rPr>
                <w:rFonts w:ascii="Arial" w:cs="Arial" w:eastAsia="Arial" w:hAnsi="Arial"/>
                <w:sz w:val="12"/>
                <w:szCs w:val="12"/>
                <w:color w:val="auto"/>
                <w:w w:val="89"/>
              </w:rPr>
              <w:t>–</w:t>
            </w: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9"/>
              <w:spacing w:after="0" w:line="129" w:lineRule="exact"/>
              <w:rPr>
                <w:sz w:val="20"/>
                <w:szCs w:val="20"/>
                <w:color w:val="auto"/>
              </w:rPr>
            </w:pPr>
            <w:r>
              <w:rPr>
                <w:rFonts w:ascii="Arial" w:cs="Arial" w:eastAsia="Arial" w:hAnsi="Arial"/>
                <w:sz w:val="12"/>
                <w:szCs w:val="12"/>
                <w:color w:val="auto"/>
              </w:rPr>
              <w:t>–</w:t>
            </w:r>
          </w:p>
        </w:tc>
        <w:tc>
          <w:tcPr>
            <w:tcW w:w="1180" w:type="dxa"/>
            <w:vAlign w:val="bottom"/>
            <w:tcBorders>
              <w:right w:val="single" w:sz="8" w:color="auto"/>
            </w:tcBorders>
          </w:tcPr>
          <w:p>
            <w:pPr>
              <w:jc w:val="center"/>
              <w:ind w:left="19"/>
              <w:spacing w:after="0" w:line="129"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9"/>
              <w:spacing w:after="0" w:line="129" w:lineRule="exact"/>
              <w:rPr>
                <w:sz w:val="20"/>
                <w:szCs w:val="20"/>
                <w:color w:val="auto"/>
              </w:rPr>
            </w:pPr>
            <w:r>
              <w:rPr>
                <w:rFonts w:ascii="Arial" w:cs="Arial" w:eastAsia="Arial" w:hAnsi="Arial"/>
                <w:sz w:val="12"/>
                <w:szCs w:val="12"/>
                <w:color w:val="auto"/>
              </w:rPr>
              <w:t>–</w:t>
            </w:r>
          </w:p>
        </w:tc>
        <w:tc>
          <w:tcPr>
            <w:tcW w:w="10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Chief Executive</w:t>
            </w:r>
          </w:p>
        </w:tc>
        <w:tc>
          <w:tcPr>
            <w:tcW w:w="12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Officer / Former</w:t>
            </w:r>
          </w:p>
        </w:tc>
        <w:tc>
          <w:tcPr>
            <w:tcW w:w="12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President and Chief</w:t>
            </w:r>
          </w:p>
        </w:tc>
        <w:tc>
          <w:tcPr>
            <w:tcW w:w="12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i w:val="1"/>
                <w:iCs w:val="1"/>
                <w:color w:val="auto"/>
              </w:rPr>
              <w:t>Financial Officer</w:t>
            </w:r>
          </w:p>
        </w:tc>
        <w:tc>
          <w:tcPr>
            <w:tcW w:w="12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6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b w:val="1"/>
                <w:bCs w:val="1"/>
                <w:color w:val="auto"/>
              </w:rPr>
              <w:t>John Naccarato</w:t>
            </w:r>
          </w:p>
        </w:tc>
        <w:tc>
          <w:tcPr>
            <w:tcW w:w="12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020" w:type="dxa"/>
            <w:vAlign w:val="bottom"/>
          </w:tcPr>
          <w:p>
            <w:pPr>
              <w:jc w:val="center"/>
              <w:ind w:left="139"/>
              <w:spacing w:after="0" w:line="129" w:lineRule="exact"/>
              <w:rPr>
                <w:sz w:val="20"/>
                <w:szCs w:val="20"/>
                <w:color w:val="auto"/>
              </w:rPr>
            </w:pPr>
            <w:r>
              <w:rPr>
                <w:rFonts w:ascii="Arial" w:cs="Arial" w:eastAsia="Arial" w:hAnsi="Arial"/>
                <w:sz w:val="12"/>
                <w:szCs w:val="12"/>
                <w:color w:val="auto"/>
                <w:w w:val="89"/>
              </w:rPr>
              <w:t>–</w:t>
            </w: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9"/>
              <w:spacing w:after="0" w:line="129" w:lineRule="exact"/>
              <w:rPr>
                <w:sz w:val="20"/>
                <w:szCs w:val="20"/>
                <w:color w:val="auto"/>
              </w:rPr>
            </w:pPr>
            <w:r>
              <w:rPr>
                <w:rFonts w:ascii="Arial" w:cs="Arial" w:eastAsia="Arial" w:hAnsi="Arial"/>
                <w:sz w:val="12"/>
                <w:szCs w:val="12"/>
                <w:color w:val="auto"/>
              </w:rPr>
              <w:t>–</w:t>
            </w:r>
          </w:p>
        </w:tc>
        <w:tc>
          <w:tcPr>
            <w:tcW w:w="1180" w:type="dxa"/>
            <w:vAlign w:val="bottom"/>
            <w:tcBorders>
              <w:right w:val="single" w:sz="8" w:color="auto"/>
            </w:tcBorders>
          </w:tcPr>
          <w:p>
            <w:pPr>
              <w:jc w:val="center"/>
              <w:ind w:left="19"/>
              <w:spacing w:after="0" w:line="129"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9"/>
              <w:spacing w:after="0" w:line="129" w:lineRule="exact"/>
              <w:rPr>
                <w:sz w:val="20"/>
                <w:szCs w:val="20"/>
                <w:color w:val="auto"/>
              </w:rPr>
            </w:pPr>
            <w:r>
              <w:rPr>
                <w:rFonts w:ascii="Arial" w:cs="Arial" w:eastAsia="Arial" w:hAnsi="Arial"/>
                <w:sz w:val="12"/>
                <w:szCs w:val="12"/>
                <w:color w:val="auto"/>
              </w:rPr>
              <w:t>–</w:t>
            </w:r>
          </w:p>
        </w:tc>
        <w:tc>
          <w:tcPr>
            <w:tcW w:w="10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Vice President –</w:t>
            </w:r>
          </w:p>
        </w:tc>
        <w:tc>
          <w:tcPr>
            <w:tcW w:w="12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Strategy and Chief</w:t>
            </w:r>
          </w:p>
        </w:tc>
        <w:tc>
          <w:tcPr>
            <w:tcW w:w="12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i w:val="1"/>
                <w:iCs w:val="1"/>
                <w:color w:val="auto"/>
              </w:rPr>
              <w:t>Legal Officer</w:t>
            </w:r>
          </w:p>
        </w:tc>
        <w:tc>
          <w:tcPr>
            <w:tcW w:w="12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6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b w:val="1"/>
                <w:bCs w:val="1"/>
                <w:color w:val="auto"/>
              </w:rPr>
              <w:t>Mark Nogalo</w:t>
            </w:r>
          </w:p>
        </w:tc>
        <w:tc>
          <w:tcPr>
            <w:tcW w:w="12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Former Vice President</w:t>
            </w:r>
          </w:p>
        </w:tc>
        <w:tc>
          <w:tcPr>
            <w:tcW w:w="120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2"/>
                <w:szCs w:val="12"/>
                <w:color w:val="auto"/>
                <w:w w:val="94"/>
              </w:rPr>
              <w:t>35.0</w:t>
            </w:r>
            <w:r>
              <w:rPr>
                <w:rFonts w:ascii="Arial" w:cs="Arial" w:eastAsia="Arial" w:hAnsi="Arial"/>
                <w:sz w:val="18"/>
                <w:szCs w:val="18"/>
                <w:color w:val="auto"/>
                <w:w w:val="94"/>
                <w:vertAlign w:val="superscript"/>
              </w:rPr>
              <w:t>(1)</w:t>
            </w:r>
          </w:p>
        </w:tc>
        <w:tc>
          <w:tcPr>
            <w:tcW w:w="1020" w:type="dxa"/>
            <w:vAlign w:val="bottom"/>
            <w:vMerge w:val="restart"/>
          </w:tcPr>
          <w:p>
            <w:pPr>
              <w:jc w:val="center"/>
              <w:ind w:left="139"/>
              <w:spacing w:after="0"/>
              <w:rPr>
                <w:sz w:val="20"/>
                <w:szCs w:val="20"/>
                <w:color w:val="auto"/>
              </w:rPr>
            </w:pPr>
            <w:r>
              <w:rPr>
                <w:rFonts w:ascii="Arial" w:cs="Arial" w:eastAsia="Arial" w:hAnsi="Arial"/>
                <w:sz w:val="12"/>
                <w:szCs w:val="12"/>
                <w:color w:val="auto"/>
                <w:w w:val="99"/>
              </w:rPr>
              <w:t>$131,500</w:t>
            </w: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9"/>
              </w:rPr>
              <w:t>$131,500</w:t>
            </w:r>
          </w:p>
        </w:tc>
        <w:tc>
          <w:tcPr>
            <w:tcW w:w="116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2"/>
                <w:szCs w:val="12"/>
                <w:color w:val="auto"/>
              </w:rPr>
              <w:t>–</w:t>
            </w:r>
          </w:p>
        </w:tc>
        <w:tc>
          <w:tcPr>
            <w:tcW w:w="118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2"/>
                <w:szCs w:val="12"/>
                <w:color w:val="auto"/>
              </w:rPr>
              <w:t>$1,682,200</w:t>
            </w:r>
          </w:p>
        </w:tc>
        <w:tc>
          <w:tcPr>
            <w:tcW w:w="1160" w:type="dxa"/>
            <w:vAlign w:val="bottom"/>
            <w:tcBorders>
              <w:right w:val="single" w:sz="8" w:color="auto"/>
            </w:tcBorders>
            <w:vMerge w:val="restart"/>
          </w:tcPr>
          <w:p>
            <w:pPr>
              <w:jc w:val="center"/>
              <w:ind w:left="1"/>
              <w:spacing w:after="0" w:line="251" w:lineRule="exact"/>
              <w:rPr>
                <w:sz w:val="20"/>
                <w:szCs w:val="20"/>
                <w:color w:val="auto"/>
              </w:rPr>
            </w:pPr>
            <w:r>
              <w:rPr>
                <w:rFonts w:ascii="Arial" w:cs="Arial" w:eastAsia="Arial" w:hAnsi="Arial"/>
                <w:sz w:val="24"/>
                <w:szCs w:val="24"/>
                <w:color w:val="auto"/>
                <w:w w:val="87"/>
                <w:vertAlign w:val="subscript"/>
              </w:rPr>
              <w:t>$ -</w:t>
            </w:r>
            <w:r>
              <w:rPr>
                <w:rFonts w:ascii="Arial" w:cs="Arial" w:eastAsia="Arial" w:hAnsi="Arial"/>
                <w:sz w:val="9"/>
                <w:szCs w:val="9"/>
                <w:color w:val="auto"/>
                <w:w w:val="87"/>
              </w:rPr>
              <w:t>(2)</w:t>
            </w:r>
          </w:p>
        </w:tc>
        <w:tc>
          <w:tcPr>
            <w:tcW w:w="1160" w:type="dxa"/>
            <w:vAlign w:val="bottom"/>
            <w:tcBorders>
              <w:right w:val="single" w:sz="8" w:color="auto"/>
            </w:tcBorders>
            <w:vMerge w:val="restart"/>
          </w:tcPr>
          <w:p>
            <w:pPr>
              <w:jc w:val="center"/>
              <w:ind w:left="19"/>
              <w:spacing w:after="0"/>
              <w:rPr>
                <w:sz w:val="20"/>
                <w:szCs w:val="20"/>
                <w:color w:val="auto"/>
              </w:rPr>
            </w:pPr>
            <w:r>
              <w:rPr>
                <w:rFonts w:ascii="Arial" w:cs="Arial" w:eastAsia="Arial" w:hAnsi="Arial"/>
                <w:sz w:val="12"/>
                <w:szCs w:val="12"/>
                <w:color w:val="auto"/>
                <w:w w:val="96"/>
              </w:rPr>
              <w:t>$12,500</w:t>
            </w:r>
            <w:r>
              <w:rPr>
                <w:rFonts w:ascii="Arial" w:cs="Arial" w:eastAsia="Arial" w:hAnsi="Arial"/>
                <w:sz w:val="18"/>
                <w:szCs w:val="18"/>
                <w:color w:val="auto"/>
                <w:w w:val="96"/>
                <w:vertAlign w:val="superscript"/>
              </w:rPr>
              <w:t>(3)</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$1,694,700</w:t>
            </w: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 Strategic</w:t>
            </w:r>
          </w:p>
        </w:tc>
        <w:tc>
          <w:tcPr>
            <w:tcW w:w="1200" w:type="dxa"/>
            <w:vAlign w:val="bottom"/>
            <w:tcBorders>
              <w:right w:val="single" w:sz="8" w:color="auto"/>
            </w:tcBorders>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18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i w:val="1"/>
                <w:iCs w:val="1"/>
                <w:color w:val="auto"/>
              </w:rPr>
              <w:t>Transformation</w:t>
            </w:r>
          </w:p>
        </w:tc>
        <w:tc>
          <w:tcPr>
            <w:tcW w:w="12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460" w:type="dxa"/>
            <w:vAlign w:val="bottom"/>
            <w:tcBorders>
              <w:left w:val="single" w:sz="8" w:color="auto"/>
              <w:right w:val="single" w:sz="8" w:color="auto"/>
            </w:tcBorders>
          </w:tcPr>
          <w:p>
            <w:pPr>
              <w:ind w:left="160"/>
              <w:spacing w:after="0" w:line="129" w:lineRule="exact"/>
              <w:rPr>
                <w:sz w:val="20"/>
                <w:szCs w:val="20"/>
                <w:color w:val="auto"/>
              </w:rPr>
            </w:pPr>
            <w:r>
              <w:rPr>
                <w:rFonts w:ascii="Arial" w:cs="Arial" w:eastAsia="Arial" w:hAnsi="Arial"/>
                <w:sz w:val="12"/>
                <w:szCs w:val="12"/>
                <w:b w:val="1"/>
                <w:bCs w:val="1"/>
                <w:color w:val="auto"/>
              </w:rPr>
              <w:t>Michael Panzeri</w:t>
            </w:r>
          </w:p>
        </w:tc>
        <w:tc>
          <w:tcPr>
            <w:tcW w:w="120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020" w:type="dxa"/>
            <w:vAlign w:val="bottom"/>
          </w:tcPr>
          <w:p>
            <w:pPr>
              <w:jc w:val="center"/>
              <w:ind w:left="139"/>
              <w:spacing w:after="0" w:line="129" w:lineRule="exact"/>
              <w:rPr>
                <w:sz w:val="20"/>
                <w:szCs w:val="20"/>
                <w:color w:val="auto"/>
              </w:rPr>
            </w:pPr>
            <w:r>
              <w:rPr>
                <w:rFonts w:ascii="Arial" w:cs="Arial" w:eastAsia="Arial" w:hAnsi="Arial"/>
                <w:sz w:val="12"/>
                <w:szCs w:val="12"/>
                <w:color w:val="auto"/>
                <w:w w:val="89"/>
              </w:rPr>
              <w:t>–</w:t>
            </w: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9"/>
              <w:spacing w:after="0" w:line="129" w:lineRule="exact"/>
              <w:rPr>
                <w:sz w:val="20"/>
                <w:szCs w:val="20"/>
                <w:color w:val="auto"/>
              </w:rPr>
            </w:pPr>
            <w:r>
              <w:rPr>
                <w:rFonts w:ascii="Arial" w:cs="Arial" w:eastAsia="Arial" w:hAnsi="Arial"/>
                <w:sz w:val="12"/>
                <w:szCs w:val="12"/>
                <w:color w:val="auto"/>
              </w:rPr>
              <w:t>–</w:t>
            </w:r>
          </w:p>
        </w:tc>
        <w:tc>
          <w:tcPr>
            <w:tcW w:w="1180" w:type="dxa"/>
            <w:vAlign w:val="bottom"/>
            <w:tcBorders>
              <w:right w:val="single" w:sz="8" w:color="auto"/>
            </w:tcBorders>
          </w:tcPr>
          <w:p>
            <w:pPr>
              <w:jc w:val="center"/>
              <w:ind w:left="19"/>
              <w:spacing w:after="0" w:line="129"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
              <w:spacing w:after="0" w:line="129" w:lineRule="exact"/>
              <w:rPr>
                <w:sz w:val="20"/>
                <w:szCs w:val="20"/>
                <w:color w:val="auto"/>
              </w:rPr>
            </w:pPr>
            <w:r>
              <w:rPr>
                <w:rFonts w:ascii="Arial" w:cs="Arial" w:eastAsia="Arial" w:hAnsi="Arial"/>
                <w:sz w:val="12"/>
                <w:szCs w:val="12"/>
                <w:color w:val="auto"/>
                <w:w w:val="89"/>
              </w:rPr>
              <w:t>–</w:t>
            </w:r>
          </w:p>
        </w:tc>
        <w:tc>
          <w:tcPr>
            <w:tcW w:w="1160" w:type="dxa"/>
            <w:vAlign w:val="bottom"/>
            <w:tcBorders>
              <w:right w:val="single" w:sz="8" w:color="auto"/>
            </w:tcBorders>
          </w:tcPr>
          <w:p>
            <w:pPr>
              <w:jc w:val="center"/>
              <w:ind w:left="19"/>
              <w:spacing w:after="0" w:line="129" w:lineRule="exact"/>
              <w:rPr>
                <w:sz w:val="20"/>
                <w:szCs w:val="20"/>
                <w:color w:val="auto"/>
              </w:rPr>
            </w:pPr>
            <w:r>
              <w:rPr>
                <w:rFonts w:ascii="Arial" w:cs="Arial" w:eastAsia="Arial" w:hAnsi="Arial"/>
                <w:sz w:val="12"/>
                <w:szCs w:val="12"/>
                <w:color w:val="auto"/>
              </w:rPr>
              <w:t>–</w:t>
            </w:r>
          </w:p>
        </w:tc>
        <w:tc>
          <w:tcPr>
            <w:tcW w:w="106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2"/>
                <w:szCs w:val="12"/>
                <w:color w:val="auto"/>
                <w:w w:val="89"/>
              </w:rPr>
              <w:t>–</w:t>
            </w:r>
          </w:p>
        </w:tc>
        <w:tc>
          <w:tcPr>
            <w:tcW w:w="0" w:type="dxa"/>
            <w:vAlign w:val="bottom"/>
          </w:tcPr>
          <w:p>
            <w:pPr>
              <w:spacing w:after="0"/>
              <w:rPr>
                <w:sz w:val="1"/>
                <w:szCs w:val="1"/>
                <w:color w:val="auto"/>
              </w:rPr>
            </w:pPr>
          </w:p>
        </w:tc>
      </w:tr>
      <w:tr>
        <w:trPr>
          <w:trHeight w:val="131"/>
        </w:trPr>
        <w:tc>
          <w:tcPr>
            <w:tcW w:w="1460" w:type="dxa"/>
            <w:vAlign w:val="bottom"/>
            <w:tcBorders>
              <w:left w:val="single" w:sz="8" w:color="auto"/>
              <w:right w:val="single" w:sz="8" w:color="auto"/>
            </w:tcBorders>
          </w:tcPr>
          <w:p>
            <w:pPr>
              <w:ind w:left="160"/>
              <w:spacing w:after="0" w:line="131" w:lineRule="exact"/>
              <w:rPr>
                <w:sz w:val="20"/>
                <w:szCs w:val="20"/>
                <w:color w:val="auto"/>
              </w:rPr>
            </w:pPr>
            <w:r>
              <w:rPr>
                <w:rFonts w:ascii="Arial" w:cs="Arial" w:eastAsia="Arial" w:hAnsi="Arial"/>
                <w:sz w:val="12"/>
                <w:szCs w:val="12"/>
                <w:i w:val="1"/>
                <w:iCs w:val="1"/>
                <w:color w:val="auto"/>
              </w:rPr>
              <w:t>Senior Vice President –</w:t>
            </w:r>
          </w:p>
        </w:tc>
        <w:tc>
          <w:tcPr>
            <w:tcW w:w="120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16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2"/>
                <w:szCs w:val="12"/>
                <w:i w:val="1"/>
                <w:iCs w:val="1"/>
                <w:color w:val="auto"/>
              </w:rPr>
              <w:t>Production</w:t>
            </w:r>
          </w:p>
        </w:tc>
        <w:tc>
          <w:tcPr>
            <w:tcW w:w="120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right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122237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ind w:left="520" w:hanging="415"/>
        <w:spacing w:after="0"/>
        <w:tabs>
          <w:tab w:leader="none" w:pos="520" w:val="left"/>
        </w:tabs>
        <w:numPr>
          <w:ilvl w:val="0"/>
          <w:numId w:val="44"/>
        </w:numPr>
        <w:rPr>
          <w:rFonts w:ascii="Arial" w:cs="Arial" w:eastAsia="Arial" w:hAnsi="Arial"/>
          <w:sz w:val="16"/>
          <w:szCs w:val="16"/>
          <w:i w:val="1"/>
          <w:iCs w:val="1"/>
          <w:color w:val="003445"/>
        </w:rPr>
      </w:pPr>
      <w:r>
        <w:rPr>
          <w:rFonts w:ascii="Arial" w:cs="Arial" w:eastAsia="Arial" w:hAnsi="Arial"/>
          <w:sz w:val="16"/>
          <w:szCs w:val="16"/>
          <w:i w:val="1"/>
          <w:iCs w:val="1"/>
          <w:color w:val="003445"/>
        </w:rPr>
        <w:t>Mr. Nogalo has achieved the maximum 35-year credited service threshold.</w:t>
      </w:r>
    </w:p>
    <w:p>
      <w:pPr>
        <w:spacing w:after="0" w:line="13" w:lineRule="exact"/>
        <w:rPr>
          <w:rFonts w:ascii="Arial" w:cs="Arial" w:eastAsia="Arial" w:hAnsi="Arial"/>
          <w:sz w:val="16"/>
          <w:szCs w:val="16"/>
          <w:i w:val="1"/>
          <w:iCs w:val="1"/>
          <w:color w:val="003445"/>
        </w:rPr>
      </w:pPr>
    </w:p>
    <w:p>
      <w:pPr>
        <w:ind w:left="520" w:hanging="415"/>
        <w:spacing w:after="0"/>
        <w:tabs>
          <w:tab w:leader="none" w:pos="520" w:val="left"/>
        </w:tabs>
        <w:numPr>
          <w:ilvl w:val="0"/>
          <w:numId w:val="44"/>
        </w:numPr>
        <w:rPr>
          <w:rFonts w:ascii="Arial" w:cs="Arial" w:eastAsia="Arial" w:hAnsi="Arial"/>
          <w:sz w:val="16"/>
          <w:szCs w:val="16"/>
          <w:i w:val="1"/>
          <w:iCs w:val="1"/>
          <w:color w:val="003445"/>
        </w:rPr>
      </w:pPr>
      <w:r>
        <w:rPr>
          <w:rFonts w:ascii="Arial" w:cs="Arial" w:eastAsia="Arial" w:hAnsi="Arial"/>
          <w:sz w:val="16"/>
          <w:szCs w:val="16"/>
          <w:i w:val="1"/>
          <w:iCs w:val="1"/>
          <w:color w:val="003445"/>
        </w:rPr>
        <w:t>The compensatory change in the defined benefit obligation is equal to the sum of the following:</w:t>
      </w:r>
    </w:p>
    <w:p>
      <w:pPr>
        <w:ind w:left="1060" w:right="20" w:hanging="314"/>
        <w:spacing w:after="0" w:line="239" w:lineRule="auto"/>
        <w:tabs>
          <w:tab w:leader="none" w:pos="1060" w:val="left"/>
        </w:tabs>
        <w:numPr>
          <w:ilvl w:val="1"/>
          <w:numId w:val="44"/>
        </w:numPr>
        <w:rPr>
          <w:rFonts w:ascii="Arial" w:cs="Arial" w:eastAsia="Arial" w:hAnsi="Arial"/>
          <w:sz w:val="16"/>
          <w:szCs w:val="16"/>
          <w:color w:val="003445"/>
        </w:rPr>
      </w:pPr>
      <w:r>
        <w:rPr>
          <w:rFonts w:ascii="Arial" w:cs="Arial" w:eastAsia="Arial" w:hAnsi="Arial"/>
          <w:sz w:val="16"/>
          <w:szCs w:val="16"/>
          <w:i w:val="1"/>
          <w:iCs w:val="1"/>
          <w:color w:val="003445"/>
        </w:rPr>
        <w:t>The value of service accrued from January 1, 2025 to December 31, 2025 ($0 for this period since Mr. Nogalo has achieved the 35 year credited service cap);</w:t>
      </w:r>
    </w:p>
    <w:p>
      <w:pPr>
        <w:ind w:left="1060" w:right="20" w:hanging="314"/>
        <w:spacing w:after="0" w:line="239" w:lineRule="auto"/>
        <w:tabs>
          <w:tab w:leader="none" w:pos="1060" w:val="left"/>
        </w:tabs>
        <w:numPr>
          <w:ilvl w:val="1"/>
          <w:numId w:val="44"/>
        </w:numPr>
        <w:rPr>
          <w:rFonts w:ascii="Arial" w:cs="Arial" w:eastAsia="Arial" w:hAnsi="Arial"/>
          <w:sz w:val="16"/>
          <w:szCs w:val="16"/>
          <w:color w:val="003445"/>
        </w:rPr>
      </w:pPr>
      <w:r>
        <w:rPr>
          <w:rFonts w:ascii="Arial" w:cs="Arial" w:eastAsia="Arial" w:hAnsi="Arial"/>
          <w:sz w:val="16"/>
          <w:szCs w:val="16"/>
          <w:i w:val="1"/>
          <w:iCs w:val="1"/>
          <w:color w:val="003445"/>
        </w:rPr>
        <w:t>The impact of any difference in pensionable earnings versus the expected pensionable earnings used to determine the obligation at the beginning of the year; and</w:t>
      </w:r>
    </w:p>
    <w:p>
      <w:pPr>
        <w:ind w:left="1060" w:hanging="314"/>
        <w:spacing w:after="0"/>
        <w:tabs>
          <w:tab w:leader="none" w:pos="1060" w:val="left"/>
        </w:tabs>
        <w:numPr>
          <w:ilvl w:val="1"/>
          <w:numId w:val="44"/>
        </w:numPr>
        <w:rPr>
          <w:rFonts w:ascii="Arial" w:cs="Arial" w:eastAsia="Arial" w:hAnsi="Arial"/>
          <w:sz w:val="16"/>
          <w:szCs w:val="16"/>
          <w:color w:val="003445"/>
        </w:rPr>
      </w:pPr>
      <w:r>
        <w:rPr>
          <w:rFonts w:ascii="Arial" w:cs="Arial" w:eastAsia="Arial" w:hAnsi="Arial"/>
          <w:sz w:val="16"/>
          <w:szCs w:val="16"/>
          <w:i w:val="1"/>
          <w:iCs w:val="1"/>
          <w:color w:val="003445"/>
        </w:rPr>
        <w:t>The impact of past service benefit changes or special termination benefits provided from January 1, 2025 to December 31, 2025, if any.</w:t>
      </w:r>
    </w:p>
    <w:p>
      <w:pPr>
        <w:ind w:left="520" w:hanging="415"/>
        <w:spacing w:after="0"/>
        <w:tabs>
          <w:tab w:leader="none" w:pos="520" w:val="left"/>
        </w:tabs>
        <w:numPr>
          <w:ilvl w:val="0"/>
          <w:numId w:val="44"/>
        </w:numPr>
        <w:rPr>
          <w:rFonts w:ascii="Arial" w:cs="Arial" w:eastAsia="Arial" w:hAnsi="Arial"/>
          <w:sz w:val="16"/>
          <w:szCs w:val="16"/>
          <w:i w:val="1"/>
          <w:iCs w:val="1"/>
          <w:color w:val="003445"/>
        </w:rPr>
      </w:pPr>
      <w:r>
        <w:rPr>
          <w:rFonts w:ascii="Arial" w:cs="Arial" w:eastAsia="Arial" w:hAnsi="Arial"/>
          <w:sz w:val="16"/>
          <w:szCs w:val="16"/>
          <w:i w:val="1"/>
          <w:iCs w:val="1"/>
          <w:color w:val="003445"/>
        </w:rPr>
        <w:t>This includes interest accrued on the obligation, retirement experience other than expected, and changes in actuarial assumptions.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003445"/>
        </w:rPr>
        <w:t>Defined Contribution Plan</w:t>
      </w:r>
    </w:p>
    <w:p>
      <w:pPr>
        <w:spacing w:after="0" w:line="208"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In Fiscal 2025, each of the NEOs participated in the DC Plan, which provides, with respect to non-union salaried employees, a Company contribution at 6% of base salary, and an option that such employees may elect to contribute up to 3% of their base salary, which the Company will match. The sum of all contributions by the Company and the respective employee must not exceed the income tax limit for money purchase plans in any taxation year.</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0700"/>
          </w:cols>
          <w:pgMar w:left="600" w:top="262" w:right="59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following table provides certain information regarding the accrued values under the DC Plan for Fiscal 2025.</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5360" w:type="dxa"/>
            <w:vAlign w:val="bottom"/>
            <w:tcBorders>
              <w:top w:val="single" w:sz="8" w:color="auto"/>
              <w:left w:val="single" w:sz="8" w:color="auto"/>
              <w:right w:val="single" w:sz="8" w:color="auto"/>
            </w:tcBorders>
            <w:shd w:val="clear" w:color="auto" w:fill="003445"/>
          </w:tcPr>
          <w:p>
            <w:pPr>
              <w:spacing w:after="0"/>
              <w:rPr>
                <w:sz w:val="17"/>
                <w:szCs w:val="17"/>
                <w:color w:val="auto"/>
              </w:rPr>
            </w:pPr>
          </w:p>
        </w:tc>
        <w:tc>
          <w:tcPr>
            <w:tcW w:w="1920" w:type="dxa"/>
            <w:vAlign w:val="bottom"/>
            <w:tcBorders>
              <w:top w:val="single" w:sz="8" w:color="auto"/>
              <w:right w:val="single" w:sz="8" w:color="auto"/>
            </w:tcBorders>
            <w:vMerge w:val="restart"/>
            <w:shd w:val="clear" w:color="auto" w:fill="003445"/>
          </w:tcPr>
          <w:p>
            <w:pPr>
              <w:ind w:left="200"/>
              <w:spacing w:after="0"/>
              <w:rPr>
                <w:sz w:val="20"/>
                <w:szCs w:val="20"/>
                <w:color w:val="auto"/>
              </w:rPr>
            </w:pPr>
            <w:r>
              <w:rPr>
                <w:rFonts w:ascii="Arial" w:cs="Arial" w:eastAsia="Arial" w:hAnsi="Arial"/>
                <w:sz w:val="17"/>
                <w:szCs w:val="17"/>
                <w:b w:val="1"/>
                <w:bCs w:val="1"/>
                <w:color w:val="FFFFFF"/>
              </w:rPr>
              <w:t>Accumulated value</w:t>
            </w:r>
          </w:p>
        </w:tc>
        <w:tc>
          <w:tcPr>
            <w:tcW w:w="1500" w:type="dxa"/>
            <w:vAlign w:val="bottom"/>
            <w:tcBorders>
              <w:top w:val="single" w:sz="8" w:color="auto"/>
              <w:right w:val="single" w:sz="8" w:color="auto"/>
            </w:tcBorders>
            <w:shd w:val="clear" w:color="auto" w:fill="003445"/>
          </w:tcPr>
          <w:p>
            <w:pPr>
              <w:spacing w:after="0"/>
              <w:rPr>
                <w:sz w:val="17"/>
                <w:szCs w:val="17"/>
                <w:color w:val="auto"/>
              </w:rPr>
            </w:pPr>
          </w:p>
        </w:tc>
        <w:tc>
          <w:tcPr>
            <w:tcW w:w="192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Expected</w:t>
            </w:r>
          </w:p>
        </w:tc>
        <w:tc>
          <w:tcPr>
            <w:tcW w:w="0" w:type="dxa"/>
            <w:vAlign w:val="bottom"/>
          </w:tcPr>
          <w:p>
            <w:pPr>
              <w:spacing w:after="0"/>
              <w:rPr>
                <w:sz w:val="1"/>
                <w:szCs w:val="1"/>
                <w:color w:val="auto"/>
              </w:rPr>
            </w:pPr>
          </w:p>
        </w:tc>
      </w:tr>
      <w:tr>
        <w:trPr>
          <w:trHeight w:val="92"/>
        </w:trPr>
        <w:tc>
          <w:tcPr>
            <w:tcW w:w="5360" w:type="dxa"/>
            <w:vAlign w:val="bottom"/>
            <w:tcBorders>
              <w:left w:val="single" w:sz="8" w:color="auto"/>
              <w:right w:val="single" w:sz="8" w:color="auto"/>
            </w:tcBorders>
            <w:shd w:val="clear" w:color="auto" w:fill="003445"/>
          </w:tcPr>
          <w:p>
            <w:pPr>
              <w:spacing w:after="0"/>
              <w:rPr>
                <w:sz w:val="7"/>
                <w:szCs w:val="7"/>
                <w:color w:val="auto"/>
              </w:rPr>
            </w:pPr>
          </w:p>
        </w:tc>
        <w:tc>
          <w:tcPr>
            <w:tcW w:w="1920" w:type="dxa"/>
            <w:vAlign w:val="bottom"/>
            <w:tcBorders>
              <w:right w:val="single" w:sz="8" w:color="auto"/>
            </w:tcBorders>
            <w:vMerge w:val="continue"/>
            <w:shd w:val="clear" w:color="auto" w:fill="003445"/>
          </w:tcPr>
          <w:p>
            <w:pPr>
              <w:spacing w:after="0"/>
              <w:rPr>
                <w:sz w:val="7"/>
                <w:szCs w:val="7"/>
                <w:color w:val="auto"/>
              </w:rPr>
            </w:pPr>
          </w:p>
        </w:tc>
        <w:tc>
          <w:tcPr>
            <w:tcW w:w="15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Compensatory</w:t>
            </w:r>
          </w:p>
        </w:tc>
        <w:tc>
          <w:tcPr>
            <w:tcW w:w="19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accumulated value</w:t>
            </w:r>
          </w:p>
        </w:tc>
        <w:tc>
          <w:tcPr>
            <w:tcW w:w="0" w:type="dxa"/>
            <w:vAlign w:val="bottom"/>
          </w:tcPr>
          <w:p>
            <w:pPr>
              <w:spacing w:after="0"/>
              <w:rPr>
                <w:sz w:val="1"/>
                <w:szCs w:val="1"/>
                <w:color w:val="auto"/>
              </w:rPr>
            </w:pPr>
          </w:p>
        </w:tc>
      </w:tr>
      <w:tr>
        <w:trPr>
          <w:trHeight w:val="105"/>
        </w:trPr>
        <w:tc>
          <w:tcPr>
            <w:tcW w:w="5360" w:type="dxa"/>
            <w:vAlign w:val="bottom"/>
            <w:tcBorders>
              <w:left w:val="single" w:sz="8" w:color="auto"/>
              <w:right w:val="single" w:sz="8" w:color="auto"/>
            </w:tcBorders>
            <w:vMerge w:val="restart"/>
            <w:shd w:val="clear" w:color="auto" w:fill="003445"/>
          </w:tcPr>
          <w:p>
            <w:pPr>
              <w:ind w:left="1560"/>
              <w:spacing w:after="0"/>
              <w:rPr>
                <w:sz w:val="20"/>
                <w:szCs w:val="20"/>
                <w:color w:val="auto"/>
              </w:rPr>
            </w:pPr>
            <w:r>
              <w:rPr>
                <w:rFonts w:ascii="Arial" w:cs="Arial" w:eastAsia="Arial" w:hAnsi="Arial"/>
                <w:sz w:val="17"/>
                <w:szCs w:val="17"/>
                <w:b w:val="1"/>
                <w:bCs w:val="1"/>
                <w:color w:val="FFFFFF"/>
              </w:rPr>
              <w:t>Name and Principal Position</w:t>
            </w:r>
          </w:p>
        </w:tc>
        <w:tc>
          <w:tcPr>
            <w:tcW w:w="1920" w:type="dxa"/>
            <w:vAlign w:val="bottom"/>
            <w:tcBorders>
              <w:right w:val="single" w:sz="8" w:color="auto"/>
            </w:tcBorders>
            <w:vMerge w:val="restart"/>
            <w:shd w:val="clear" w:color="auto" w:fill="003445"/>
          </w:tcPr>
          <w:p>
            <w:pPr>
              <w:ind w:left="200"/>
              <w:spacing w:after="0"/>
              <w:rPr>
                <w:sz w:val="20"/>
                <w:szCs w:val="20"/>
                <w:color w:val="auto"/>
              </w:rPr>
            </w:pPr>
            <w:r>
              <w:rPr>
                <w:rFonts w:ascii="Arial" w:cs="Arial" w:eastAsia="Arial" w:hAnsi="Arial"/>
                <w:sz w:val="17"/>
                <w:szCs w:val="17"/>
                <w:b w:val="1"/>
                <w:bCs w:val="1"/>
                <w:color w:val="FFFFFF"/>
              </w:rPr>
              <w:t>as of December 31,</w:t>
            </w:r>
          </w:p>
        </w:tc>
        <w:tc>
          <w:tcPr>
            <w:tcW w:w="1500" w:type="dxa"/>
            <w:vAlign w:val="bottom"/>
            <w:tcBorders>
              <w:right w:val="single" w:sz="8" w:color="auto"/>
            </w:tcBorders>
            <w:vMerge w:val="continue"/>
            <w:shd w:val="clear" w:color="auto" w:fill="003445"/>
          </w:tcPr>
          <w:p>
            <w:pPr>
              <w:spacing w:after="0"/>
              <w:rPr>
                <w:sz w:val="9"/>
                <w:szCs w:val="9"/>
                <w:color w:val="auto"/>
              </w:rPr>
            </w:pPr>
          </w:p>
        </w:tc>
        <w:tc>
          <w:tcPr>
            <w:tcW w:w="19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5360" w:type="dxa"/>
            <w:vAlign w:val="bottom"/>
            <w:tcBorders>
              <w:left w:val="single" w:sz="8" w:color="auto"/>
              <w:right w:val="single" w:sz="8" w:color="auto"/>
            </w:tcBorders>
            <w:vMerge w:val="continue"/>
            <w:shd w:val="clear" w:color="auto" w:fill="003445"/>
          </w:tcPr>
          <w:p>
            <w:pPr>
              <w:spacing w:after="0"/>
              <w:rPr>
                <w:sz w:val="7"/>
                <w:szCs w:val="7"/>
                <w:color w:val="auto"/>
              </w:rPr>
            </w:pPr>
          </w:p>
        </w:tc>
        <w:tc>
          <w:tcPr>
            <w:tcW w:w="1920" w:type="dxa"/>
            <w:vAlign w:val="bottom"/>
            <w:tcBorders>
              <w:right w:val="single" w:sz="8" w:color="auto"/>
            </w:tcBorders>
            <w:vMerge w:val="continue"/>
            <w:shd w:val="clear" w:color="auto" w:fill="003445"/>
          </w:tcPr>
          <w:p>
            <w:pPr>
              <w:spacing w:after="0"/>
              <w:rPr>
                <w:sz w:val="7"/>
                <w:szCs w:val="7"/>
                <w:color w:val="auto"/>
              </w:rPr>
            </w:pPr>
          </w:p>
        </w:tc>
        <w:tc>
          <w:tcPr>
            <w:tcW w:w="15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change ($)</w:t>
            </w:r>
          </w:p>
        </w:tc>
        <w:tc>
          <w:tcPr>
            <w:tcW w:w="19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as of December 31,</w:t>
            </w:r>
          </w:p>
        </w:tc>
        <w:tc>
          <w:tcPr>
            <w:tcW w:w="0" w:type="dxa"/>
            <w:vAlign w:val="bottom"/>
          </w:tcPr>
          <w:p>
            <w:pPr>
              <w:spacing w:after="0"/>
              <w:rPr>
                <w:sz w:val="1"/>
                <w:szCs w:val="1"/>
                <w:color w:val="auto"/>
              </w:rPr>
            </w:pPr>
          </w:p>
        </w:tc>
      </w:tr>
      <w:tr>
        <w:trPr>
          <w:trHeight w:val="105"/>
        </w:trPr>
        <w:tc>
          <w:tcPr>
            <w:tcW w:w="5360" w:type="dxa"/>
            <w:vAlign w:val="bottom"/>
            <w:tcBorders>
              <w:left w:val="single" w:sz="8" w:color="auto"/>
              <w:right w:val="single" w:sz="8" w:color="auto"/>
            </w:tcBorders>
            <w:shd w:val="clear" w:color="auto" w:fill="003445"/>
          </w:tcPr>
          <w:p>
            <w:pPr>
              <w:spacing w:after="0"/>
              <w:rPr>
                <w:sz w:val="9"/>
                <w:szCs w:val="9"/>
                <w:color w:val="auto"/>
              </w:rPr>
            </w:pPr>
          </w:p>
        </w:tc>
        <w:tc>
          <w:tcPr>
            <w:tcW w:w="19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2024 ($)</w:t>
            </w:r>
          </w:p>
        </w:tc>
        <w:tc>
          <w:tcPr>
            <w:tcW w:w="1500" w:type="dxa"/>
            <w:vAlign w:val="bottom"/>
            <w:tcBorders>
              <w:right w:val="single" w:sz="8" w:color="auto"/>
            </w:tcBorders>
            <w:vMerge w:val="continue"/>
            <w:shd w:val="clear" w:color="auto" w:fill="003445"/>
          </w:tcPr>
          <w:p>
            <w:pPr>
              <w:spacing w:after="0"/>
              <w:rPr>
                <w:sz w:val="9"/>
                <w:szCs w:val="9"/>
                <w:color w:val="auto"/>
              </w:rPr>
            </w:pPr>
          </w:p>
        </w:tc>
        <w:tc>
          <w:tcPr>
            <w:tcW w:w="1920" w:type="dxa"/>
            <w:vAlign w:val="bottom"/>
            <w:tcBorders>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60" w:type="dxa"/>
            <w:vAlign w:val="bottom"/>
            <w:tcBorders>
              <w:left w:val="single" w:sz="8" w:color="auto"/>
              <w:right w:val="single" w:sz="8" w:color="auto"/>
            </w:tcBorders>
            <w:shd w:val="clear" w:color="auto" w:fill="003445"/>
          </w:tcPr>
          <w:p>
            <w:pPr>
              <w:spacing w:after="0"/>
              <w:rPr>
                <w:sz w:val="11"/>
                <w:szCs w:val="11"/>
                <w:color w:val="auto"/>
              </w:rPr>
            </w:pPr>
          </w:p>
        </w:tc>
        <w:tc>
          <w:tcPr>
            <w:tcW w:w="1920" w:type="dxa"/>
            <w:vAlign w:val="bottom"/>
            <w:tcBorders>
              <w:right w:val="single" w:sz="8" w:color="auto"/>
            </w:tcBorders>
            <w:vMerge w:val="continue"/>
            <w:shd w:val="clear" w:color="auto" w:fill="003445"/>
          </w:tcPr>
          <w:p>
            <w:pPr>
              <w:spacing w:after="0"/>
              <w:rPr>
                <w:sz w:val="11"/>
                <w:szCs w:val="11"/>
                <w:color w:val="auto"/>
              </w:rPr>
            </w:pPr>
          </w:p>
        </w:tc>
        <w:tc>
          <w:tcPr>
            <w:tcW w:w="1500" w:type="dxa"/>
            <w:vAlign w:val="bottom"/>
            <w:tcBorders>
              <w:right w:val="single" w:sz="8" w:color="auto"/>
            </w:tcBorders>
            <w:shd w:val="clear" w:color="auto" w:fill="003445"/>
          </w:tcPr>
          <w:p>
            <w:pPr>
              <w:spacing w:after="0"/>
              <w:rPr>
                <w:sz w:val="11"/>
                <w:szCs w:val="11"/>
                <w:color w:val="auto"/>
              </w:rPr>
            </w:pPr>
          </w:p>
        </w:tc>
        <w:tc>
          <w:tcPr>
            <w:tcW w:w="19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7"/>
                <w:szCs w:val="17"/>
                <w:b w:val="1"/>
                <w:bCs w:val="1"/>
                <w:color w:val="FFFFFF"/>
              </w:rPr>
              <w:t>2025 ($)</w:t>
            </w:r>
          </w:p>
        </w:tc>
        <w:tc>
          <w:tcPr>
            <w:tcW w:w="0" w:type="dxa"/>
            <w:vAlign w:val="bottom"/>
          </w:tcPr>
          <w:p>
            <w:pPr>
              <w:spacing w:after="0"/>
              <w:rPr>
                <w:sz w:val="1"/>
                <w:szCs w:val="1"/>
                <w:color w:val="auto"/>
              </w:rPr>
            </w:pPr>
          </w:p>
        </w:tc>
      </w:tr>
      <w:tr>
        <w:trPr>
          <w:trHeight w:val="106"/>
        </w:trPr>
        <w:tc>
          <w:tcPr>
            <w:tcW w:w="5360" w:type="dxa"/>
            <w:vAlign w:val="bottom"/>
            <w:tcBorders>
              <w:left w:val="single" w:sz="8" w:color="auto"/>
              <w:bottom w:val="single" w:sz="8" w:color="auto"/>
              <w:right w:val="single" w:sz="8" w:color="auto"/>
            </w:tcBorders>
            <w:shd w:val="clear" w:color="auto" w:fill="003445"/>
          </w:tcPr>
          <w:p>
            <w:pPr>
              <w:spacing w:after="0"/>
              <w:rPr>
                <w:sz w:val="9"/>
                <w:szCs w:val="9"/>
                <w:color w:val="auto"/>
              </w:rPr>
            </w:pPr>
          </w:p>
        </w:tc>
        <w:tc>
          <w:tcPr>
            <w:tcW w:w="1920" w:type="dxa"/>
            <w:vAlign w:val="bottom"/>
            <w:tcBorders>
              <w:bottom w:val="single" w:sz="8" w:color="auto"/>
              <w:right w:val="single" w:sz="8" w:color="auto"/>
            </w:tcBorders>
            <w:shd w:val="clear" w:color="auto" w:fill="003445"/>
          </w:tcPr>
          <w:p>
            <w:pPr>
              <w:spacing w:after="0"/>
              <w:rPr>
                <w:sz w:val="9"/>
                <w:szCs w:val="9"/>
                <w:color w:val="auto"/>
              </w:rPr>
            </w:pPr>
          </w:p>
        </w:tc>
        <w:tc>
          <w:tcPr>
            <w:tcW w:w="1500" w:type="dxa"/>
            <w:vAlign w:val="bottom"/>
            <w:tcBorders>
              <w:bottom w:val="single" w:sz="8" w:color="auto"/>
              <w:right w:val="single" w:sz="8" w:color="auto"/>
            </w:tcBorders>
            <w:shd w:val="clear" w:color="auto" w:fill="003445"/>
          </w:tcPr>
          <w:p>
            <w:pPr>
              <w:spacing w:after="0"/>
              <w:rPr>
                <w:sz w:val="9"/>
                <w:szCs w:val="9"/>
                <w:color w:val="auto"/>
              </w:rPr>
            </w:pPr>
          </w:p>
        </w:tc>
        <w:tc>
          <w:tcPr>
            <w:tcW w:w="1920" w:type="dxa"/>
            <w:vAlign w:val="bottom"/>
            <w:tcBorders>
              <w:bottom w:val="single" w:sz="8" w:color="auto"/>
              <w:right w:val="single" w:sz="8" w:color="auto"/>
            </w:tcBorders>
            <w:vMerge w:val="continue"/>
            <w:shd w:val="clear" w:color="auto" w:fill="003445"/>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5360" w:type="dxa"/>
            <w:vAlign w:val="bottom"/>
            <w:tcBorders>
              <w:left w:val="single" w:sz="8" w:color="auto"/>
              <w:right w:val="single" w:sz="8" w:color="auto"/>
            </w:tcBorders>
          </w:tcPr>
          <w:p>
            <w:pPr>
              <w:ind w:left="160"/>
              <w:spacing w:after="0" w:line="187" w:lineRule="exact"/>
              <w:rPr>
                <w:sz w:val="20"/>
                <w:szCs w:val="20"/>
                <w:color w:val="auto"/>
              </w:rPr>
            </w:pPr>
            <w:r>
              <w:rPr>
                <w:rFonts w:ascii="Arial" w:cs="Arial" w:eastAsia="Arial" w:hAnsi="Arial"/>
                <w:sz w:val="17"/>
                <w:szCs w:val="17"/>
                <w:b w:val="1"/>
                <w:bCs w:val="1"/>
                <w:color w:val="auto"/>
              </w:rPr>
              <w:t>Michael Garcia</w:t>
            </w:r>
          </w:p>
        </w:tc>
        <w:tc>
          <w:tcPr>
            <w:tcW w:w="19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7"/>
                <w:szCs w:val="17"/>
                <w:color w:val="auto"/>
              </w:rPr>
              <w:t>93,345</w:t>
            </w:r>
          </w:p>
        </w:tc>
        <w:tc>
          <w:tcPr>
            <w:tcW w:w="150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7"/>
                <w:szCs w:val="17"/>
                <w:color w:val="auto"/>
              </w:rPr>
              <w:t>$33,810</w:t>
            </w:r>
          </w:p>
        </w:tc>
        <w:tc>
          <w:tcPr>
            <w:tcW w:w="1920" w:type="dxa"/>
            <w:vAlign w:val="bottom"/>
            <w:tcBorders>
              <w:right w:val="single" w:sz="8" w:color="auto"/>
            </w:tcBorders>
          </w:tcPr>
          <w:p>
            <w:pPr>
              <w:jc w:val="center"/>
              <w:spacing w:after="0" w:line="187" w:lineRule="exact"/>
              <w:rPr>
                <w:sz w:val="20"/>
                <w:szCs w:val="20"/>
                <w:color w:val="auto"/>
              </w:rPr>
            </w:pPr>
            <w:r>
              <w:rPr>
                <w:rFonts w:ascii="Arial" w:cs="Arial" w:eastAsia="Arial" w:hAnsi="Arial"/>
                <w:sz w:val="17"/>
                <w:szCs w:val="17"/>
                <w:color w:val="auto"/>
              </w:rPr>
              <w:t>$127,155</w:t>
            </w:r>
          </w:p>
        </w:tc>
        <w:tc>
          <w:tcPr>
            <w:tcW w:w="0" w:type="dxa"/>
            <w:vAlign w:val="bottom"/>
          </w:tcPr>
          <w:p>
            <w:pPr>
              <w:spacing w:after="0"/>
              <w:rPr>
                <w:sz w:val="1"/>
                <w:szCs w:val="1"/>
                <w:color w:val="auto"/>
              </w:rPr>
            </w:pPr>
          </w:p>
        </w:tc>
      </w:tr>
      <w:tr>
        <w:trPr>
          <w:trHeight w:val="235"/>
        </w:trPr>
        <w:tc>
          <w:tcPr>
            <w:tcW w:w="53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Former Chief Executive Officer</w:t>
            </w:r>
          </w:p>
        </w:tc>
        <w:tc>
          <w:tcPr>
            <w:tcW w:w="19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36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7"/>
                <w:szCs w:val="17"/>
                <w:b w:val="1"/>
                <w:bCs w:val="1"/>
                <w:color w:val="auto"/>
              </w:rPr>
              <w:t>Rajat Marwah</w:t>
            </w:r>
          </w:p>
        </w:tc>
        <w:tc>
          <w:tcPr>
            <w:tcW w:w="1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397,800</w:t>
            </w:r>
          </w:p>
        </w:tc>
        <w:tc>
          <w:tcPr>
            <w:tcW w:w="15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$33,218</w:t>
            </w:r>
          </w:p>
        </w:tc>
        <w:tc>
          <w:tcPr>
            <w:tcW w:w="1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$431,018</w:t>
            </w:r>
          </w:p>
        </w:tc>
        <w:tc>
          <w:tcPr>
            <w:tcW w:w="0" w:type="dxa"/>
            <w:vAlign w:val="bottom"/>
          </w:tcPr>
          <w:p>
            <w:pPr>
              <w:spacing w:after="0"/>
              <w:rPr>
                <w:sz w:val="1"/>
                <w:szCs w:val="1"/>
                <w:color w:val="auto"/>
              </w:rPr>
            </w:pPr>
          </w:p>
        </w:tc>
      </w:tr>
      <w:tr>
        <w:trPr>
          <w:trHeight w:val="196"/>
        </w:trPr>
        <w:tc>
          <w:tcPr>
            <w:tcW w:w="53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Chief Executive Officer / Former President and Chief Financial</w:t>
            </w:r>
          </w:p>
        </w:tc>
        <w:tc>
          <w:tcPr>
            <w:tcW w:w="192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9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3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Officer</w:t>
            </w:r>
          </w:p>
        </w:tc>
        <w:tc>
          <w:tcPr>
            <w:tcW w:w="19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36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7"/>
                <w:szCs w:val="17"/>
                <w:b w:val="1"/>
                <w:bCs w:val="1"/>
                <w:color w:val="auto"/>
              </w:rPr>
              <w:t>John Naccarato</w:t>
            </w:r>
          </w:p>
        </w:tc>
        <w:tc>
          <w:tcPr>
            <w:tcW w:w="1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246,308</w:t>
            </w:r>
          </w:p>
        </w:tc>
        <w:tc>
          <w:tcPr>
            <w:tcW w:w="15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$32,052</w:t>
            </w:r>
          </w:p>
        </w:tc>
        <w:tc>
          <w:tcPr>
            <w:tcW w:w="1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$278,360</w:t>
            </w:r>
          </w:p>
        </w:tc>
        <w:tc>
          <w:tcPr>
            <w:tcW w:w="0" w:type="dxa"/>
            <w:vAlign w:val="bottom"/>
          </w:tcPr>
          <w:p>
            <w:pPr>
              <w:spacing w:after="0"/>
              <w:rPr>
                <w:sz w:val="1"/>
                <w:szCs w:val="1"/>
                <w:color w:val="auto"/>
              </w:rPr>
            </w:pPr>
          </w:p>
        </w:tc>
      </w:tr>
      <w:tr>
        <w:trPr>
          <w:trHeight w:val="235"/>
        </w:trPr>
        <w:tc>
          <w:tcPr>
            <w:tcW w:w="53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Vice President – Strategy and Chief Legal Officer</w:t>
            </w:r>
          </w:p>
        </w:tc>
        <w:tc>
          <w:tcPr>
            <w:tcW w:w="19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36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7"/>
                <w:szCs w:val="17"/>
                <w:b w:val="1"/>
                <w:bCs w:val="1"/>
                <w:color w:val="auto"/>
              </w:rPr>
              <w:t>Mark Nogalo</w:t>
            </w:r>
          </w:p>
        </w:tc>
        <w:tc>
          <w:tcPr>
            <w:tcW w:w="1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w:t>
            </w:r>
          </w:p>
        </w:tc>
        <w:tc>
          <w:tcPr>
            <w:tcW w:w="1500" w:type="dxa"/>
            <w:vAlign w:val="bottom"/>
            <w:tcBorders>
              <w:right w:val="single" w:sz="8" w:color="auto"/>
            </w:tcBorders>
          </w:tcPr>
          <w:p>
            <w:pPr>
              <w:spacing w:after="0"/>
              <w:rPr>
                <w:sz w:val="16"/>
                <w:szCs w:val="16"/>
                <w:color w:val="auto"/>
              </w:rPr>
            </w:pPr>
          </w:p>
        </w:tc>
        <w:tc>
          <w:tcPr>
            <w:tcW w:w="1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5"/>
        </w:trPr>
        <w:tc>
          <w:tcPr>
            <w:tcW w:w="53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Former Vice President – Strategic Transformation</w:t>
            </w:r>
          </w:p>
        </w:tc>
        <w:tc>
          <w:tcPr>
            <w:tcW w:w="19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36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7"/>
                <w:szCs w:val="17"/>
                <w:b w:val="1"/>
                <w:bCs w:val="1"/>
                <w:color w:val="auto"/>
              </w:rPr>
              <w:t>Michael Panzeri</w:t>
            </w:r>
          </w:p>
        </w:tc>
        <w:tc>
          <w:tcPr>
            <w:tcW w:w="1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92,558</w:t>
            </w:r>
          </w:p>
        </w:tc>
        <w:tc>
          <w:tcPr>
            <w:tcW w:w="15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$33,810</w:t>
            </w:r>
          </w:p>
        </w:tc>
        <w:tc>
          <w:tcPr>
            <w:tcW w:w="1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7"/>
                <w:szCs w:val="17"/>
                <w:color w:val="auto"/>
              </w:rPr>
              <w:t>$126,368</w:t>
            </w:r>
          </w:p>
        </w:tc>
        <w:tc>
          <w:tcPr>
            <w:tcW w:w="0" w:type="dxa"/>
            <w:vAlign w:val="bottom"/>
          </w:tcPr>
          <w:p>
            <w:pPr>
              <w:spacing w:after="0"/>
              <w:rPr>
                <w:sz w:val="1"/>
                <w:szCs w:val="1"/>
                <w:color w:val="auto"/>
              </w:rPr>
            </w:pPr>
          </w:p>
        </w:tc>
      </w:tr>
      <w:tr>
        <w:trPr>
          <w:trHeight w:val="235"/>
        </w:trPr>
        <w:tc>
          <w:tcPr>
            <w:tcW w:w="53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i w:val="1"/>
                <w:iCs w:val="1"/>
                <w:color w:val="auto"/>
              </w:rPr>
              <w:t>Senior Vice President – Production</w:t>
            </w:r>
          </w:p>
        </w:tc>
        <w:tc>
          <w:tcPr>
            <w:tcW w:w="192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All Other Compensation - Benefits and Perquisites</w:t>
      </w:r>
    </w:p>
    <w:p>
      <w:pPr>
        <w:spacing w:after="0" w:line="207"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The NEOs are, until their termination dates, eligible to participate in benefits available generally to salaried employees, including benefits under Algoma’s health and welfare plans and arrangements, and vacation pay or other benefits under Algoma’s medical insurance plan. Perquisites and benefits are not significant elements of compensation for the NEOs.</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Compensation – Directors</w:t>
      </w:r>
    </w:p>
    <w:p>
      <w:pPr>
        <w:spacing w:after="0" w:line="223"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Individual Directors add value to the Board and to the Company by bringing skills, knowledge and experiences that complement those of their colleagues, so that collectively, the Board provides diversity and balance in views and perspectives, ensuring a challenging and thoughtful exchange with management. There is an expectation that Directors will attend all meetings and will be available as needed outside of meetings. Board membership is reviewed annually to ensure the right mix and skills are present.</w:t>
      </w:r>
    </w:p>
    <w:p>
      <w:pPr>
        <w:spacing w:after="0" w:line="170"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Our Directors’ compensation program is designed to attract and retain the most qualified individuals to serve on the Board. The Board, through the HRCC, is responsible for reviewing and approving any changes to the Directors’ compensation arrangements. Director compensation is structured to recognize Directors for their skills, knowledge, experiences and attention in overseeing the governance of the Company, and to align with Shareholders’ interests. The HRCC reviews Director compensation and recommends any changes to the Board to ensure that Director compensation is competitive. In making its recommendation, the Human Resources and Compensation considers:</w:t>
      </w:r>
    </w:p>
    <w:p>
      <w:pPr>
        <w:spacing w:after="0" w:line="193" w:lineRule="exact"/>
        <w:rPr>
          <w:sz w:val="20"/>
          <w:szCs w:val="20"/>
          <w:color w:val="auto"/>
        </w:rPr>
      </w:pPr>
    </w:p>
    <w:p>
      <w:pPr>
        <w:ind w:left="1040" w:hanging="411"/>
        <w:spacing w:after="0"/>
        <w:tabs>
          <w:tab w:leader="none" w:pos="10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level of compensation required to fairly reflect the risks and responsibilities of serving as a Director; and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0700"/>
          </w:cols>
          <w:pgMar w:left="600" w:top="262" w:right="599" w:bottom="1440" w:gutter="0" w:footer="0" w:header="0"/>
        </w:sectPr>
      </w:pPr>
    </w:p>
    <w:bookmarkStart w:id="75" w:name="page76"/>
    <w:bookmarkEnd w:id="75"/>
    <w:p>
      <w:pPr>
        <w:ind w:left="1040" w:hanging="411"/>
        <w:spacing w:after="0"/>
        <w:tabs>
          <w:tab w:leader="none" w:pos="1040" w:val="left"/>
        </w:tabs>
        <w:numPr>
          <w:ilvl w:val="0"/>
          <w:numId w:val="46"/>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alignment of the interests of Directors and Shareholders.</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In consideration for serving on the Board, each Director that is not an employee is paid an annual cash retainer, and is reimbursed for their reasonable out-of-pocket expenses incurred while serving as Directors.</w:t>
      </w:r>
    </w:p>
    <w:p>
      <w:pPr>
        <w:spacing w:after="0" w:line="141"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All non-employee Directors received compensation in respect of Fiscal 2025 for their service on the Board. The following table sets forth information concerning the compensation paid by the Company to each of the non-employee Directors in respect of Fiscal 2025:</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8260" w:type="dxa"/>
            <w:vAlign w:val="bottom"/>
            <w:tcBorders>
              <w:top w:val="single" w:sz="8" w:color="auto"/>
              <w:left w:val="single" w:sz="8" w:color="auto"/>
              <w:bottom w:val="single" w:sz="8" w:color="003445"/>
              <w:right w:val="single" w:sz="8" w:color="auto"/>
            </w:tcBorders>
            <w:shd w:val="clear" w:color="auto" w:fill="003445"/>
          </w:tcPr>
          <w:p>
            <w:pPr>
              <w:ind w:left="3860"/>
              <w:spacing w:after="0"/>
              <w:rPr>
                <w:sz w:val="20"/>
                <w:szCs w:val="20"/>
                <w:color w:val="auto"/>
              </w:rPr>
            </w:pPr>
            <w:r>
              <w:rPr>
                <w:rFonts w:ascii="Arial" w:cs="Arial" w:eastAsia="Arial" w:hAnsi="Arial"/>
                <w:sz w:val="17"/>
                <w:szCs w:val="17"/>
                <w:b w:val="1"/>
                <w:bCs w:val="1"/>
                <w:color w:val="FFFFFF"/>
              </w:rPr>
              <w:t>Position</w:t>
            </w:r>
          </w:p>
        </w:tc>
        <w:tc>
          <w:tcPr>
            <w:tcW w:w="2440" w:type="dxa"/>
            <w:vAlign w:val="bottom"/>
            <w:tcBorders>
              <w:top w:val="single" w:sz="8" w:color="auto"/>
              <w:bottom w:val="single" w:sz="8" w:color="003445"/>
              <w:right w:val="single" w:sz="8" w:color="auto"/>
            </w:tcBorders>
            <w:gridSpan w:val="2"/>
            <w:shd w:val="clear" w:color="auto" w:fill="003445"/>
          </w:tcPr>
          <w:p>
            <w:pPr>
              <w:jc w:val="right"/>
              <w:ind w:right="205"/>
              <w:spacing w:after="0"/>
              <w:rPr>
                <w:sz w:val="20"/>
                <w:szCs w:val="20"/>
                <w:color w:val="auto"/>
              </w:rPr>
            </w:pPr>
            <w:r>
              <w:rPr>
                <w:rFonts w:ascii="Arial" w:cs="Arial" w:eastAsia="Arial" w:hAnsi="Arial"/>
                <w:sz w:val="17"/>
                <w:szCs w:val="17"/>
                <w:b w:val="1"/>
                <w:bCs w:val="1"/>
                <w:color w:val="FFFFFF"/>
              </w:rPr>
              <w:t xml:space="preserve">     Amount Per Year   </w:t>
            </w:r>
          </w:p>
        </w:tc>
      </w:tr>
      <w:tr>
        <w:trPr>
          <w:trHeight w:val="255"/>
        </w:trPr>
        <w:tc>
          <w:tcPr>
            <w:tcW w:w="8260" w:type="dxa"/>
            <w:vAlign w:val="bottom"/>
            <w:tcBorders>
              <w:top w:val="single" w:sz="8" w:color="auto"/>
              <w:left w:val="single" w:sz="8" w:color="auto"/>
              <w:bottom w:val="single" w:sz="8" w:color="auto"/>
              <w:right w:val="single" w:sz="8" w:color="auto"/>
            </w:tcBorders>
          </w:tcPr>
          <w:p>
            <w:pPr>
              <w:ind w:left="160"/>
              <w:spacing w:after="0" w:line="255" w:lineRule="exact"/>
              <w:rPr>
                <w:sz w:val="20"/>
                <w:szCs w:val="20"/>
                <w:color w:val="auto"/>
              </w:rPr>
            </w:pPr>
            <w:r>
              <w:rPr>
                <w:rFonts w:ascii="Arial" w:cs="Arial" w:eastAsia="Arial" w:hAnsi="Arial"/>
                <w:sz w:val="17"/>
                <w:szCs w:val="17"/>
                <w:color w:val="auto"/>
              </w:rPr>
              <w:t>Member of the Board</w:t>
            </w:r>
            <w:r>
              <w:rPr>
                <w:rFonts w:ascii="Arial" w:cs="Arial" w:eastAsia="Arial" w:hAnsi="Arial"/>
                <w:sz w:val="26"/>
                <w:szCs w:val="26"/>
                <w:color w:val="auto"/>
                <w:vertAlign w:val="superscript"/>
              </w:rPr>
              <w:t>(1)</w:t>
            </w:r>
          </w:p>
        </w:tc>
        <w:tc>
          <w:tcPr>
            <w:tcW w:w="2440" w:type="dxa"/>
            <w:vAlign w:val="bottom"/>
            <w:tcBorders>
              <w:top w:val="single" w:sz="8" w:color="auto"/>
              <w:bottom w:val="single" w:sz="8" w:color="auto"/>
              <w:right w:val="single" w:sz="8" w:color="auto"/>
            </w:tcBorders>
            <w:gridSpan w:val="2"/>
          </w:tcPr>
          <w:p>
            <w:pPr>
              <w:jc w:val="right"/>
              <w:ind w:right="125"/>
              <w:spacing w:after="0" w:line="255" w:lineRule="exact"/>
              <w:rPr>
                <w:sz w:val="20"/>
                <w:szCs w:val="20"/>
                <w:color w:val="auto"/>
              </w:rPr>
            </w:pPr>
            <w:r>
              <w:rPr>
                <w:rFonts w:ascii="Arial" w:cs="Arial" w:eastAsia="Arial" w:hAnsi="Arial"/>
                <w:sz w:val="17"/>
                <w:szCs w:val="17"/>
                <w:color w:val="auto"/>
              </w:rPr>
              <w:t>US$220,000</w:t>
            </w:r>
            <w:r>
              <w:rPr>
                <w:rFonts w:ascii="Arial" w:cs="Arial" w:eastAsia="Arial" w:hAnsi="Arial"/>
                <w:sz w:val="26"/>
                <w:szCs w:val="26"/>
                <w:color w:val="auto"/>
                <w:vertAlign w:val="superscript"/>
              </w:rPr>
              <w:t>(3)</w:t>
            </w:r>
            <w:r>
              <w:rPr>
                <w:rFonts w:ascii="Arial" w:cs="Arial" w:eastAsia="Arial" w:hAnsi="Arial"/>
                <w:sz w:val="17"/>
                <w:szCs w:val="17"/>
                <w:color w:val="auto"/>
              </w:rPr>
              <w:t xml:space="preserve">    </w:t>
            </w:r>
          </w:p>
        </w:tc>
      </w:tr>
      <w:tr>
        <w:trPr>
          <w:trHeight w:val="255"/>
        </w:trPr>
        <w:tc>
          <w:tcPr>
            <w:tcW w:w="82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Chair of the Board</w:t>
            </w:r>
          </w:p>
        </w:tc>
        <w:tc>
          <w:tcPr>
            <w:tcW w:w="2440" w:type="dxa"/>
            <w:vAlign w:val="bottom"/>
            <w:tcBorders>
              <w:bottom w:val="single" w:sz="8" w:color="auto"/>
              <w:right w:val="single" w:sz="8" w:color="auto"/>
            </w:tcBorders>
            <w:gridSpan w:val="2"/>
          </w:tcPr>
          <w:p>
            <w:pPr>
              <w:jc w:val="right"/>
              <w:ind w:right="125"/>
              <w:spacing w:after="0" w:line="255" w:lineRule="exact"/>
              <w:rPr>
                <w:sz w:val="20"/>
                <w:szCs w:val="20"/>
                <w:color w:val="auto"/>
              </w:rPr>
            </w:pPr>
            <w:r>
              <w:rPr>
                <w:rFonts w:ascii="Arial" w:cs="Arial" w:eastAsia="Arial" w:hAnsi="Arial"/>
                <w:sz w:val="17"/>
                <w:szCs w:val="17"/>
                <w:color w:val="auto"/>
              </w:rPr>
              <w:t>US$310,000</w:t>
            </w:r>
            <w:r>
              <w:rPr>
                <w:rFonts w:ascii="Arial" w:cs="Arial" w:eastAsia="Arial" w:hAnsi="Arial"/>
                <w:sz w:val="26"/>
                <w:szCs w:val="26"/>
                <w:color w:val="auto"/>
                <w:vertAlign w:val="superscript"/>
              </w:rPr>
              <w:t>(4)</w:t>
            </w:r>
            <w:r>
              <w:rPr>
                <w:rFonts w:ascii="Arial" w:cs="Arial" w:eastAsia="Arial" w:hAnsi="Arial"/>
                <w:sz w:val="17"/>
                <w:szCs w:val="17"/>
                <w:color w:val="auto"/>
              </w:rPr>
              <w:t xml:space="preserve">    </w:t>
            </w:r>
          </w:p>
        </w:tc>
      </w:tr>
      <w:tr>
        <w:trPr>
          <w:trHeight w:val="255"/>
        </w:trPr>
        <w:tc>
          <w:tcPr>
            <w:tcW w:w="82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Audit &amp; Risk Management Committee Chair</w:t>
            </w:r>
          </w:p>
        </w:tc>
        <w:tc>
          <w:tcPr>
            <w:tcW w:w="2160" w:type="dxa"/>
            <w:vAlign w:val="bottom"/>
            <w:tcBorders>
              <w:bottom w:val="single" w:sz="8" w:color="auto"/>
            </w:tcBorders>
          </w:tcPr>
          <w:p>
            <w:pPr>
              <w:ind w:left="1020"/>
              <w:spacing w:after="0" w:line="255" w:lineRule="exact"/>
              <w:rPr>
                <w:sz w:val="20"/>
                <w:szCs w:val="20"/>
                <w:color w:val="auto"/>
              </w:rPr>
            </w:pPr>
            <w:r>
              <w:rPr>
                <w:rFonts w:ascii="Arial" w:cs="Arial" w:eastAsia="Arial" w:hAnsi="Arial"/>
                <w:sz w:val="17"/>
                <w:szCs w:val="17"/>
                <w:color w:val="auto"/>
              </w:rPr>
              <w:t>US$25,000</w:t>
            </w:r>
            <w:r>
              <w:rPr>
                <w:rFonts w:ascii="Arial" w:cs="Arial" w:eastAsia="Arial" w:hAnsi="Arial"/>
                <w:sz w:val="26"/>
                <w:szCs w:val="26"/>
                <w:color w:val="auto"/>
                <w:vertAlign w:val="superscript"/>
              </w:rPr>
              <w:t>(5)</w:t>
            </w:r>
            <w:r>
              <w:rPr>
                <w:rFonts w:ascii="Arial" w:cs="Arial" w:eastAsia="Arial" w:hAnsi="Arial"/>
                <w:sz w:val="17"/>
                <w:szCs w:val="17"/>
                <w:color w:val="auto"/>
              </w:rPr>
              <w:t xml:space="preserve"> </w:t>
            </w:r>
          </w:p>
        </w:tc>
        <w:tc>
          <w:tcPr>
            <w:tcW w:w="280" w:type="dxa"/>
            <w:vAlign w:val="bottom"/>
            <w:tcBorders>
              <w:bottom w:val="single" w:sz="8" w:color="auto"/>
              <w:right w:val="single" w:sz="8" w:color="auto"/>
            </w:tcBorders>
          </w:tcPr>
          <w:p>
            <w:pPr>
              <w:jc w:val="right"/>
              <w:ind w:right="125"/>
              <w:spacing w:after="0"/>
              <w:rPr>
                <w:sz w:val="20"/>
                <w:szCs w:val="20"/>
                <w:color w:val="auto"/>
              </w:rPr>
            </w:pPr>
            <w:r>
              <w:rPr>
                <w:rFonts w:ascii="Arial" w:cs="Arial" w:eastAsia="Arial" w:hAnsi="Arial"/>
                <w:sz w:val="11"/>
                <w:szCs w:val="11"/>
                <w:color w:val="auto"/>
                <w:w w:val="72"/>
              </w:rPr>
              <w:t> </w:t>
            </w:r>
          </w:p>
        </w:tc>
      </w:tr>
      <w:tr>
        <w:trPr>
          <w:trHeight w:val="255"/>
        </w:trPr>
        <w:tc>
          <w:tcPr>
            <w:tcW w:w="8260" w:type="dxa"/>
            <w:vAlign w:val="bottom"/>
            <w:tcBorders>
              <w:left w:val="single" w:sz="8" w:color="auto"/>
              <w:bottom w:val="single" w:sz="8" w:color="auto"/>
              <w:right w:val="single" w:sz="8" w:color="auto"/>
            </w:tcBorders>
          </w:tcPr>
          <w:p>
            <w:pPr>
              <w:ind w:left="160"/>
              <w:spacing w:after="0" w:line="255" w:lineRule="exact"/>
              <w:rPr>
                <w:sz w:val="20"/>
                <w:szCs w:val="20"/>
                <w:color w:val="auto"/>
              </w:rPr>
            </w:pPr>
            <w:r>
              <w:rPr>
                <w:rFonts w:ascii="Arial" w:cs="Arial" w:eastAsia="Arial" w:hAnsi="Arial"/>
                <w:sz w:val="17"/>
                <w:szCs w:val="17"/>
                <w:color w:val="auto"/>
              </w:rPr>
              <w:t>Other Committee Chairs</w:t>
            </w:r>
            <w:r>
              <w:rPr>
                <w:rFonts w:ascii="Arial" w:cs="Arial" w:eastAsia="Arial" w:hAnsi="Arial"/>
                <w:sz w:val="26"/>
                <w:szCs w:val="26"/>
                <w:color w:val="auto"/>
                <w:vertAlign w:val="superscript"/>
              </w:rPr>
              <w:t>(2)</w:t>
            </w:r>
          </w:p>
        </w:tc>
        <w:tc>
          <w:tcPr>
            <w:tcW w:w="2160" w:type="dxa"/>
            <w:vAlign w:val="bottom"/>
            <w:tcBorders>
              <w:bottom w:val="single" w:sz="8" w:color="auto"/>
            </w:tcBorders>
          </w:tcPr>
          <w:p>
            <w:pPr>
              <w:ind w:left="1020"/>
              <w:spacing w:after="0" w:line="255" w:lineRule="exact"/>
              <w:rPr>
                <w:sz w:val="20"/>
                <w:szCs w:val="20"/>
                <w:color w:val="auto"/>
              </w:rPr>
            </w:pPr>
            <w:r>
              <w:rPr>
                <w:rFonts w:ascii="Arial" w:cs="Arial" w:eastAsia="Arial" w:hAnsi="Arial"/>
                <w:sz w:val="17"/>
                <w:szCs w:val="17"/>
                <w:color w:val="auto"/>
              </w:rPr>
              <w:t>US$20,000</w:t>
            </w:r>
            <w:r>
              <w:rPr>
                <w:rFonts w:ascii="Arial" w:cs="Arial" w:eastAsia="Arial" w:hAnsi="Arial"/>
                <w:sz w:val="26"/>
                <w:szCs w:val="26"/>
                <w:color w:val="auto"/>
                <w:vertAlign w:val="superscript"/>
              </w:rPr>
              <w:t>(6)</w:t>
            </w:r>
            <w:r>
              <w:rPr>
                <w:rFonts w:ascii="Arial" w:cs="Arial" w:eastAsia="Arial" w:hAnsi="Arial"/>
                <w:sz w:val="17"/>
                <w:szCs w:val="17"/>
                <w:color w:val="auto"/>
              </w:rPr>
              <w:t xml:space="preserve"> </w:t>
            </w:r>
          </w:p>
        </w:tc>
        <w:tc>
          <w:tcPr>
            <w:tcW w:w="280" w:type="dxa"/>
            <w:vAlign w:val="bottom"/>
            <w:tcBorders>
              <w:bottom w:val="single" w:sz="8" w:color="auto"/>
              <w:right w:val="single" w:sz="8" w:color="auto"/>
            </w:tcBorders>
          </w:tcPr>
          <w:p>
            <w:pPr>
              <w:jc w:val="right"/>
              <w:ind w:right="125"/>
              <w:spacing w:after="0"/>
              <w:rPr>
                <w:sz w:val="20"/>
                <w:szCs w:val="20"/>
                <w:color w:val="auto"/>
              </w:rPr>
            </w:pPr>
            <w:r>
              <w:rPr>
                <w:rFonts w:ascii="Arial" w:cs="Arial" w:eastAsia="Arial" w:hAnsi="Arial"/>
                <w:sz w:val="11"/>
                <w:szCs w:val="11"/>
                <w:color w:val="auto"/>
                <w:w w:val="72"/>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122237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ind w:left="520" w:hanging="415"/>
        <w:spacing w:after="0"/>
        <w:tabs>
          <w:tab w:leader="none" w:pos="520" w:val="left"/>
        </w:tabs>
        <w:numPr>
          <w:ilvl w:val="0"/>
          <w:numId w:val="47"/>
        </w:numPr>
        <w:rPr>
          <w:rFonts w:ascii="Arial" w:cs="Arial" w:eastAsia="Arial" w:hAnsi="Arial"/>
          <w:sz w:val="16"/>
          <w:szCs w:val="16"/>
          <w:i w:val="1"/>
          <w:iCs w:val="1"/>
          <w:color w:val="003445"/>
        </w:rPr>
      </w:pPr>
      <w:r>
        <w:rPr>
          <w:rFonts w:ascii="Arial" w:cs="Arial" w:eastAsia="Arial" w:hAnsi="Arial"/>
          <w:sz w:val="16"/>
          <w:szCs w:val="16"/>
          <w:i w:val="1"/>
          <w:iCs w:val="1"/>
          <w:color w:val="003445"/>
        </w:rPr>
        <w:t>For all members of the Board other than the chair of the Board.</w:t>
      </w:r>
    </w:p>
    <w:p>
      <w:pPr>
        <w:spacing w:after="0" w:line="13" w:lineRule="exact"/>
        <w:rPr>
          <w:rFonts w:ascii="Arial" w:cs="Arial" w:eastAsia="Arial" w:hAnsi="Arial"/>
          <w:sz w:val="16"/>
          <w:szCs w:val="16"/>
          <w:i w:val="1"/>
          <w:iCs w:val="1"/>
          <w:color w:val="003445"/>
        </w:rPr>
      </w:pPr>
    </w:p>
    <w:p>
      <w:pPr>
        <w:ind w:left="520" w:hanging="415"/>
        <w:spacing w:after="0"/>
        <w:tabs>
          <w:tab w:leader="none" w:pos="520" w:val="left"/>
        </w:tabs>
        <w:numPr>
          <w:ilvl w:val="0"/>
          <w:numId w:val="47"/>
        </w:numPr>
        <w:rPr>
          <w:rFonts w:ascii="Arial" w:cs="Arial" w:eastAsia="Arial" w:hAnsi="Arial"/>
          <w:sz w:val="16"/>
          <w:szCs w:val="16"/>
          <w:i w:val="1"/>
          <w:iCs w:val="1"/>
          <w:color w:val="003445"/>
        </w:rPr>
      </w:pPr>
      <w:r>
        <w:rPr>
          <w:rFonts w:ascii="Arial" w:cs="Arial" w:eastAsia="Arial" w:hAnsi="Arial"/>
          <w:sz w:val="16"/>
          <w:szCs w:val="16"/>
          <w:i w:val="1"/>
          <w:iCs w:val="1"/>
          <w:color w:val="003445"/>
        </w:rPr>
        <w:t>For all independent Directors who serve as chairs of committees of the Board.</w:t>
      </w:r>
    </w:p>
    <w:p>
      <w:pPr>
        <w:ind w:left="520" w:right="20" w:hanging="415"/>
        <w:spacing w:after="0" w:line="239" w:lineRule="auto"/>
        <w:tabs>
          <w:tab w:leader="none" w:pos="520" w:val="left"/>
        </w:tabs>
        <w:numPr>
          <w:ilvl w:val="0"/>
          <w:numId w:val="47"/>
        </w:numPr>
        <w:rPr>
          <w:rFonts w:ascii="Arial" w:cs="Arial" w:eastAsia="Arial" w:hAnsi="Arial"/>
          <w:sz w:val="16"/>
          <w:szCs w:val="16"/>
          <w:i w:val="1"/>
          <w:iCs w:val="1"/>
          <w:color w:val="003445"/>
        </w:rPr>
      </w:pPr>
      <w:r>
        <w:rPr>
          <w:rFonts w:ascii="Arial" w:cs="Arial" w:eastAsia="Arial" w:hAnsi="Arial"/>
          <w:sz w:val="16"/>
          <w:szCs w:val="16"/>
          <w:i w:val="1"/>
          <w:iCs w:val="1"/>
          <w:color w:val="003445"/>
        </w:rPr>
        <w:t>Being C$299,728, converted from U.S. dollars to Canadian dollars using the Bank of Canada exchange rate on April 30, 2026, being US$1 to C$1.3624.</w:t>
      </w:r>
    </w:p>
    <w:p>
      <w:pPr>
        <w:ind w:left="520" w:right="20" w:hanging="415"/>
        <w:spacing w:after="0" w:line="239" w:lineRule="auto"/>
        <w:tabs>
          <w:tab w:leader="none" w:pos="520" w:val="left"/>
        </w:tabs>
        <w:numPr>
          <w:ilvl w:val="0"/>
          <w:numId w:val="47"/>
        </w:numPr>
        <w:rPr>
          <w:rFonts w:ascii="Arial" w:cs="Arial" w:eastAsia="Arial" w:hAnsi="Arial"/>
          <w:sz w:val="16"/>
          <w:szCs w:val="16"/>
          <w:i w:val="1"/>
          <w:iCs w:val="1"/>
          <w:color w:val="003445"/>
        </w:rPr>
      </w:pPr>
      <w:r>
        <w:rPr>
          <w:rFonts w:ascii="Arial" w:cs="Arial" w:eastAsia="Arial" w:hAnsi="Arial"/>
          <w:sz w:val="16"/>
          <w:szCs w:val="16"/>
          <w:i w:val="1"/>
          <w:iCs w:val="1"/>
          <w:color w:val="003445"/>
        </w:rPr>
        <w:t>Being C$422,344, converted from U.S. dollars to Canadian dollars using the Bank of Canada exchange rate on April 30, 2026, being US$1 to C$1.3624.</w:t>
      </w:r>
    </w:p>
    <w:p>
      <w:pPr>
        <w:ind w:left="520" w:right="20" w:hanging="415"/>
        <w:spacing w:after="0" w:line="239" w:lineRule="auto"/>
        <w:tabs>
          <w:tab w:leader="none" w:pos="520" w:val="left"/>
        </w:tabs>
        <w:numPr>
          <w:ilvl w:val="0"/>
          <w:numId w:val="47"/>
        </w:numPr>
        <w:rPr>
          <w:rFonts w:ascii="Arial" w:cs="Arial" w:eastAsia="Arial" w:hAnsi="Arial"/>
          <w:sz w:val="16"/>
          <w:szCs w:val="16"/>
          <w:i w:val="1"/>
          <w:iCs w:val="1"/>
          <w:color w:val="003445"/>
        </w:rPr>
      </w:pPr>
      <w:r>
        <w:rPr>
          <w:rFonts w:ascii="Arial" w:cs="Arial" w:eastAsia="Arial" w:hAnsi="Arial"/>
          <w:sz w:val="16"/>
          <w:szCs w:val="16"/>
          <w:i w:val="1"/>
          <w:iCs w:val="1"/>
          <w:color w:val="003445"/>
        </w:rPr>
        <w:t>Being C$34,060, converted from U.S. dollars to Canadian dollars using the Bank of Canada exchange rate on April 30, 2026, being US$1 to C$1.3624.</w:t>
      </w:r>
    </w:p>
    <w:p>
      <w:pPr>
        <w:ind w:left="520" w:right="20" w:hanging="415"/>
        <w:spacing w:after="0" w:line="249" w:lineRule="auto"/>
        <w:tabs>
          <w:tab w:leader="none" w:pos="520" w:val="left"/>
        </w:tabs>
        <w:numPr>
          <w:ilvl w:val="0"/>
          <w:numId w:val="47"/>
        </w:numPr>
        <w:rPr>
          <w:rFonts w:ascii="Arial" w:cs="Arial" w:eastAsia="Arial" w:hAnsi="Arial"/>
          <w:sz w:val="16"/>
          <w:szCs w:val="16"/>
          <w:i w:val="1"/>
          <w:iCs w:val="1"/>
          <w:color w:val="003445"/>
        </w:rPr>
      </w:pPr>
      <w:r>
        <w:rPr>
          <w:rFonts w:ascii="Arial" w:cs="Arial" w:eastAsia="Arial" w:hAnsi="Arial"/>
          <w:sz w:val="16"/>
          <w:szCs w:val="16"/>
          <w:i w:val="1"/>
          <w:iCs w:val="1"/>
          <w:color w:val="003445"/>
        </w:rPr>
        <w:t>Being C$27,248, converted from U.S. dollars to Canadian dollars using the Bank of Canada exchange rate on April 30, 2026, being US$1 to C$1.3624.</w:t>
      </w:r>
    </w:p>
    <w:p>
      <w:pPr>
        <w:spacing w:after="0" w:line="171"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The Chair of the Board received a temporary US$25,000/month incremental retainer to provide additional insight from experience and guidance on operational matters to senior management of the Company, including on-site visits in Sault Ste. Marie approximately four days every month. The HRCC deemed the increase reasonable in the context of this additional workload and the value the chair adds in the ongoing construction of the EAF project, critical to the future success of Algoma. The incremental retainer ceased effective November 30, 2025.</w:t>
      </w:r>
    </w:p>
    <w:p>
      <w:pPr>
        <w:spacing w:after="0" w:line="170"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As a policy, we do not provide a meeting fee for Board members. The total retainer is deemed to be full payment for the role of Director. An exception to this approach would be made in the event of a special transaction or other special circumstance that would require more meetings than are typically required.</w:t>
      </w:r>
    </w:p>
    <w:p>
      <w:pPr>
        <w:spacing w:after="0" w:line="158"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The cash retainer portion of each Director’s compensation is payable quarterly in arrears. In addition, a minimum of 50% of a Director’s compensation is payable in DSUs, while Directors can elect to receive DSUs for the remaining 50%. In Fiscal 2025, six Directors initially elected to receive 50% of their annual retainers in the form of DSUs; one Director initially temporarily elected to receive 60% of their annual retainer in the form of DSUs; two Directors initially elected to receive 75% of their annual retainer in the form of DSUs, and one Director initially elected to receive 100% of their annual retainer in the form of DSUs. Effective July 1, 2025, all of the Directors elected to receive 100% of their retainer in the form of DSUs to align compensation more directly with the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0700"/>
          </w:cols>
          <w:pgMar w:left="600" w:top="262" w:right="599" w:bottom="1440" w:gutter="0" w:footer="0" w:header="0"/>
        </w:sectPr>
      </w:pPr>
    </w:p>
    <w:bookmarkStart w:id="76" w:name="page77"/>
    <w:bookmarkEnd w:id="76"/>
    <w:p>
      <w:pPr>
        <w:jc w:val="both"/>
        <w:ind w:right="20"/>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shareholder experience considering ongoing uncertainty from steel tariffs and as a cash preservation tactic given current business conditions.</w:t>
      </w:r>
    </w:p>
    <w:p>
      <w:pPr>
        <w:spacing w:after="0" w:line="141"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In Fiscal 2025, grants of DSUs were made annually in advance and adjusted to align the start date of the Director retainers with the date of the Company’s 2025 annual general meeting of Shareholders. All DSUs are earned and vest on a daily basis during the Director’s employment with the Company. The number of DSUs to be issued upon a Director electing to receive their cash retainers in DSUs is based on the Market Price as determined in accordance with the Omnibus Incentive Plan, being the greater of the volume-weighted average trading price of the Shares on Nasdaq (converted to Canadian dollars) or the TSX for the five trading days prior to such issuance (the “</w:t>
      </w:r>
      <w:r>
        <w:rPr>
          <w:rFonts w:ascii="Arial" w:cs="Arial" w:eastAsia="Arial" w:hAnsi="Arial"/>
          <w:sz w:val="19"/>
          <w:szCs w:val="19"/>
          <w:b w:val="1"/>
          <w:bCs w:val="1"/>
          <w:color w:val="auto"/>
        </w:rPr>
        <w:t>Market Price</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Summary Compensation Table – Directors</w:t>
      </w:r>
    </w:p>
    <w:p>
      <w:pPr>
        <w:spacing w:after="0" w:line="207"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The following table sets out information concerning the compensation earned by the Directors in respect of Fiscal 2025. All dollar amounts below have been converted from U.S. dollars to Canadian dollars using the Bank of Canada exchange rate on April 30, 2026, being US$1 to C$1.3624.</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3340" w:type="dxa"/>
            <w:vAlign w:val="bottom"/>
            <w:tcBorders>
              <w:top w:val="single" w:sz="8" w:color="auto"/>
              <w:left w:val="single" w:sz="8" w:color="auto"/>
              <w:right w:val="single" w:sz="8" w:color="auto"/>
            </w:tcBorders>
            <w:shd w:val="clear" w:color="auto" w:fill="003445"/>
          </w:tcPr>
          <w:p>
            <w:pPr>
              <w:spacing w:after="0"/>
              <w:rPr>
                <w:sz w:val="23"/>
                <w:szCs w:val="23"/>
                <w:color w:val="auto"/>
              </w:rPr>
            </w:pPr>
          </w:p>
        </w:tc>
        <w:tc>
          <w:tcPr>
            <w:tcW w:w="1000" w:type="dxa"/>
            <w:vAlign w:val="bottom"/>
            <w:tcBorders>
              <w:top w:val="single" w:sz="8" w:color="auto"/>
              <w:right w:val="single" w:sz="8" w:color="auto"/>
            </w:tcBorders>
            <w:vMerge w:val="restart"/>
            <w:shd w:val="clear" w:color="auto" w:fill="003445"/>
          </w:tcPr>
          <w:p>
            <w:pPr>
              <w:jc w:val="right"/>
              <w:ind w:right="201"/>
              <w:spacing w:after="0"/>
              <w:rPr>
                <w:sz w:val="20"/>
                <w:szCs w:val="20"/>
                <w:color w:val="auto"/>
              </w:rPr>
            </w:pPr>
            <w:r>
              <w:rPr>
                <w:rFonts w:ascii="Arial" w:cs="Arial" w:eastAsia="Arial" w:hAnsi="Arial"/>
                <w:sz w:val="16"/>
                <w:szCs w:val="16"/>
                <w:b w:val="1"/>
                <w:bCs w:val="1"/>
                <w:color w:val="FFFFFF"/>
              </w:rPr>
              <w:t>Fees</w:t>
            </w:r>
          </w:p>
        </w:tc>
        <w:tc>
          <w:tcPr>
            <w:tcW w:w="106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6"/>
                <w:szCs w:val="16"/>
                <w:b w:val="1"/>
                <w:bCs w:val="1"/>
                <w:color w:val="FFFFFF"/>
              </w:rPr>
              <w:t>Share-</w:t>
            </w:r>
          </w:p>
        </w:tc>
        <w:tc>
          <w:tcPr>
            <w:tcW w:w="82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6"/>
                <w:szCs w:val="16"/>
                <w:b w:val="1"/>
                <w:bCs w:val="1"/>
                <w:color w:val="FFFFFF"/>
                <w:w w:val="98"/>
              </w:rPr>
              <w:t>Option-</w:t>
            </w:r>
          </w:p>
        </w:tc>
        <w:tc>
          <w:tcPr>
            <w:tcW w:w="1340" w:type="dxa"/>
            <w:vAlign w:val="bottom"/>
            <w:tcBorders>
              <w:top w:val="single" w:sz="8" w:color="auto"/>
              <w:right w:val="single" w:sz="8" w:color="auto"/>
            </w:tcBorders>
            <w:shd w:val="clear" w:color="auto" w:fill="003445"/>
          </w:tcPr>
          <w:p>
            <w:pPr>
              <w:jc w:val="center"/>
              <w:ind w:left="1"/>
              <w:spacing w:after="0"/>
              <w:rPr>
                <w:sz w:val="20"/>
                <w:szCs w:val="20"/>
                <w:color w:val="auto"/>
              </w:rPr>
            </w:pPr>
            <w:r>
              <w:rPr>
                <w:rFonts w:ascii="Arial" w:cs="Arial" w:eastAsia="Arial" w:hAnsi="Arial"/>
                <w:sz w:val="16"/>
                <w:szCs w:val="16"/>
                <w:b w:val="1"/>
                <w:bCs w:val="1"/>
                <w:color w:val="FFFFFF"/>
                <w:w w:val="98"/>
              </w:rPr>
              <w:t>Non-equity</w:t>
            </w:r>
          </w:p>
        </w:tc>
        <w:tc>
          <w:tcPr>
            <w:tcW w:w="880" w:type="dxa"/>
            <w:vAlign w:val="bottom"/>
            <w:tcBorders>
              <w:top w:val="single" w:sz="8" w:color="auto"/>
              <w:right w:val="single" w:sz="8" w:color="auto"/>
            </w:tcBorders>
            <w:vMerge w:val="restart"/>
            <w:shd w:val="clear" w:color="auto" w:fill="003445"/>
          </w:tcPr>
          <w:p>
            <w:pPr>
              <w:ind w:left="100"/>
              <w:spacing w:after="0"/>
              <w:rPr>
                <w:sz w:val="20"/>
                <w:szCs w:val="20"/>
                <w:color w:val="auto"/>
              </w:rPr>
            </w:pPr>
            <w:r>
              <w:rPr>
                <w:rFonts w:ascii="Arial" w:cs="Arial" w:eastAsia="Arial" w:hAnsi="Arial"/>
                <w:sz w:val="16"/>
                <w:szCs w:val="16"/>
                <w:b w:val="1"/>
                <w:bCs w:val="1"/>
                <w:color w:val="FFFFFF"/>
                <w:w w:val="99"/>
              </w:rPr>
              <w:t>  Pension</w:t>
            </w:r>
          </w:p>
        </w:tc>
        <w:tc>
          <w:tcPr>
            <w:tcW w:w="1340" w:type="dxa"/>
            <w:vAlign w:val="bottom"/>
            <w:tcBorders>
              <w:top w:val="single" w:sz="8" w:color="auto"/>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8"/>
              </w:rPr>
              <w:t>All other</w:t>
            </w:r>
          </w:p>
        </w:tc>
        <w:tc>
          <w:tcPr>
            <w:tcW w:w="920" w:type="dxa"/>
            <w:vAlign w:val="bottom"/>
            <w:tcBorders>
              <w:top w:val="single" w:sz="8" w:color="auto"/>
              <w:right w:val="single" w:sz="8" w:color="auto"/>
            </w:tcBorders>
            <w:shd w:val="clear" w:color="auto" w:fill="003445"/>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3340" w:type="dxa"/>
            <w:vAlign w:val="bottom"/>
            <w:tcBorders>
              <w:left w:val="single" w:sz="8" w:color="auto"/>
              <w:right w:val="single" w:sz="8" w:color="auto"/>
            </w:tcBorders>
            <w:vMerge w:val="restart"/>
            <w:shd w:val="clear" w:color="auto" w:fill="003445"/>
          </w:tcPr>
          <w:p>
            <w:pPr>
              <w:ind w:left="1520"/>
              <w:spacing w:after="0"/>
              <w:rPr>
                <w:sz w:val="20"/>
                <w:szCs w:val="20"/>
                <w:color w:val="auto"/>
              </w:rPr>
            </w:pPr>
            <w:r>
              <w:rPr>
                <w:rFonts w:ascii="Arial" w:cs="Arial" w:eastAsia="Arial" w:hAnsi="Arial"/>
                <w:sz w:val="16"/>
                <w:szCs w:val="16"/>
                <w:b w:val="1"/>
                <w:bCs w:val="1"/>
                <w:color w:val="FFFFFF"/>
              </w:rPr>
              <w:t>Name</w:t>
            </w:r>
          </w:p>
        </w:tc>
        <w:tc>
          <w:tcPr>
            <w:tcW w:w="1000" w:type="dxa"/>
            <w:vAlign w:val="bottom"/>
            <w:tcBorders>
              <w:right w:val="single" w:sz="8" w:color="auto"/>
            </w:tcBorders>
            <w:vMerge w:val="continue"/>
            <w:shd w:val="clear" w:color="auto" w:fill="003445"/>
          </w:tcPr>
          <w:p>
            <w:pPr>
              <w:spacing w:after="0"/>
              <w:rPr>
                <w:sz w:val="7"/>
                <w:szCs w:val="7"/>
                <w:color w:val="auto"/>
              </w:rPr>
            </w:pPr>
          </w:p>
        </w:tc>
        <w:tc>
          <w:tcPr>
            <w:tcW w:w="106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9"/>
              </w:rPr>
              <w:t>based</w:t>
            </w:r>
          </w:p>
        </w:tc>
        <w:tc>
          <w:tcPr>
            <w:tcW w:w="820" w:type="dxa"/>
            <w:vAlign w:val="bottom"/>
            <w:tcBorders>
              <w:right w:val="single" w:sz="8" w:color="auto"/>
            </w:tcBorders>
            <w:vMerge w:val="restart"/>
            <w:shd w:val="clear" w:color="auto" w:fill="003445"/>
          </w:tcPr>
          <w:p>
            <w:pPr>
              <w:jc w:val="center"/>
              <w:ind w:left="1"/>
              <w:spacing w:after="0"/>
              <w:rPr>
                <w:sz w:val="20"/>
                <w:szCs w:val="20"/>
                <w:color w:val="auto"/>
              </w:rPr>
            </w:pPr>
            <w:r>
              <w:rPr>
                <w:rFonts w:ascii="Arial" w:cs="Arial" w:eastAsia="Arial" w:hAnsi="Arial"/>
                <w:sz w:val="16"/>
                <w:szCs w:val="16"/>
                <w:b w:val="1"/>
                <w:bCs w:val="1"/>
                <w:color w:val="FFFFFF"/>
                <w:w w:val="99"/>
              </w:rPr>
              <w:t>based</w:t>
            </w:r>
          </w:p>
        </w:tc>
        <w:tc>
          <w:tcPr>
            <w:tcW w:w="1340" w:type="dxa"/>
            <w:vAlign w:val="bottom"/>
            <w:tcBorders>
              <w:right w:val="single" w:sz="8" w:color="auto"/>
            </w:tcBorders>
            <w:vMerge w:val="restart"/>
            <w:shd w:val="clear" w:color="auto" w:fill="003445"/>
          </w:tcPr>
          <w:p>
            <w:pPr>
              <w:jc w:val="center"/>
              <w:ind w:left="1"/>
              <w:spacing w:after="0"/>
              <w:rPr>
                <w:sz w:val="20"/>
                <w:szCs w:val="20"/>
                <w:color w:val="auto"/>
              </w:rPr>
            </w:pPr>
            <w:r>
              <w:rPr>
                <w:rFonts w:ascii="Arial" w:cs="Arial" w:eastAsia="Arial" w:hAnsi="Arial"/>
                <w:sz w:val="16"/>
                <w:szCs w:val="16"/>
                <w:b w:val="1"/>
                <w:bCs w:val="1"/>
                <w:color w:val="FFFFFF"/>
                <w:w w:val="99"/>
              </w:rPr>
              <w:t>incentive plan</w:t>
            </w:r>
          </w:p>
        </w:tc>
        <w:tc>
          <w:tcPr>
            <w:tcW w:w="880" w:type="dxa"/>
            <w:vAlign w:val="bottom"/>
            <w:tcBorders>
              <w:right w:val="single" w:sz="8" w:color="auto"/>
            </w:tcBorders>
            <w:vMerge w:val="continue"/>
            <w:shd w:val="clear" w:color="auto" w:fill="003445"/>
          </w:tcPr>
          <w:p>
            <w:pPr>
              <w:spacing w:after="0"/>
              <w:rPr>
                <w:sz w:val="7"/>
                <w:szCs w:val="7"/>
                <w:color w:val="auto"/>
              </w:rPr>
            </w:pPr>
          </w:p>
        </w:tc>
        <w:tc>
          <w:tcPr>
            <w:tcW w:w="1340" w:type="dxa"/>
            <w:vAlign w:val="bottom"/>
            <w:tcBorders>
              <w:right w:val="single" w:sz="8" w:color="auto"/>
            </w:tcBorders>
            <w:vMerge w:val="continue"/>
            <w:shd w:val="clear" w:color="auto" w:fill="003445"/>
          </w:tcPr>
          <w:p>
            <w:pPr>
              <w:spacing w:after="0"/>
              <w:rPr>
                <w:sz w:val="7"/>
                <w:szCs w:val="7"/>
                <w:color w:val="auto"/>
              </w:rPr>
            </w:pPr>
          </w:p>
        </w:tc>
        <w:tc>
          <w:tcPr>
            <w:tcW w:w="920" w:type="dxa"/>
            <w:vAlign w:val="bottom"/>
            <w:tcBorders>
              <w:right w:val="single" w:sz="8" w:color="auto"/>
            </w:tcBorders>
            <w:vMerge w:val="restart"/>
            <w:shd w:val="clear" w:color="auto" w:fill="003445"/>
          </w:tcPr>
          <w:p>
            <w:pPr>
              <w:jc w:val="right"/>
              <w:ind w:right="181"/>
              <w:spacing w:after="0"/>
              <w:rPr>
                <w:sz w:val="20"/>
                <w:szCs w:val="20"/>
                <w:color w:val="auto"/>
              </w:rPr>
            </w:pPr>
            <w:r>
              <w:rPr>
                <w:rFonts w:ascii="Arial" w:cs="Arial" w:eastAsia="Arial" w:hAnsi="Arial"/>
                <w:sz w:val="16"/>
                <w:szCs w:val="16"/>
                <w:b w:val="1"/>
                <w:bCs w:val="1"/>
                <w:color w:val="FFFFFF"/>
              </w:rPr>
              <w:t>Total</w:t>
            </w:r>
          </w:p>
        </w:tc>
        <w:tc>
          <w:tcPr>
            <w:tcW w:w="0" w:type="dxa"/>
            <w:vAlign w:val="bottom"/>
          </w:tcPr>
          <w:p>
            <w:pPr>
              <w:spacing w:after="0"/>
              <w:rPr>
                <w:sz w:val="1"/>
                <w:szCs w:val="1"/>
                <w:color w:val="auto"/>
              </w:rPr>
            </w:pPr>
          </w:p>
        </w:tc>
      </w:tr>
      <w:tr>
        <w:trPr>
          <w:trHeight w:val="92"/>
        </w:trPr>
        <w:tc>
          <w:tcPr>
            <w:tcW w:w="3340" w:type="dxa"/>
            <w:vAlign w:val="bottom"/>
            <w:tcBorders>
              <w:left w:val="single" w:sz="8" w:color="auto"/>
              <w:right w:val="single" w:sz="8" w:color="auto"/>
            </w:tcBorders>
            <w:vMerge w:val="continue"/>
            <w:shd w:val="clear" w:color="auto" w:fill="003445"/>
          </w:tcPr>
          <w:p>
            <w:pPr>
              <w:spacing w:after="0"/>
              <w:rPr>
                <w:sz w:val="7"/>
                <w:szCs w:val="7"/>
                <w:color w:val="auto"/>
              </w:rPr>
            </w:pPr>
          </w:p>
        </w:tc>
        <w:tc>
          <w:tcPr>
            <w:tcW w:w="1000" w:type="dxa"/>
            <w:vAlign w:val="bottom"/>
            <w:tcBorders>
              <w:right w:val="single" w:sz="8" w:color="auto"/>
            </w:tcBorders>
            <w:vMerge w:val="restart"/>
            <w:shd w:val="clear" w:color="auto" w:fill="003445"/>
          </w:tcPr>
          <w:p>
            <w:pPr>
              <w:jc w:val="right"/>
              <w:ind w:right="61"/>
              <w:spacing w:after="0" w:line="250" w:lineRule="exact"/>
              <w:rPr>
                <w:sz w:val="20"/>
                <w:szCs w:val="20"/>
                <w:color w:val="auto"/>
              </w:rPr>
            </w:pPr>
            <w:r>
              <w:rPr>
                <w:rFonts w:ascii="Arial" w:cs="Arial" w:eastAsia="Arial" w:hAnsi="Arial"/>
                <w:sz w:val="16"/>
                <w:szCs w:val="16"/>
                <w:b w:val="1"/>
                <w:bCs w:val="1"/>
                <w:color w:val="FFFFFF"/>
              </w:rPr>
              <w:t>earned</w:t>
            </w:r>
            <w:r>
              <w:rPr>
                <w:rFonts w:ascii="Arial" w:cs="Arial" w:eastAsia="Arial" w:hAnsi="Arial"/>
                <w:sz w:val="23"/>
                <w:szCs w:val="23"/>
                <w:b w:val="1"/>
                <w:bCs w:val="1"/>
                <w:color w:val="FFFFFF"/>
                <w:vertAlign w:val="superscript"/>
              </w:rPr>
              <w:t>(1)</w:t>
            </w:r>
          </w:p>
        </w:tc>
        <w:tc>
          <w:tcPr>
            <w:tcW w:w="1060" w:type="dxa"/>
            <w:vAlign w:val="bottom"/>
            <w:tcBorders>
              <w:right w:val="single" w:sz="8" w:color="auto"/>
            </w:tcBorders>
            <w:vMerge w:val="continue"/>
            <w:shd w:val="clear" w:color="auto" w:fill="003445"/>
          </w:tcPr>
          <w:p>
            <w:pPr>
              <w:spacing w:after="0"/>
              <w:rPr>
                <w:sz w:val="7"/>
                <w:szCs w:val="7"/>
                <w:color w:val="auto"/>
              </w:rPr>
            </w:pPr>
          </w:p>
        </w:tc>
        <w:tc>
          <w:tcPr>
            <w:tcW w:w="820" w:type="dxa"/>
            <w:vAlign w:val="bottom"/>
            <w:tcBorders>
              <w:right w:val="single" w:sz="8" w:color="auto"/>
            </w:tcBorders>
            <w:vMerge w:val="continue"/>
            <w:shd w:val="clear" w:color="auto" w:fill="003445"/>
          </w:tcPr>
          <w:p>
            <w:pPr>
              <w:spacing w:after="0"/>
              <w:rPr>
                <w:sz w:val="7"/>
                <w:szCs w:val="7"/>
                <w:color w:val="auto"/>
              </w:rPr>
            </w:pPr>
          </w:p>
        </w:tc>
        <w:tc>
          <w:tcPr>
            <w:tcW w:w="1340" w:type="dxa"/>
            <w:vAlign w:val="bottom"/>
            <w:tcBorders>
              <w:right w:val="single" w:sz="8" w:color="auto"/>
            </w:tcBorders>
            <w:vMerge w:val="continue"/>
            <w:shd w:val="clear" w:color="auto" w:fill="003445"/>
          </w:tcPr>
          <w:p>
            <w:pPr>
              <w:spacing w:after="0"/>
              <w:rPr>
                <w:sz w:val="7"/>
                <w:szCs w:val="7"/>
                <w:color w:val="auto"/>
              </w:rPr>
            </w:pPr>
          </w:p>
        </w:tc>
        <w:tc>
          <w:tcPr>
            <w:tcW w:w="880" w:type="dxa"/>
            <w:vAlign w:val="bottom"/>
            <w:tcBorders>
              <w:right w:val="single" w:sz="8" w:color="auto"/>
            </w:tcBorders>
            <w:vMerge w:val="restart"/>
            <w:shd w:val="clear" w:color="auto" w:fill="003445"/>
          </w:tcPr>
          <w:p>
            <w:pPr>
              <w:jc w:val="center"/>
              <w:ind w:left="1"/>
              <w:spacing w:after="0"/>
              <w:rPr>
                <w:sz w:val="20"/>
                <w:szCs w:val="20"/>
                <w:color w:val="auto"/>
              </w:rPr>
            </w:pPr>
            <w:r>
              <w:rPr>
                <w:rFonts w:ascii="Arial" w:cs="Arial" w:eastAsia="Arial" w:hAnsi="Arial"/>
                <w:sz w:val="16"/>
                <w:szCs w:val="16"/>
                <w:b w:val="1"/>
                <w:bCs w:val="1"/>
                <w:color w:val="FFFFFF"/>
                <w:w w:val="97"/>
              </w:rPr>
              <w:t>value</w:t>
            </w:r>
          </w:p>
        </w:tc>
        <w:tc>
          <w:tcPr>
            <w:tcW w:w="1340" w:type="dxa"/>
            <w:vAlign w:val="bottom"/>
            <w:tcBorders>
              <w:right w:val="single" w:sz="8" w:color="auto"/>
            </w:tcBorders>
            <w:vMerge w:val="restart"/>
            <w:shd w:val="clear" w:color="auto" w:fill="003445"/>
          </w:tcPr>
          <w:p>
            <w:pPr>
              <w:ind w:left="100"/>
              <w:spacing w:after="0"/>
              <w:rPr>
                <w:sz w:val="20"/>
                <w:szCs w:val="20"/>
                <w:color w:val="auto"/>
              </w:rPr>
            </w:pPr>
            <w:r>
              <w:rPr>
                <w:rFonts w:ascii="Arial" w:cs="Arial" w:eastAsia="Arial" w:hAnsi="Arial"/>
                <w:sz w:val="16"/>
                <w:szCs w:val="16"/>
                <w:b w:val="1"/>
                <w:bCs w:val="1"/>
                <w:color w:val="FFFFFF"/>
                <w:w w:val="99"/>
              </w:rPr>
              <w:t>  compensation</w:t>
            </w:r>
          </w:p>
        </w:tc>
        <w:tc>
          <w:tcPr>
            <w:tcW w:w="920" w:type="dxa"/>
            <w:vAlign w:val="bottom"/>
            <w:tcBorders>
              <w:right w:val="single" w:sz="8" w:color="auto"/>
            </w:tcBorders>
            <w:vMerge w:val="continue"/>
            <w:shd w:val="clear" w:color="auto" w:fill="003445"/>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3340" w:type="dxa"/>
            <w:vAlign w:val="bottom"/>
            <w:tcBorders>
              <w:left w:val="single" w:sz="8" w:color="auto"/>
              <w:right w:val="single" w:sz="8" w:color="auto"/>
            </w:tcBorders>
            <w:shd w:val="clear" w:color="auto" w:fill="003445"/>
          </w:tcPr>
          <w:p>
            <w:pPr>
              <w:spacing w:after="0"/>
              <w:rPr>
                <w:sz w:val="13"/>
                <w:szCs w:val="13"/>
                <w:color w:val="auto"/>
              </w:rPr>
            </w:pPr>
          </w:p>
        </w:tc>
        <w:tc>
          <w:tcPr>
            <w:tcW w:w="1000" w:type="dxa"/>
            <w:vAlign w:val="bottom"/>
            <w:tcBorders>
              <w:right w:val="single" w:sz="8" w:color="auto"/>
            </w:tcBorders>
            <w:vMerge w:val="continue"/>
            <w:shd w:val="clear" w:color="auto" w:fill="003445"/>
          </w:tcPr>
          <w:p>
            <w:pPr>
              <w:spacing w:after="0"/>
              <w:rPr>
                <w:sz w:val="13"/>
                <w:szCs w:val="13"/>
                <w:color w:val="auto"/>
              </w:rPr>
            </w:pPr>
          </w:p>
        </w:tc>
        <w:tc>
          <w:tcPr>
            <w:tcW w:w="106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88"/>
              </w:rPr>
              <w:t>awards</w:t>
            </w:r>
            <w:r>
              <w:rPr>
                <w:rFonts w:ascii="Arial" w:cs="Arial" w:eastAsia="Arial" w:hAnsi="Arial"/>
                <w:sz w:val="23"/>
                <w:szCs w:val="23"/>
                <w:b w:val="1"/>
                <w:bCs w:val="1"/>
                <w:color w:val="FFFFFF"/>
                <w:w w:val="88"/>
                <w:vertAlign w:val="superscript"/>
              </w:rPr>
              <w:t>(2)(3)</w:t>
            </w:r>
          </w:p>
        </w:tc>
        <w:tc>
          <w:tcPr>
            <w:tcW w:w="820" w:type="dxa"/>
            <w:vAlign w:val="bottom"/>
            <w:tcBorders>
              <w:right w:val="single" w:sz="8" w:color="auto"/>
            </w:tcBorders>
            <w:vMerge w:val="restart"/>
            <w:shd w:val="clear" w:color="auto" w:fill="003445"/>
          </w:tcPr>
          <w:p>
            <w:pPr>
              <w:jc w:val="center"/>
              <w:ind w:left="1"/>
              <w:spacing w:after="0"/>
              <w:rPr>
                <w:sz w:val="20"/>
                <w:szCs w:val="20"/>
                <w:color w:val="auto"/>
              </w:rPr>
            </w:pPr>
            <w:r>
              <w:rPr>
                <w:rFonts w:ascii="Arial" w:cs="Arial" w:eastAsia="Arial" w:hAnsi="Arial"/>
                <w:sz w:val="16"/>
                <w:szCs w:val="16"/>
                <w:b w:val="1"/>
                <w:bCs w:val="1"/>
                <w:color w:val="FFFFFF"/>
                <w:w w:val="97"/>
              </w:rPr>
              <w:t>awards</w:t>
            </w:r>
          </w:p>
        </w:tc>
        <w:tc>
          <w:tcPr>
            <w:tcW w:w="134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1"/>
              </w:rPr>
              <w:t>  compensation </w:t>
            </w:r>
          </w:p>
        </w:tc>
        <w:tc>
          <w:tcPr>
            <w:tcW w:w="880" w:type="dxa"/>
            <w:vAlign w:val="bottom"/>
            <w:tcBorders>
              <w:right w:val="single" w:sz="8" w:color="auto"/>
            </w:tcBorders>
            <w:vMerge w:val="continue"/>
            <w:shd w:val="clear" w:color="auto" w:fill="003445"/>
          </w:tcPr>
          <w:p>
            <w:pPr>
              <w:spacing w:after="0"/>
              <w:rPr>
                <w:sz w:val="13"/>
                <w:szCs w:val="13"/>
                <w:color w:val="auto"/>
              </w:rPr>
            </w:pPr>
          </w:p>
        </w:tc>
        <w:tc>
          <w:tcPr>
            <w:tcW w:w="1340" w:type="dxa"/>
            <w:vAlign w:val="bottom"/>
            <w:tcBorders>
              <w:right w:val="single" w:sz="8" w:color="auto"/>
            </w:tcBorders>
            <w:vMerge w:val="continue"/>
            <w:shd w:val="clear" w:color="auto" w:fill="003445"/>
          </w:tcPr>
          <w:p>
            <w:pPr>
              <w:spacing w:after="0"/>
              <w:rPr>
                <w:sz w:val="13"/>
                <w:szCs w:val="13"/>
                <w:color w:val="auto"/>
              </w:rPr>
            </w:pPr>
          </w:p>
        </w:tc>
        <w:tc>
          <w:tcPr>
            <w:tcW w:w="920" w:type="dxa"/>
            <w:vAlign w:val="bottom"/>
            <w:tcBorders>
              <w:right w:val="single" w:sz="8" w:color="auto"/>
            </w:tcBorders>
            <w:shd w:val="clear" w:color="auto" w:fill="003445"/>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340" w:type="dxa"/>
            <w:vAlign w:val="bottom"/>
            <w:tcBorders>
              <w:left w:val="single" w:sz="8" w:color="auto"/>
              <w:bottom w:val="single" w:sz="8" w:color="auto"/>
              <w:right w:val="single" w:sz="8" w:color="auto"/>
            </w:tcBorders>
            <w:shd w:val="clear" w:color="auto" w:fill="003445"/>
          </w:tcPr>
          <w:p>
            <w:pPr>
              <w:spacing w:after="0"/>
              <w:rPr>
                <w:sz w:val="12"/>
                <w:szCs w:val="12"/>
                <w:color w:val="auto"/>
              </w:rPr>
            </w:pPr>
          </w:p>
        </w:tc>
        <w:tc>
          <w:tcPr>
            <w:tcW w:w="1000" w:type="dxa"/>
            <w:vAlign w:val="bottom"/>
            <w:tcBorders>
              <w:bottom w:val="single" w:sz="8" w:color="auto"/>
              <w:right w:val="single" w:sz="8" w:color="auto"/>
            </w:tcBorders>
            <w:shd w:val="clear" w:color="auto" w:fill="003445"/>
          </w:tcPr>
          <w:p>
            <w:pPr>
              <w:spacing w:after="0"/>
              <w:rPr>
                <w:sz w:val="12"/>
                <w:szCs w:val="12"/>
                <w:color w:val="auto"/>
              </w:rPr>
            </w:pPr>
          </w:p>
        </w:tc>
        <w:tc>
          <w:tcPr>
            <w:tcW w:w="1060" w:type="dxa"/>
            <w:vAlign w:val="bottom"/>
            <w:tcBorders>
              <w:bottom w:val="single" w:sz="8" w:color="auto"/>
              <w:right w:val="single" w:sz="8" w:color="auto"/>
            </w:tcBorders>
            <w:vMerge w:val="continue"/>
            <w:shd w:val="clear" w:color="auto" w:fill="003445"/>
          </w:tcPr>
          <w:p>
            <w:pPr>
              <w:spacing w:after="0"/>
              <w:rPr>
                <w:sz w:val="12"/>
                <w:szCs w:val="12"/>
                <w:color w:val="auto"/>
              </w:rPr>
            </w:pPr>
          </w:p>
        </w:tc>
        <w:tc>
          <w:tcPr>
            <w:tcW w:w="820" w:type="dxa"/>
            <w:vAlign w:val="bottom"/>
            <w:tcBorders>
              <w:bottom w:val="single" w:sz="8" w:color="auto"/>
              <w:right w:val="single" w:sz="8" w:color="auto"/>
            </w:tcBorders>
            <w:vMerge w:val="continue"/>
            <w:shd w:val="clear" w:color="auto" w:fill="003445"/>
          </w:tcPr>
          <w:p>
            <w:pPr>
              <w:spacing w:after="0"/>
              <w:rPr>
                <w:sz w:val="12"/>
                <w:szCs w:val="12"/>
                <w:color w:val="auto"/>
              </w:rPr>
            </w:pPr>
          </w:p>
        </w:tc>
        <w:tc>
          <w:tcPr>
            <w:tcW w:w="1340" w:type="dxa"/>
            <w:vAlign w:val="bottom"/>
            <w:tcBorders>
              <w:bottom w:val="single" w:sz="8" w:color="auto"/>
              <w:right w:val="single" w:sz="8" w:color="auto"/>
            </w:tcBorders>
            <w:vMerge w:val="continue"/>
            <w:shd w:val="clear" w:color="auto" w:fill="003445"/>
          </w:tcPr>
          <w:p>
            <w:pPr>
              <w:spacing w:after="0"/>
              <w:rPr>
                <w:sz w:val="12"/>
                <w:szCs w:val="12"/>
                <w:color w:val="auto"/>
              </w:rPr>
            </w:pPr>
          </w:p>
        </w:tc>
        <w:tc>
          <w:tcPr>
            <w:tcW w:w="880" w:type="dxa"/>
            <w:vAlign w:val="bottom"/>
            <w:tcBorders>
              <w:bottom w:val="single" w:sz="8" w:color="auto"/>
              <w:right w:val="single" w:sz="8" w:color="auto"/>
            </w:tcBorders>
            <w:shd w:val="clear" w:color="auto" w:fill="003445"/>
          </w:tcPr>
          <w:p>
            <w:pPr>
              <w:spacing w:after="0"/>
              <w:rPr>
                <w:sz w:val="12"/>
                <w:szCs w:val="12"/>
                <w:color w:val="auto"/>
              </w:rPr>
            </w:pPr>
          </w:p>
        </w:tc>
        <w:tc>
          <w:tcPr>
            <w:tcW w:w="1340" w:type="dxa"/>
            <w:vAlign w:val="bottom"/>
            <w:tcBorders>
              <w:bottom w:val="single" w:sz="8" w:color="auto"/>
              <w:right w:val="single" w:sz="8" w:color="auto"/>
            </w:tcBorders>
            <w:shd w:val="clear" w:color="auto" w:fill="003445"/>
          </w:tcPr>
          <w:p>
            <w:pPr>
              <w:spacing w:after="0"/>
              <w:rPr>
                <w:sz w:val="12"/>
                <w:szCs w:val="12"/>
                <w:color w:val="auto"/>
              </w:rPr>
            </w:pPr>
          </w:p>
        </w:tc>
        <w:tc>
          <w:tcPr>
            <w:tcW w:w="920" w:type="dxa"/>
            <w:vAlign w:val="bottom"/>
            <w:tcBorders>
              <w:bottom w:val="single" w:sz="8" w:color="auto"/>
              <w:right w:val="single" w:sz="8" w:color="auto"/>
            </w:tcBorders>
            <w:shd w:val="clear" w:color="auto" w:fill="003445"/>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3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Mary Anne Bueschkens</w:t>
            </w:r>
          </w:p>
        </w:tc>
        <w:tc>
          <w:tcPr>
            <w:tcW w:w="1000" w:type="dxa"/>
            <w:vAlign w:val="bottom"/>
            <w:tcBorders>
              <w:right w:val="single" w:sz="8" w:color="auto"/>
            </w:tcBorders>
          </w:tcPr>
          <w:p>
            <w:pPr>
              <w:jc w:val="right"/>
              <w:ind w:right="61"/>
              <w:spacing w:after="0"/>
              <w:rPr>
                <w:sz w:val="20"/>
                <w:szCs w:val="20"/>
                <w:color w:val="auto"/>
              </w:rPr>
            </w:pPr>
            <w:r>
              <w:rPr>
                <w:rFonts w:ascii="Arial" w:cs="Arial" w:eastAsia="Arial" w:hAnsi="Arial"/>
                <w:sz w:val="16"/>
                <w:szCs w:val="16"/>
                <w:color w:val="auto"/>
                <w:w w:val="85"/>
              </w:rPr>
              <w:t>   $62,670 </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w w:val="89"/>
              </w:rPr>
              <w:t>   $248,328 </w:t>
            </w:r>
          </w:p>
        </w:tc>
        <w:tc>
          <w:tcPr>
            <w:tcW w:w="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 xml:space="preserve">      –    </w:t>
            </w:r>
          </w:p>
        </w:tc>
        <w:tc>
          <w:tcPr>
            <w:tcW w:w="134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 xml:space="preserve">     –    </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  $310,999</w:t>
            </w:r>
          </w:p>
        </w:tc>
        <w:tc>
          <w:tcPr>
            <w:tcW w:w="0" w:type="dxa"/>
            <w:vAlign w:val="bottom"/>
          </w:tcPr>
          <w:p>
            <w:pPr>
              <w:spacing w:after="0"/>
              <w:rPr>
                <w:sz w:val="1"/>
                <w:szCs w:val="1"/>
                <w:color w:val="auto"/>
              </w:rPr>
            </w:pPr>
          </w:p>
        </w:tc>
      </w:tr>
      <w:tr>
        <w:trPr>
          <w:trHeight w:val="42"/>
        </w:trPr>
        <w:tc>
          <w:tcPr>
            <w:tcW w:w="3340" w:type="dxa"/>
            <w:vAlign w:val="bottom"/>
            <w:tcBorders>
              <w:left w:val="single" w:sz="8" w:color="auto"/>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3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Sean Donnelly</w:t>
            </w:r>
          </w:p>
        </w:tc>
        <w:tc>
          <w:tcPr>
            <w:tcW w:w="10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$74,932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$227,006</w:t>
            </w:r>
          </w:p>
        </w:tc>
        <w:tc>
          <w:tcPr>
            <w:tcW w:w="8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$301,938</w:t>
            </w:r>
          </w:p>
        </w:tc>
        <w:tc>
          <w:tcPr>
            <w:tcW w:w="0" w:type="dxa"/>
            <w:vAlign w:val="bottom"/>
          </w:tcPr>
          <w:p>
            <w:pPr>
              <w:spacing w:after="0"/>
              <w:rPr>
                <w:sz w:val="1"/>
                <w:szCs w:val="1"/>
                <w:color w:val="auto"/>
              </w:rPr>
            </w:pPr>
          </w:p>
        </w:tc>
      </w:tr>
      <w:tr>
        <w:trPr>
          <w:trHeight w:val="42"/>
        </w:trPr>
        <w:tc>
          <w:tcPr>
            <w:tcW w:w="3340" w:type="dxa"/>
            <w:vAlign w:val="bottom"/>
            <w:tcBorders>
              <w:left w:val="single" w:sz="8" w:color="auto"/>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6"/>
        </w:trPr>
        <w:tc>
          <w:tcPr>
            <w:tcW w:w="3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James Gouin</w:t>
            </w:r>
          </w:p>
        </w:tc>
        <w:tc>
          <w:tcPr>
            <w:tcW w:w="10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$83,447</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$259,613</w:t>
            </w:r>
          </w:p>
        </w:tc>
        <w:tc>
          <w:tcPr>
            <w:tcW w:w="8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$343,060</w:t>
            </w:r>
          </w:p>
        </w:tc>
        <w:tc>
          <w:tcPr>
            <w:tcW w:w="0" w:type="dxa"/>
            <w:vAlign w:val="bottom"/>
          </w:tcPr>
          <w:p>
            <w:pPr>
              <w:spacing w:after="0"/>
              <w:rPr>
                <w:sz w:val="1"/>
                <w:szCs w:val="1"/>
                <w:color w:val="auto"/>
              </w:rPr>
            </w:pPr>
          </w:p>
        </w:tc>
      </w:tr>
      <w:tr>
        <w:trPr>
          <w:trHeight w:val="42"/>
        </w:trPr>
        <w:tc>
          <w:tcPr>
            <w:tcW w:w="3340" w:type="dxa"/>
            <w:vAlign w:val="bottom"/>
            <w:tcBorders>
              <w:left w:val="single" w:sz="8" w:color="auto"/>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33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Andy Harshaw</w:t>
            </w:r>
            <w:r>
              <w:rPr>
                <w:rFonts w:ascii="Arial" w:cs="Arial" w:eastAsia="Arial" w:hAnsi="Arial"/>
                <w:sz w:val="23"/>
                <w:szCs w:val="23"/>
                <w:color w:val="auto"/>
                <w:vertAlign w:val="superscript"/>
              </w:rPr>
              <w:t>(4)</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3"/>
              </w:rPr>
              <w:t>$430,859</w:t>
            </w:r>
            <w:r>
              <w:rPr>
                <w:rFonts w:ascii="Arial" w:cs="Arial" w:eastAsia="Arial" w:hAnsi="Arial"/>
                <w:sz w:val="23"/>
                <w:szCs w:val="23"/>
                <w:color w:val="auto"/>
                <w:w w:val="93"/>
                <w:vertAlign w:val="superscript"/>
              </w:rPr>
              <w:t>(5)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$410,534</w:t>
            </w:r>
          </w:p>
        </w:tc>
        <w:tc>
          <w:tcPr>
            <w:tcW w:w="8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$841,393</w:t>
            </w:r>
          </w:p>
        </w:tc>
        <w:tc>
          <w:tcPr>
            <w:tcW w:w="0" w:type="dxa"/>
            <w:vAlign w:val="bottom"/>
          </w:tcPr>
          <w:p>
            <w:pPr>
              <w:spacing w:after="0"/>
              <w:rPr>
                <w:sz w:val="1"/>
                <w:szCs w:val="1"/>
                <w:color w:val="auto"/>
              </w:rPr>
            </w:pPr>
          </w:p>
        </w:tc>
      </w:tr>
      <w:tr>
        <w:trPr>
          <w:trHeight w:val="268"/>
        </w:trPr>
        <w:tc>
          <w:tcPr>
            <w:tcW w:w="33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Ave Lethbridge</w:t>
            </w:r>
            <w:r>
              <w:rPr>
                <w:rFonts w:ascii="Arial" w:cs="Arial" w:eastAsia="Arial" w:hAnsi="Arial"/>
                <w:sz w:val="23"/>
                <w:szCs w:val="23"/>
                <w:color w:val="auto"/>
                <w:vertAlign w:val="superscript"/>
              </w:rPr>
              <w:t>(7)</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$36,025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$117,035</w:t>
            </w:r>
          </w:p>
        </w:tc>
        <w:tc>
          <w:tcPr>
            <w:tcW w:w="8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$153,060</w:t>
            </w:r>
          </w:p>
        </w:tc>
        <w:tc>
          <w:tcPr>
            <w:tcW w:w="0" w:type="dxa"/>
            <w:vAlign w:val="bottom"/>
          </w:tcPr>
          <w:p>
            <w:pPr>
              <w:spacing w:after="0"/>
              <w:rPr>
                <w:sz w:val="1"/>
                <w:szCs w:val="1"/>
                <w:color w:val="auto"/>
              </w:rPr>
            </w:pPr>
          </w:p>
        </w:tc>
      </w:tr>
      <w:tr>
        <w:trPr>
          <w:trHeight w:val="226"/>
        </w:trPr>
        <w:tc>
          <w:tcPr>
            <w:tcW w:w="3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Sanjay Nakra</w:t>
            </w:r>
          </w:p>
        </w:tc>
        <w:tc>
          <w:tcPr>
            <w:tcW w:w="10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$74,932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$231,583</w:t>
            </w:r>
          </w:p>
        </w:tc>
        <w:tc>
          <w:tcPr>
            <w:tcW w:w="8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$306,515</w:t>
            </w:r>
          </w:p>
        </w:tc>
        <w:tc>
          <w:tcPr>
            <w:tcW w:w="0" w:type="dxa"/>
            <w:vAlign w:val="bottom"/>
          </w:tcPr>
          <w:p>
            <w:pPr>
              <w:spacing w:after="0"/>
              <w:rPr>
                <w:sz w:val="1"/>
                <w:szCs w:val="1"/>
                <w:color w:val="auto"/>
              </w:rPr>
            </w:pPr>
          </w:p>
        </w:tc>
      </w:tr>
      <w:tr>
        <w:trPr>
          <w:trHeight w:val="42"/>
        </w:trPr>
        <w:tc>
          <w:tcPr>
            <w:tcW w:w="3340" w:type="dxa"/>
            <w:vAlign w:val="bottom"/>
            <w:tcBorders>
              <w:left w:val="single" w:sz="8" w:color="auto"/>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33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 xml:space="preserve">Melinda J. Newman </w:t>
            </w:r>
            <w:r>
              <w:rPr>
                <w:rFonts w:ascii="Arial" w:cs="Arial" w:eastAsia="Arial" w:hAnsi="Arial"/>
                <w:sz w:val="23"/>
                <w:szCs w:val="23"/>
                <w:color w:val="auto"/>
                <w:vertAlign w:val="superscript"/>
              </w:rPr>
              <w:t>(8)</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8"/>
              </w:rPr>
              <w:t>$2,882</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$225,412</w:t>
            </w:r>
          </w:p>
        </w:tc>
        <w:tc>
          <w:tcPr>
            <w:tcW w:w="8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$228,294</w:t>
            </w:r>
          </w:p>
        </w:tc>
        <w:tc>
          <w:tcPr>
            <w:tcW w:w="0" w:type="dxa"/>
            <w:vAlign w:val="bottom"/>
          </w:tcPr>
          <w:p>
            <w:pPr>
              <w:spacing w:after="0"/>
              <w:rPr>
                <w:sz w:val="1"/>
                <w:szCs w:val="1"/>
                <w:color w:val="auto"/>
              </w:rPr>
            </w:pPr>
          </w:p>
        </w:tc>
      </w:tr>
      <w:tr>
        <w:trPr>
          <w:trHeight w:val="268"/>
        </w:trPr>
        <w:tc>
          <w:tcPr>
            <w:tcW w:w="33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Eric S. Rosenfeld</w:t>
            </w:r>
            <w:r>
              <w:rPr>
                <w:rFonts w:ascii="Arial" w:cs="Arial" w:eastAsia="Arial" w:hAnsi="Arial"/>
                <w:sz w:val="23"/>
                <w:szCs w:val="23"/>
                <w:color w:val="auto"/>
                <w:vertAlign w:val="superscript"/>
              </w:rPr>
              <w:t>(6)</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$322,011</w:t>
            </w:r>
          </w:p>
        </w:tc>
        <w:tc>
          <w:tcPr>
            <w:tcW w:w="8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$322,011</w:t>
            </w:r>
          </w:p>
        </w:tc>
        <w:tc>
          <w:tcPr>
            <w:tcW w:w="0" w:type="dxa"/>
            <w:vAlign w:val="bottom"/>
          </w:tcPr>
          <w:p>
            <w:pPr>
              <w:spacing w:after="0"/>
              <w:rPr>
                <w:sz w:val="1"/>
                <w:szCs w:val="1"/>
                <w:color w:val="auto"/>
              </w:rPr>
            </w:pPr>
          </w:p>
        </w:tc>
      </w:tr>
      <w:tr>
        <w:trPr>
          <w:trHeight w:val="226"/>
        </w:trPr>
        <w:tc>
          <w:tcPr>
            <w:tcW w:w="3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Gale Rubenstein</w:t>
            </w:r>
          </w:p>
        </w:tc>
        <w:tc>
          <w:tcPr>
            <w:tcW w:w="100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$78,338</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$254,300</w:t>
            </w:r>
          </w:p>
        </w:tc>
        <w:tc>
          <w:tcPr>
            <w:tcW w:w="8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134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$332,638</w:t>
            </w:r>
          </w:p>
        </w:tc>
        <w:tc>
          <w:tcPr>
            <w:tcW w:w="0" w:type="dxa"/>
            <w:vAlign w:val="bottom"/>
          </w:tcPr>
          <w:p>
            <w:pPr>
              <w:spacing w:after="0"/>
              <w:rPr>
                <w:sz w:val="1"/>
                <w:szCs w:val="1"/>
                <w:color w:val="auto"/>
              </w:rPr>
            </w:pPr>
          </w:p>
        </w:tc>
      </w:tr>
      <w:tr>
        <w:trPr>
          <w:trHeight w:val="42"/>
        </w:trPr>
        <w:tc>
          <w:tcPr>
            <w:tcW w:w="3340" w:type="dxa"/>
            <w:vAlign w:val="bottom"/>
            <w:tcBorders>
              <w:left w:val="single" w:sz="8" w:color="auto"/>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33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David D. Sgro</w:t>
            </w:r>
            <w:r>
              <w:rPr>
                <w:rFonts w:ascii="Arial" w:cs="Arial" w:eastAsia="Arial" w:hAnsi="Arial"/>
                <w:sz w:val="23"/>
                <w:szCs w:val="23"/>
                <w:color w:val="auto"/>
                <w:vertAlign w:val="superscript"/>
              </w:rPr>
              <w:t>(6)(9)</w:t>
            </w:r>
          </w:p>
        </w:tc>
        <w:tc>
          <w:tcPr>
            <w:tcW w:w="10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96"/>
              </w:rPr>
              <w:t>$81,744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$171,368</w:t>
            </w:r>
          </w:p>
        </w:tc>
        <w:tc>
          <w:tcPr>
            <w:tcW w:w="82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right w:val="single" w:sz="8" w:color="auto"/>
            </w:tcBorders>
          </w:tcPr>
          <w:p>
            <w:pPr>
              <w:jc w:val="right"/>
              <w:ind w:right="21"/>
              <w:spacing w:after="0"/>
              <w:rPr>
                <w:sz w:val="20"/>
                <w:szCs w:val="20"/>
                <w:color w:val="auto"/>
              </w:rPr>
            </w:pPr>
            <w:r>
              <w:rPr>
                <w:rFonts w:ascii="Arial" w:cs="Arial" w:eastAsia="Arial" w:hAnsi="Arial"/>
                <w:sz w:val="16"/>
                <w:szCs w:val="16"/>
                <w:color w:val="auto"/>
              </w:rPr>
              <w:t>$253,112</w:t>
            </w: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0700"/>
          </w:cols>
          <w:pgMar w:left="600" w:top="262" w:right="599" w:bottom="1440" w:gutter="0" w:footer="0" w:header="0"/>
        </w:sectPr>
      </w:pPr>
    </w:p>
    <w:bookmarkStart w:id="77" w:name="page78"/>
    <w:bookmarkEnd w:id="77"/>
    <w:p>
      <w:pPr>
        <w:spacing w:after="0"/>
        <w:rPr>
          <w:sz w:val="20"/>
          <w:szCs w:val="20"/>
          <w:color w:val="auto"/>
        </w:rPr>
      </w:pPr>
      <w:r>
        <w:rPr>
          <w:rFonts w:ascii="Arial" w:cs="Arial" w:eastAsia="Arial" w:hAnsi="Arial"/>
          <w:sz w:val="16"/>
          <w:szCs w:val="16"/>
          <w:i w:val="1"/>
          <w:i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Notes:</w:t>
      </w:r>
    </w:p>
    <w:p>
      <w:pPr>
        <w:spacing w:after="0" w:line="117" w:lineRule="exact"/>
        <w:rPr>
          <w:sz w:val="20"/>
          <w:szCs w:val="20"/>
          <w:color w:val="auto"/>
        </w:rPr>
      </w:pPr>
    </w:p>
    <w:p>
      <w:pPr>
        <w:ind w:left="520" w:right="20" w:hanging="415"/>
        <w:spacing w:after="0" w:line="248" w:lineRule="auto"/>
        <w:tabs>
          <w:tab w:leader="none" w:pos="520" w:val="left"/>
        </w:tabs>
        <w:numPr>
          <w:ilvl w:val="0"/>
          <w:numId w:val="48"/>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the cash retainer paid to each director for Fiscal 2025, including fees payable for sitting on standing, ad hoc and special committees of the Board.</w:t>
      </w:r>
    </w:p>
    <w:p>
      <w:pPr>
        <w:jc w:val="both"/>
        <w:ind w:left="520" w:right="20" w:hanging="415"/>
        <w:spacing w:after="0" w:line="239" w:lineRule="auto"/>
        <w:tabs>
          <w:tab w:leader="none" w:pos="520" w:val="left"/>
        </w:tabs>
        <w:numPr>
          <w:ilvl w:val="0"/>
          <w:numId w:val="48"/>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the DSUs granted to the Directors as compensation for their service as Directors in Fiscal 2025, representing the portion of the retainer which the applicable Director elected to be paid in the form of DSUs under the Omnibus Incentive Plan. The grant date fair value of the DSUs has been calculated in accordance with the Omnibus Incentive Plan, as the number of DSUs granted times the Market Price on the date on which value was determined for the grant.</w:t>
      </w:r>
    </w:p>
    <w:p>
      <w:pPr>
        <w:jc w:val="both"/>
        <w:ind w:left="520" w:right="20" w:hanging="415"/>
        <w:spacing w:after="0" w:line="255" w:lineRule="auto"/>
        <w:tabs>
          <w:tab w:leader="none" w:pos="520" w:val="left"/>
        </w:tabs>
        <w:numPr>
          <w:ilvl w:val="0"/>
          <w:numId w:val="48"/>
        </w:numPr>
        <w:rPr>
          <w:rFonts w:ascii="Arial" w:cs="Arial" w:eastAsia="Arial" w:hAnsi="Arial"/>
          <w:sz w:val="15"/>
          <w:szCs w:val="15"/>
          <w:i w:val="1"/>
          <w:iCs w:val="1"/>
          <w:color w:val="003445"/>
        </w:rPr>
      </w:pPr>
      <w:r>
        <w:rPr>
          <w:rFonts w:ascii="Arial" w:cs="Arial" w:eastAsia="Arial" w:hAnsi="Arial"/>
          <w:sz w:val="15"/>
          <w:szCs w:val="15"/>
          <w:i w:val="1"/>
          <w:iCs w:val="1"/>
          <w:color w:val="003445"/>
        </w:rPr>
        <w:t>This amount includes the dividend equivalent DSUs credited in respect of the quarterly dividends paid in Fiscal 2025. The dividend equivalent awards have been calculated in accordance with the grant agreements governing such awards, by multiplying the amount of the quarterly dividend paid on the Shares by the number of DSUs held by the Director on the record date for such dividend and dividing such amount by the Market Price at the close of the first business day immediately following the dividend record date, with fractions computed to three decimal places.</w:t>
      </w:r>
    </w:p>
    <w:p>
      <w:pPr>
        <w:ind w:left="520" w:right="20" w:hanging="415"/>
        <w:spacing w:after="0" w:line="239" w:lineRule="auto"/>
        <w:tabs>
          <w:tab w:leader="none" w:pos="520" w:val="left"/>
        </w:tabs>
        <w:numPr>
          <w:ilvl w:val="0"/>
          <w:numId w:val="48"/>
        </w:numPr>
        <w:rPr>
          <w:rFonts w:ascii="Arial" w:cs="Arial" w:eastAsia="Arial" w:hAnsi="Arial"/>
          <w:sz w:val="16"/>
          <w:szCs w:val="16"/>
          <w:i w:val="1"/>
          <w:iCs w:val="1"/>
          <w:color w:val="003445"/>
        </w:rPr>
      </w:pPr>
      <w:r>
        <w:rPr>
          <w:rFonts w:ascii="Arial" w:cs="Arial" w:eastAsia="Arial" w:hAnsi="Arial"/>
          <w:sz w:val="16"/>
          <w:szCs w:val="16"/>
          <w:i w:val="1"/>
          <w:iCs w:val="1"/>
          <w:color w:val="003445"/>
        </w:rPr>
        <w:t>The above table does not include information concerning the ownership of Replacement LTIP Awards beneficially owned by Andy Harshaw which, for Andy Harshaw, is described under “About the Nominees” above.</w:t>
      </w:r>
    </w:p>
    <w:p>
      <w:pPr>
        <w:jc w:val="both"/>
        <w:ind w:left="520" w:right="20" w:hanging="415"/>
        <w:spacing w:after="0" w:line="239" w:lineRule="auto"/>
        <w:tabs>
          <w:tab w:leader="none" w:pos="520" w:val="left"/>
        </w:tabs>
        <w:numPr>
          <w:ilvl w:val="0"/>
          <w:numId w:val="48"/>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includes C$384,880 in additional director fees payable monthly to Mr. Harshaw at US$25,000 (C$34,060, calculated using the Bank of Canada exchange rate on April 30, 2026, being US$1 to C$1.3624) for the rendering of additional services as a director, which began on February 1, 2023 and ended November 30, 2025.</w:t>
      </w:r>
    </w:p>
    <w:p>
      <w:pPr>
        <w:ind w:left="520" w:right="20" w:hanging="415"/>
        <w:spacing w:after="0" w:line="239" w:lineRule="auto"/>
        <w:tabs>
          <w:tab w:leader="none" w:pos="520" w:val="left"/>
        </w:tabs>
        <w:numPr>
          <w:ilvl w:val="0"/>
          <w:numId w:val="48"/>
        </w:numPr>
        <w:rPr>
          <w:rFonts w:ascii="Arial" w:cs="Arial" w:eastAsia="Arial" w:hAnsi="Arial"/>
          <w:sz w:val="16"/>
          <w:szCs w:val="16"/>
          <w:i w:val="1"/>
          <w:iCs w:val="1"/>
          <w:color w:val="003445"/>
        </w:rPr>
      </w:pPr>
      <w:r>
        <w:rPr>
          <w:rFonts w:ascii="Arial" w:cs="Arial" w:eastAsia="Arial" w:hAnsi="Arial"/>
          <w:sz w:val="16"/>
          <w:szCs w:val="16"/>
          <w:i w:val="1"/>
          <w:iCs w:val="1"/>
          <w:color w:val="003445"/>
        </w:rPr>
        <w:t>The above table does not include information concerning the ownership of Shares or warrants beneficially owned by each of Eric S. Rosenfeld or David D. Sgro, which is described, with respect to Messrs. Rosenfeld, under “About the Nominees” above.</w:t>
      </w:r>
    </w:p>
    <w:p>
      <w:pPr>
        <w:ind w:left="520" w:hanging="415"/>
        <w:spacing w:after="0"/>
        <w:tabs>
          <w:tab w:leader="none" w:pos="520" w:val="left"/>
        </w:tabs>
        <w:numPr>
          <w:ilvl w:val="0"/>
          <w:numId w:val="48"/>
        </w:numPr>
        <w:rPr>
          <w:rFonts w:ascii="Arial" w:cs="Arial" w:eastAsia="Arial" w:hAnsi="Arial"/>
          <w:sz w:val="16"/>
          <w:szCs w:val="16"/>
          <w:i w:val="1"/>
          <w:iCs w:val="1"/>
          <w:color w:val="003445"/>
        </w:rPr>
      </w:pPr>
      <w:r>
        <w:rPr>
          <w:rFonts w:ascii="Arial" w:cs="Arial" w:eastAsia="Arial" w:hAnsi="Arial"/>
          <w:sz w:val="16"/>
          <w:szCs w:val="16"/>
          <w:i w:val="1"/>
          <w:iCs w:val="1"/>
          <w:color w:val="003445"/>
        </w:rPr>
        <w:t>Ms. Lethbridge resigned from the Board of Directors effective as of June 24, 2025.</w:t>
      </w:r>
    </w:p>
    <w:p>
      <w:pPr>
        <w:ind w:left="520" w:hanging="415"/>
        <w:spacing w:after="0"/>
        <w:tabs>
          <w:tab w:leader="none" w:pos="520" w:val="left"/>
        </w:tabs>
        <w:numPr>
          <w:ilvl w:val="0"/>
          <w:numId w:val="48"/>
        </w:numPr>
        <w:rPr>
          <w:rFonts w:ascii="Arial" w:cs="Arial" w:eastAsia="Arial" w:hAnsi="Arial"/>
          <w:sz w:val="16"/>
          <w:szCs w:val="16"/>
          <w:i w:val="1"/>
          <w:iCs w:val="1"/>
          <w:color w:val="003445"/>
        </w:rPr>
      </w:pPr>
      <w:r>
        <w:rPr>
          <w:rFonts w:ascii="Arial" w:cs="Arial" w:eastAsia="Arial" w:hAnsi="Arial"/>
          <w:sz w:val="16"/>
          <w:szCs w:val="16"/>
          <w:i w:val="1"/>
          <w:iCs w:val="1"/>
          <w:color w:val="003445"/>
        </w:rPr>
        <w:t>Ms. Newman was appointed as a director on the board of the Company as of June 24, 2025.</w:t>
      </w:r>
    </w:p>
    <w:p>
      <w:pPr>
        <w:ind w:left="520" w:hanging="415"/>
        <w:spacing w:after="0"/>
        <w:tabs>
          <w:tab w:leader="none" w:pos="520" w:val="left"/>
        </w:tabs>
        <w:numPr>
          <w:ilvl w:val="0"/>
          <w:numId w:val="48"/>
        </w:numPr>
        <w:rPr>
          <w:rFonts w:ascii="Arial" w:cs="Arial" w:eastAsia="Arial" w:hAnsi="Arial"/>
          <w:sz w:val="16"/>
          <w:szCs w:val="16"/>
          <w:i w:val="1"/>
          <w:iCs w:val="1"/>
          <w:color w:val="003445"/>
        </w:rPr>
      </w:pPr>
      <w:r>
        <w:rPr>
          <w:rFonts w:ascii="Arial" w:cs="Arial" w:eastAsia="Arial" w:hAnsi="Arial"/>
          <w:sz w:val="16"/>
          <w:szCs w:val="16"/>
          <w:i w:val="1"/>
          <w:iCs w:val="1"/>
          <w:color w:val="003445"/>
        </w:rPr>
        <w:t>Mr. Sgro resigned from the Board of Directors effective as of October 1, 2025.</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Outstanding Share Based Awards and Option Based Awards – Directors</w:t>
      </w:r>
    </w:p>
    <w:p>
      <w:pPr>
        <w:spacing w:after="0" w:line="207"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The following table describes the outstanding Share-based awards and option-based awards held by Directors as of December 31, 2025. In Fiscal 2025, the Company granted a total of 296,803 DSUs to the Company’s non-employee Directors. DSUs are earned daily and vest quarterly through the year. Each DSU may be redeemed, on the settlement date, for one Share or a cash payment. As of December 31, 2025, no RSUs or PSUs had been awarded to the Directors under the Omnibus Incentive Plan. The RSUs and PSUs awarded to Mr. Garcia in his capacity as the former Chief Executive Officer is described under “</w:t>
      </w:r>
      <w:r>
        <w:rPr>
          <w:rFonts w:ascii="Arial" w:cs="Arial" w:eastAsia="Arial" w:hAnsi="Arial"/>
          <w:sz w:val="19"/>
          <w:szCs w:val="19"/>
          <w:i w:val="1"/>
          <w:iCs w:val="1"/>
          <w:color w:val="auto"/>
        </w:rPr>
        <w:t>Compensation – Compensation – Named Executive Officers</w:t>
      </w:r>
      <w:r>
        <w:rPr>
          <w:rFonts w:ascii="Arial" w:cs="Arial" w:eastAsia="Arial" w:hAnsi="Arial"/>
          <w:sz w:val="19"/>
          <w:szCs w:val="19"/>
          <w:color w:val="auto"/>
        </w:rPr>
        <w:t>” above. Mr. Garcia retired from his position as a Director of Algoma effective as of December 31, 2025.</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700" w:type="dxa"/>
            <w:vAlign w:val="bottom"/>
            <w:tcBorders>
              <w:top w:val="single" w:sz="8" w:color="auto"/>
              <w:left w:val="single" w:sz="8" w:color="auto"/>
              <w:bottom w:val="single" w:sz="8" w:color="003445"/>
              <w:right w:val="single" w:sz="8" w:color="auto"/>
            </w:tcBorders>
            <w:shd w:val="clear" w:color="auto" w:fill="003445"/>
          </w:tcPr>
          <w:p>
            <w:pPr>
              <w:spacing w:after="0"/>
              <w:rPr>
                <w:sz w:val="18"/>
                <w:szCs w:val="18"/>
                <w:color w:val="auto"/>
              </w:rPr>
            </w:pPr>
          </w:p>
        </w:tc>
        <w:tc>
          <w:tcPr>
            <w:tcW w:w="1100" w:type="dxa"/>
            <w:vAlign w:val="bottom"/>
            <w:tcBorders>
              <w:top w:val="single" w:sz="8" w:color="auto"/>
              <w:bottom w:val="single" w:sz="8" w:color="auto"/>
              <w:right w:val="single" w:sz="8" w:color="003445"/>
            </w:tcBorders>
            <w:shd w:val="clear" w:color="auto" w:fill="003445"/>
          </w:tcPr>
          <w:p>
            <w:pPr>
              <w:spacing w:after="0"/>
              <w:rPr>
                <w:sz w:val="18"/>
                <w:szCs w:val="18"/>
                <w:color w:val="auto"/>
              </w:rPr>
            </w:pPr>
          </w:p>
        </w:tc>
        <w:tc>
          <w:tcPr>
            <w:tcW w:w="2880" w:type="dxa"/>
            <w:vAlign w:val="bottom"/>
            <w:tcBorders>
              <w:top w:val="single" w:sz="8" w:color="auto"/>
              <w:bottom w:val="single" w:sz="8" w:color="auto"/>
              <w:right w:val="single" w:sz="8" w:color="auto"/>
            </w:tcBorders>
            <w:gridSpan w:val="3"/>
            <w:shd w:val="clear" w:color="auto" w:fill="003445"/>
          </w:tcPr>
          <w:p>
            <w:pPr>
              <w:ind w:left="60"/>
              <w:spacing w:after="0"/>
              <w:rPr>
                <w:sz w:val="20"/>
                <w:szCs w:val="20"/>
                <w:color w:val="auto"/>
              </w:rPr>
            </w:pPr>
            <w:r>
              <w:rPr>
                <w:rFonts w:ascii="Arial" w:cs="Arial" w:eastAsia="Arial" w:hAnsi="Arial"/>
                <w:sz w:val="14"/>
                <w:szCs w:val="14"/>
                <w:b w:val="1"/>
                <w:bCs w:val="1"/>
                <w:color w:val="FFFFFF"/>
              </w:rPr>
              <w:t>OPTION-BASED AWARDS</w:t>
            </w:r>
          </w:p>
        </w:tc>
        <w:tc>
          <w:tcPr>
            <w:tcW w:w="960" w:type="dxa"/>
            <w:vAlign w:val="bottom"/>
            <w:tcBorders>
              <w:top w:val="single" w:sz="8" w:color="auto"/>
              <w:bottom w:val="single" w:sz="8" w:color="auto"/>
              <w:right w:val="single" w:sz="8" w:color="003445"/>
            </w:tcBorders>
            <w:shd w:val="clear" w:color="auto" w:fill="003445"/>
          </w:tcPr>
          <w:p>
            <w:pPr>
              <w:spacing w:after="0"/>
              <w:rPr>
                <w:sz w:val="18"/>
                <w:szCs w:val="18"/>
                <w:color w:val="auto"/>
              </w:rPr>
            </w:pPr>
          </w:p>
        </w:tc>
        <w:tc>
          <w:tcPr>
            <w:tcW w:w="2000" w:type="dxa"/>
            <w:vAlign w:val="bottom"/>
            <w:tcBorders>
              <w:top w:val="single" w:sz="8" w:color="auto"/>
              <w:bottom w:val="single" w:sz="8" w:color="auto"/>
              <w:right w:val="single" w:sz="8" w:color="003445"/>
            </w:tcBorders>
            <w:gridSpan w:val="2"/>
            <w:shd w:val="clear" w:color="auto" w:fill="003445"/>
          </w:tcPr>
          <w:p>
            <w:pPr>
              <w:ind w:left="240"/>
              <w:spacing w:after="0"/>
              <w:rPr>
                <w:sz w:val="20"/>
                <w:szCs w:val="20"/>
                <w:color w:val="auto"/>
              </w:rPr>
            </w:pPr>
            <w:r>
              <w:rPr>
                <w:rFonts w:ascii="Arial" w:cs="Arial" w:eastAsia="Arial" w:hAnsi="Arial"/>
                <w:sz w:val="14"/>
                <w:szCs w:val="14"/>
                <w:b w:val="1"/>
                <w:bCs w:val="1"/>
                <w:color w:val="FFFFFF"/>
              </w:rPr>
              <w:t>SHARE-BASED AWARDS</w:t>
            </w:r>
          </w:p>
        </w:tc>
        <w:tc>
          <w:tcPr>
            <w:tcW w:w="1060" w:type="dxa"/>
            <w:vAlign w:val="bottom"/>
            <w:tcBorders>
              <w:top w:val="single" w:sz="8" w:color="auto"/>
              <w:bottom w:val="single" w:sz="8" w:color="auto"/>
              <w:right w:val="single" w:sz="8" w:color="auto"/>
            </w:tcBorders>
            <w:shd w:val="clear" w:color="auto" w:fill="003445"/>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700" w:type="dxa"/>
            <w:vAlign w:val="bottom"/>
            <w:tcBorders>
              <w:left w:val="single" w:sz="8" w:color="auto"/>
              <w:right w:val="single" w:sz="8" w:color="auto"/>
            </w:tcBorders>
            <w:shd w:val="clear" w:color="auto" w:fill="003445"/>
          </w:tcPr>
          <w:p>
            <w:pPr>
              <w:spacing w:after="0"/>
              <w:rPr>
                <w:sz w:val="21"/>
                <w:szCs w:val="21"/>
                <w:color w:val="auto"/>
              </w:rPr>
            </w:pPr>
          </w:p>
        </w:tc>
        <w:tc>
          <w:tcPr>
            <w:tcW w:w="1100" w:type="dxa"/>
            <w:vAlign w:val="bottom"/>
            <w:tcBorders>
              <w:right w:val="single" w:sz="8" w:color="auto"/>
            </w:tcBorders>
            <w:shd w:val="clear" w:color="auto" w:fill="003445"/>
          </w:tcPr>
          <w:p>
            <w:pPr>
              <w:spacing w:after="0"/>
              <w:rPr>
                <w:sz w:val="21"/>
                <w:szCs w:val="21"/>
                <w:color w:val="auto"/>
              </w:rPr>
            </w:pPr>
          </w:p>
        </w:tc>
        <w:tc>
          <w:tcPr>
            <w:tcW w:w="760" w:type="dxa"/>
            <w:vAlign w:val="bottom"/>
            <w:tcBorders>
              <w:right w:val="single" w:sz="8" w:color="auto"/>
            </w:tcBorders>
            <w:shd w:val="clear" w:color="auto" w:fill="003445"/>
          </w:tcPr>
          <w:p>
            <w:pPr>
              <w:spacing w:after="0"/>
              <w:rPr>
                <w:sz w:val="21"/>
                <w:szCs w:val="21"/>
                <w:color w:val="auto"/>
              </w:rPr>
            </w:pPr>
          </w:p>
        </w:tc>
        <w:tc>
          <w:tcPr>
            <w:tcW w:w="840" w:type="dxa"/>
            <w:vAlign w:val="bottom"/>
            <w:tcBorders>
              <w:right w:val="single" w:sz="8" w:color="auto"/>
            </w:tcBorders>
            <w:shd w:val="clear" w:color="auto" w:fill="003445"/>
          </w:tcPr>
          <w:p>
            <w:pPr>
              <w:spacing w:after="0"/>
              <w:rPr>
                <w:sz w:val="21"/>
                <w:szCs w:val="21"/>
                <w:color w:val="auto"/>
              </w:rPr>
            </w:pPr>
          </w:p>
        </w:tc>
        <w:tc>
          <w:tcPr>
            <w:tcW w:w="1280" w:type="dxa"/>
            <w:vAlign w:val="bottom"/>
            <w:tcBorders>
              <w:right w:val="single" w:sz="8" w:color="auto"/>
            </w:tcBorders>
            <w:shd w:val="clear" w:color="auto" w:fill="003445"/>
          </w:tcPr>
          <w:p>
            <w:pPr>
              <w:spacing w:after="0"/>
              <w:rPr>
                <w:sz w:val="21"/>
                <w:szCs w:val="21"/>
                <w:color w:val="auto"/>
              </w:rPr>
            </w:pPr>
          </w:p>
        </w:tc>
        <w:tc>
          <w:tcPr>
            <w:tcW w:w="960" w:type="dxa"/>
            <w:vAlign w:val="bottom"/>
            <w:tcBorders>
              <w:right w:val="single" w:sz="8" w:color="auto"/>
            </w:tcBorders>
            <w:shd w:val="clear" w:color="auto" w:fill="003445"/>
          </w:tcPr>
          <w:p>
            <w:pPr>
              <w:spacing w:after="0"/>
              <w:rPr>
                <w:sz w:val="21"/>
                <w:szCs w:val="21"/>
                <w:color w:val="auto"/>
              </w:rPr>
            </w:pPr>
          </w:p>
        </w:tc>
        <w:tc>
          <w:tcPr>
            <w:tcW w:w="1060" w:type="dxa"/>
            <w:vAlign w:val="bottom"/>
            <w:tcBorders>
              <w:right w:val="single" w:sz="8" w:color="auto"/>
            </w:tcBorders>
            <w:shd w:val="clear" w:color="auto" w:fill="003445"/>
          </w:tcPr>
          <w:p>
            <w:pPr>
              <w:spacing w:after="0"/>
              <w:rPr>
                <w:sz w:val="21"/>
                <w:szCs w:val="21"/>
                <w:color w:val="auto"/>
              </w:rPr>
            </w:pPr>
          </w:p>
        </w:tc>
        <w:tc>
          <w:tcPr>
            <w:tcW w:w="940" w:type="dxa"/>
            <w:vAlign w:val="bottom"/>
            <w:tcBorders>
              <w:right w:val="single" w:sz="8" w:color="auto"/>
            </w:tcBorders>
            <w:shd w:val="clear" w:color="auto" w:fill="003445"/>
          </w:tcPr>
          <w:p>
            <w:pPr>
              <w:spacing w:after="0"/>
              <w:rPr>
                <w:sz w:val="21"/>
                <w:szCs w:val="21"/>
                <w:color w:val="auto"/>
              </w:rPr>
            </w:pPr>
          </w:p>
        </w:tc>
        <w:tc>
          <w:tcPr>
            <w:tcW w:w="106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8"/>
              </w:rPr>
              <w:t>Market or</w:t>
            </w: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shd w:val="clear" w:color="auto" w:fill="003445"/>
          </w:tcPr>
          <w:p>
            <w:pPr>
              <w:spacing w:after="0"/>
              <w:rPr>
                <w:sz w:val="13"/>
                <w:szCs w:val="13"/>
                <w:color w:val="auto"/>
              </w:rPr>
            </w:pPr>
          </w:p>
        </w:tc>
        <w:tc>
          <w:tcPr>
            <w:tcW w:w="110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w w:val="99"/>
              </w:rPr>
              <w:t>Number of</w:t>
            </w:r>
          </w:p>
        </w:tc>
        <w:tc>
          <w:tcPr>
            <w:tcW w:w="760" w:type="dxa"/>
            <w:vAlign w:val="bottom"/>
            <w:tcBorders>
              <w:right w:val="single" w:sz="8" w:color="auto"/>
            </w:tcBorders>
            <w:shd w:val="clear" w:color="auto" w:fill="003445"/>
          </w:tcPr>
          <w:p>
            <w:pPr>
              <w:spacing w:after="0"/>
              <w:rPr>
                <w:sz w:val="13"/>
                <w:szCs w:val="13"/>
                <w:color w:val="auto"/>
              </w:rPr>
            </w:pPr>
          </w:p>
        </w:tc>
        <w:tc>
          <w:tcPr>
            <w:tcW w:w="840" w:type="dxa"/>
            <w:vAlign w:val="bottom"/>
            <w:tcBorders>
              <w:right w:val="single" w:sz="8" w:color="auto"/>
            </w:tcBorders>
            <w:shd w:val="clear" w:color="auto" w:fill="003445"/>
          </w:tcPr>
          <w:p>
            <w:pPr>
              <w:spacing w:after="0"/>
              <w:rPr>
                <w:sz w:val="13"/>
                <w:szCs w:val="13"/>
                <w:color w:val="auto"/>
              </w:rPr>
            </w:pPr>
          </w:p>
        </w:tc>
        <w:tc>
          <w:tcPr>
            <w:tcW w:w="1280" w:type="dxa"/>
            <w:vAlign w:val="bottom"/>
            <w:tcBorders>
              <w:right w:val="single" w:sz="8" w:color="auto"/>
            </w:tcBorders>
            <w:shd w:val="clear" w:color="auto" w:fill="003445"/>
          </w:tcPr>
          <w:p>
            <w:pPr>
              <w:spacing w:after="0"/>
              <w:rPr>
                <w:sz w:val="13"/>
                <w:szCs w:val="13"/>
                <w:color w:val="auto"/>
              </w:rPr>
            </w:pPr>
          </w:p>
        </w:tc>
        <w:tc>
          <w:tcPr>
            <w:tcW w:w="9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Number of</w:t>
            </w:r>
          </w:p>
        </w:tc>
        <w:tc>
          <w:tcPr>
            <w:tcW w:w="1060" w:type="dxa"/>
            <w:vAlign w:val="bottom"/>
            <w:tcBorders>
              <w:right w:val="single" w:sz="8" w:color="auto"/>
            </w:tcBorders>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spacing w:after="0"/>
              <w:rPr>
                <w:sz w:val="13"/>
                <w:szCs w:val="13"/>
                <w:color w:val="auto"/>
              </w:rPr>
            </w:pP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payout value</w:t>
            </w: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shd w:val="clear" w:color="auto" w:fill="003445"/>
          </w:tcPr>
          <w:p>
            <w:pPr>
              <w:spacing w:after="0"/>
              <w:rPr>
                <w:sz w:val="13"/>
                <w:szCs w:val="13"/>
                <w:color w:val="auto"/>
              </w:rPr>
            </w:pPr>
          </w:p>
        </w:tc>
        <w:tc>
          <w:tcPr>
            <w:tcW w:w="110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w w:val="98"/>
              </w:rPr>
              <w:t>Shares</w:t>
            </w:r>
          </w:p>
        </w:tc>
        <w:tc>
          <w:tcPr>
            <w:tcW w:w="760" w:type="dxa"/>
            <w:vAlign w:val="bottom"/>
            <w:tcBorders>
              <w:right w:val="single" w:sz="8" w:color="auto"/>
            </w:tcBorders>
            <w:shd w:val="clear" w:color="auto" w:fill="003445"/>
          </w:tcPr>
          <w:p>
            <w:pPr>
              <w:spacing w:after="0"/>
              <w:rPr>
                <w:sz w:val="13"/>
                <w:szCs w:val="13"/>
                <w:color w:val="auto"/>
              </w:rPr>
            </w:pPr>
          </w:p>
        </w:tc>
        <w:tc>
          <w:tcPr>
            <w:tcW w:w="840" w:type="dxa"/>
            <w:vAlign w:val="bottom"/>
            <w:tcBorders>
              <w:right w:val="single" w:sz="8" w:color="auto"/>
            </w:tcBorders>
            <w:shd w:val="clear" w:color="auto" w:fill="003445"/>
          </w:tcPr>
          <w:p>
            <w:pPr>
              <w:spacing w:after="0"/>
              <w:rPr>
                <w:sz w:val="13"/>
                <w:szCs w:val="13"/>
                <w:color w:val="auto"/>
              </w:rPr>
            </w:pPr>
          </w:p>
        </w:tc>
        <w:tc>
          <w:tcPr>
            <w:tcW w:w="1280" w:type="dxa"/>
            <w:vAlign w:val="bottom"/>
            <w:tcBorders>
              <w:right w:val="single" w:sz="8" w:color="auto"/>
            </w:tcBorders>
            <w:shd w:val="clear" w:color="auto" w:fill="003445"/>
          </w:tcPr>
          <w:p>
            <w:pPr>
              <w:spacing w:after="0"/>
              <w:rPr>
                <w:sz w:val="13"/>
                <w:szCs w:val="13"/>
                <w:color w:val="auto"/>
              </w:rPr>
            </w:pPr>
          </w:p>
        </w:tc>
        <w:tc>
          <w:tcPr>
            <w:tcW w:w="9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underlying</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8"/>
              </w:rPr>
              <w:t>Market or</w:t>
            </w:r>
          </w:p>
        </w:tc>
        <w:tc>
          <w:tcPr>
            <w:tcW w:w="94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w w:val="99"/>
              </w:rPr>
              <w:t>Number of</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of vested</w:t>
            </w: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shd w:val="clear" w:color="auto" w:fill="003445"/>
          </w:tcPr>
          <w:p>
            <w:pPr>
              <w:spacing w:after="0"/>
              <w:rPr>
                <w:sz w:val="13"/>
                <w:szCs w:val="13"/>
                <w:color w:val="auto"/>
              </w:rPr>
            </w:pPr>
          </w:p>
        </w:tc>
        <w:tc>
          <w:tcPr>
            <w:tcW w:w="110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w w:val="97"/>
              </w:rPr>
              <w:t>underlying</w:t>
            </w:r>
          </w:p>
        </w:tc>
        <w:tc>
          <w:tcPr>
            <w:tcW w:w="760" w:type="dxa"/>
            <w:vAlign w:val="bottom"/>
            <w:tcBorders>
              <w:right w:val="single" w:sz="8" w:color="auto"/>
            </w:tcBorders>
            <w:shd w:val="clear" w:color="auto" w:fill="003445"/>
          </w:tcPr>
          <w:p>
            <w:pPr>
              <w:spacing w:after="0"/>
              <w:rPr>
                <w:sz w:val="13"/>
                <w:szCs w:val="13"/>
                <w:color w:val="auto"/>
              </w:rPr>
            </w:pPr>
          </w:p>
        </w:tc>
        <w:tc>
          <w:tcPr>
            <w:tcW w:w="840" w:type="dxa"/>
            <w:vAlign w:val="bottom"/>
            <w:tcBorders>
              <w:right w:val="single" w:sz="8" w:color="auto"/>
            </w:tcBorders>
            <w:shd w:val="clear" w:color="auto" w:fill="003445"/>
          </w:tcPr>
          <w:p>
            <w:pPr>
              <w:spacing w:after="0"/>
              <w:rPr>
                <w:sz w:val="13"/>
                <w:szCs w:val="13"/>
                <w:color w:val="auto"/>
              </w:rPr>
            </w:pPr>
          </w:p>
        </w:tc>
        <w:tc>
          <w:tcPr>
            <w:tcW w:w="12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Value of</w:t>
            </w:r>
          </w:p>
        </w:tc>
        <w:tc>
          <w:tcPr>
            <w:tcW w:w="9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Shares that</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payout value</w:t>
            </w: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underlying</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Share-based</w:t>
            </w: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shd w:val="clear" w:color="auto" w:fill="003445"/>
          </w:tcPr>
          <w:p>
            <w:pPr>
              <w:spacing w:after="0"/>
              <w:rPr>
                <w:sz w:val="13"/>
                <w:szCs w:val="13"/>
                <w:color w:val="auto"/>
              </w:rPr>
            </w:pPr>
          </w:p>
        </w:tc>
        <w:tc>
          <w:tcPr>
            <w:tcW w:w="110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rPr>
              <w:t>unexercised</w:t>
            </w:r>
          </w:p>
        </w:tc>
        <w:tc>
          <w:tcPr>
            <w:tcW w:w="7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Option</w:t>
            </w:r>
          </w:p>
        </w:tc>
        <w:tc>
          <w:tcPr>
            <w:tcW w:w="8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Option</w:t>
            </w:r>
          </w:p>
        </w:tc>
        <w:tc>
          <w:tcPr>
            <w:tcW w:w="12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unexercised in-</w:t>
            </w:r>
          </w:p>
        </w:tc>
        <w:tc>
          <w:tcPr>
            <w:tcW w:w="9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of unvested</w:t>
            </w: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Shares that</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awards not</w:t>
            </w:r>
          </w:p>
        </w:tc>
        <w:tc>
          <w:tcPr>
            <w:tcW w:w="0" w:type="dxa"/>
            <w:vAlign w:val="bottom"/>
          </w:tcPr>
          <w:p>
            <w:pPr>
              <w:spacing w:after="0"/>
              <w:rPr>
                <w:sz w:val="1"/>
                <w:szCs w:val="1"/>
                <w:color w:val="auto"/>
              </w:rPr>
            </w:pPr>
          </w:p>
        </w:tc>
      </w:tr>
      <w:tr>
        <w:trPr>
          <w:trHeight w:val="153"/>
        </w:trPr>
        <w:tc>
          <w:tcPr>
            <w:tcW w:w="2700" w:type="dxa"/>
            <w:vAlign w:val="bottom"/>
            <w:tcBorders>
              <w:left w:val="single" w:sz="8" w:color="auto"/>
              <w:right w:val="single" w:sz="8" w:color="auto"/>
            </w:tcBorders>
            <w:shd w:val="clear" w:color="auto" w:fill="003445"/>
          </w:tcPr>
          <w:p>
            <w:pPr>
              <w:ind w:left="1080"/>
              <w:spacing w:after="0" w:line="153" w:lineRule="exact"/>
              <w:rPr>
                <w:sz w:val="20"/>
                <w:szCs w:val="20"/>
                <w:color w:val="auto"/>
              </w:rPr>
            </w:pPr>
            <w:r>
              <w:rPr>
                <w:rFonts w:ascii="Arial" w:cs="Arial" w:eastAsia="Arial" w:hAnsi="Arial"/>
                <w:sz w:val="14"/>
                <w:szCs w:val="14"/>
                <w:b w:val="1"/>
                <w:bCs w:val="1"/>
                <w:color w:val="FFFFFF"/>
              </w:rPr>
              <w:t>Name and</w:t>
            </w:r>
          </w:p>
        </w:tc>
        <w:tc>
          <w:tcPr>
            <w:tcW w:w="1100" w:type="dxa"/>
            <w:vAlign w:val="bottom"/>
            <w:tcBorders>
              <w:right w:val="single" w:sz="8" w:color="auto"/>
            </w:tcBorders>
            <w:shd w:val="clear" w:color="auto" w:fill="003445"/>
          </w:tcPr>
          <w:p>
            <w:pPr>
              <w:jc w:val="center"/>
              <w:ind w:left="10"/>
              <w:spacing w:after="0" w:line="153" w:lineRule="exact"/>
              <w:rPr>
                <w:sz w:val="20"/>
                <w:szCs w:val="20"/>
                <w:color w:val="auto"/>
              </w:rPr>
            </w:pPr>
            <w:r>
              <w:rPr>
                <w:rFonts w:ascii="Arial" w:cs="Arial" w:eastAsia="Arial" w:hAnsi="Arial"/>
                <w:sz w:val="14"/>
                <w:szCs w:val="14"/>
                <w:b w:val="1"/>
                <w:bCs w:val="1"/>
                <w:color w:val="FFFFFF"/>
              </w:rPr>
              <w:t>Options</w:t>
            </w:r>
          </w:p>
        </w:tc>
        <w:tc>
          <w:tcPr>
            <w:tcW w:w="760" w:type="dxa"/>
            <w:vAlign w:val="bottom"/>
            <w:tcBorders>
              <w:right w:val="single" w:sz="8" w:color="auto"/>
            </w:tcBorders>
            <w:shd w:val="clear" w:color="auto" w:fill="003445"/>
          </w:tcPr>
          <w:p>
            <w:pPr>
              <w:jc w:val="center"/>
              <w:ind w:left="10"/>
              <w:spacing w:after="0" w:line="153" w:lineRule="exact"/>
              <w:rPr>
                <w:sz w:val="20"/>
                <w:szCs w:val="20"/>
                <w:color w:val="auto"/>
              </w:rPr>
            </w:pPr>
            <w:r>
              <w:rPr>
                <w:rFonts w:ascii="Arial" w:cs="Arial" w:eastAsia="Arial" w:hAnsi="Arial"/>
                <w:sz w:val="14"/>
                <w:szCs w:val="14"/>
                <w:b w:val="1"/>
                <w:bCs w:val="1"/>
                <w:color w:val="FFFFFF"/>
                <w:w w:val="99"/>
              </w:rPr>
              <w:t>exercise</w:t>
            </w:r>
          </w:p>
        </w:tc>
        <w:tc>
          <w:tcPr>
            <w:tcW w:w="84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8"/>
              </w:rPr>
              <w:t>expiration</w:t>
            </w:r>
          </w:p>
        </w:tc>
        <w:tc>
          <w:tcPr>
            <w:tcW w:w="128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8"/>
              </w:rPr>
              <w:t>the-money</w:t>
            </w:r>
          </w:p>
        </w:tc>
        <w:tc>
          <w:tcPr>
            <w:tcW w:w="96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vested</w:t>
            </w:r>
          </w:p>
        </w:tc>
        <w:tc>
          <w:tcPr>
            <w:tcW w:w="106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Share-based</w:t>
            </w:r>
          </w:p>
        </w:tc>
        <w:tc>
          <w:tcPr>
            <w:tcW w:w="94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rPr>
              <w:t>have vested</w:t>
            </w:r>
          </w:p>
        </w:tc>
        <w:tc>
          <w:tcPr>
            <w:tcW w:w="106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paid out or</w:t>
            </w:r>
          </w:p>
        </w:tc>
        <w:tc>
          <w:tcPr>
            <w:tcW w:w="0" w:type="dxa"/>
            <w:vAlign w:val="bottom"/>
          </w:tcPr>
          <w:p>
            <w:pPr>
              <w:spacing w:after="0"/>
              <w:rPr>
                <w:sz w:val="1"/>
                <w:szCs w:val="1"/>
                <w:color w:val="auto"/>
              </w:rPr>
            </w:pPr>
          </w:p>
        </w:tc>
      </w:tr>
      <w:tr>
        <w:trPr>
          <w:trHeight w:val="236"/>
        </w:trPr>
        <w:tc>
          <w:tcPr>
            <w:tcW w:w="2700" w:type="dxa"/>
            <w:vAlign w:val="bottom"/>
            <w:tcBorders>
              <w:left w:val="single" w:sz="8" w:color="auto"/>
              <w:right w:val="single" w:sz="8" w:color="auto"/>
            </w:tcBorders>
            <w:shd w:val="clear" w:color="auto" w:fill="003445"/>
          </w:tcPr>
          <w:p>
            <w:pPr>
              <w:ind w:left="820"/>
              <w:spacing w:after="0"/>
              <w:rPr>
                <w:sz w:val="20"/>
                <w:szCs w:val="20"/>
                <w:color w:val="auto"/>
              </w:rPr>
            </w:pPr>
            <w:r>
              <w:rPr>
                <w:rFonts w:ascii="Arial" w:cs="Arial" w:eastAsia="Arial" w:hAnsi="Arial"/>
                <w:sz w:val="14"/>
                <w:szCs w:val="14"/>
                <w:b w:val="1"/>
                <w:bCs w:val="1"/>
                <w:color w:val="FFFFFF"/>
              </w:rPr>
              <w:t>Principal Position</w:t>
            </w:r>
          </w:p>
        </w:tc>
        <w:tc>
          <w:tcPr>
            <w:tcW w:w="1100" w:type="dxa"/>
            <w:vAlign w:val="bottom"/>
            <w:tcBorders>
              <w:right w:val="single" w:sz="8" w:color="auto"/>
            </w:tcBorders>
            <w:shd w:val="clear" w:color="auto" w:fill="003445"/>
          </w:tcPr>
          <w:p>
            <w:pPr>
              <w:jc w:val="center"/>
              <w:ind w:left="1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price</w:t>
            </w:r>
          </w:p>
        </w:tc>
        <w:tc>
          <w:tcPr>
            <w:tcW w:w="84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date</w:t>
            </w:r>
          </w:p>
        </w:tc>
        <w:tc>
          <w:tcPr>
            <w:tcW w:w="128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Options</w:t>
            </w:r>
          </w:p>
        </w:tc>
        <w:tc>
          <w:tcPr>
            <w:tcW w:w="96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3"/>
              </w:rPr>
              <w:t>(#)</w:t>
            </w:r>
          </w:p>
        </w:tc>
        <w:tc>
          <w:tcPr>
            <w:tcW w:w="106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5"/>
              </w:rPr>
              <w:t>awards</w:t>
            </w:r>
            <w:r>
              <w:rPr>
                <w:rFonts w:ascii="Arial" w:cs="Arial" w:eastAsia="Arial" w:hAnsi="Arial"/>
                <w:sz w:val="20"/>
                <w:szCs w:val="20"/>
                <w:b w:val="1"/>
                <w:bCs w:val="1"/>
                <w:color w:val="FFFFFF"/>
                <w:w w:val="95"/>
                <w:vertAlign w:val="superscript"/>
              </w:rPr>
              <w:t>(1)</w:t>
            </w:r>
          </w:p>
        </w:tc>
        <w:tc>
          <w:tcPr>
            <w:tcW w:w="94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3"/>
              </w:rPr>
              <w:t>(#)</w:t>
            </w:r>
          </w:p>
        </w:tc>
        <w:tc>
          <w:tcPr>
            <w:tcW w:w="106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6"/>
              </w:rPr>
              <w:t>distributed</w:t>
            </w:r>
            <w:r>
              <w:rPr>
                <w:rFonts w:ascii="Arial" w:cs="Arial" w:eastAsia="Arial" w:hAnsi="Arial"/>
                <w:sz w:val="20"/>
                <w:szCs w:val="20"/>
                <w:b w:val="1"/>
                <w:bCs w:val="1"/>
                <w:color w:val="FFFFFF"/>
                <w:w w:val="96"/>
                <w:vertAlign w:val="superscript"/>
              </w:rPr>
              <w:t>(2)</w:t>
            </w:r>
          </w:p>
        </w:tc>
        <w:tc>
          <w:tcPr>
            <w:tcW w:w="0" w:type="dxa"/>
            <w:vAlign w:val="bottom"/>
          </w:tcPr>
          <w:p>
            <w:pPr>
              <w:spacing w:after="0"/>
              <w:rPr>
                <w:sz w:val="1"/>
                <w:szCs w:val="1"/>
                <w:color w:val="auto"/>
              </w:rPr>
            </w:pPr>
          </w:p>
        </w:tc>
      </w:tr>
      <w:tr>
        <w:trPr>
          <w:trHeight w:val="196"/>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Mary Anne</w:t>
            </w:r>
          </w:p>
        </w:tc>
        <w:tc>
          <w:tcPr>
            <w:tcW w:w="110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2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700" w:type="dxa"/>
            <w:vAlign w:val="bottom"/>
            <w:tcBorders>
              <w:left w:val="single" w:sz="8" w:color="auto"/>
              <w:right w:val="single" w:sz="8" w:color="auto"/>
            </w:tcBorders>
          </w:tcPr>
          <w:p>
            <w:pPr>
              <w:ind w:left="160"/>
              <w:spacing w:after="0" w:line="163" w:lineRule="exact"/>
              <w:rPr>
                <w:sz w:val="20"/>
                <w:szCs w:val="20"/>
                <w:color w:val="auto"/>
              </w:rPr>
            </w:pPr>
            <w:r>
              <w:rPr>
                <w:rFonts w:ascii="Arial" w:cs="Arial" w:eastAsia="Arial" w:hAnsi="Arial"/>
                <w:sz w:val="13"/>
                <w:szCs w:val="13"/>
                <w:b w:val="1"/>
                <w:bCs w:val="1"/>
                <w:color w:val="auto"/>
              </w:rPr>
              <w:t>Bueschkens</w:t>
            </w:r>
            <w:r>
              <w:rPr>
                <w:rFonts w:ascii="Arial" w:cs="Arial" w:eastAsia="Arial" w:hAnsi="Arial"/>
                <w:sz w:val="18"/>
                <w:szCs w:val="18"/>
                <w:b w:val="1"/>
                <w:bCs w:val="1"/>
                <w:color w:val="auto"/>
                <w:vertAlign w:val="superscript"/>
              </w:rPr>
              <w:t>(4)(5)</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17,231</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$109,761</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71,925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$458,164</w:t>
            </w:r>
          </w:p>
        </w:tc>
        <w:tc>
          <w:tcPr>
            <w:tcW w:w="0" w:type="dxa"/>
            <w:vAlign w:val="bottom"/>
          </w:tcPr>
          <w:p>
            <w:pPr>
              <w:spacing w:after="0"/>
              <w:rPr>
                <w:sz w:val="1"/>
                <w:szCs w:val="1"/>
                <w:color w:val="auto"/>
              </w:rPr>
            </w:pPr>
          </w:p>
        </w:tc>
      </w:tr>
      <w:tr>
        <w:trPr>
          <w:trHeight w:val="104"/>
        </w:trPr>
        <w:tc>
          <w:tcPr>
            <w:tcW w:w="2700" w:type="dxa"/>
            <w:vAlign w:val="bottom"/>
            <w:tcBorders>
              <w:left w:val="single" w:sz="8" w:color="auto"/>
              <w:right w:val="single" w:sz="8" w:color="auto"/>
            </w:tcBorders>
            <w:vMerge w:val="restart"/>
          </w:tcPr>
          <w:p>
            <w:pPr>
              <w:ind w:left="160"/>
              <w:spacing w:after="0" w:line="157" w:lineRule="exact"/>
              <w:rPr>
                <w:sz w:val="20"/>
                <w:szCs w:val="20"/>
                <w:color w:val="auto"/>
              </w:rPr>
            </w:pPr>
            <w:r>
              <w:rPr>
                <w:rFonts w:ascii="Arial" w:cs="Arial" w:eastAsia="Arial" w:hAnsi="Arial"/>
                <w:sz w:val="14"/>
                <w:szCs w:val="14"/>
                <w:i w:val="1"/>
                <w:iCs w:val="1"/>
                <w:color w:val="auto"/>
              </w:rPr>
              <w:t>Director and Chair of the Nominating</w:t>
            </w:r>
          </w:p>
        </w:tc>
        <w:tc>
          <w:tcPr>
            <w:tcW w:w="11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700" w:type="dxa"/>
            <w:vAlign w:val="bottom"/>
            <w:tcBorders>
              <w:left w:val="single" w:sz="8" w:color="auto"/>
              <w:right w:val="single" w:sz="8" w:color="auto"/>
            </w:tcBorders>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and Governance Committee</w:t>
            </w: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4"/>
                <w:szCs w:val="14"/>
                <w:b w:val="1"/>
                <w:bCs w:val="1"/>
                <w:color w:val="auto"/>
              </w:rPr>
              <w:t>Sean Donnelly</w:t>
            </w:r>
            <w:r>
              <w:rPr>
                <w:rFonts w:ascii="Arial" w:cs="Arial" w:eastAsia="Arial" w:hAnsi="Arial"/>
                <w:sz w:val="20"/>
                <w:szCs w:val="20"/>
                <w:b w:val="1"/>
                <w:bCs w:val="1"/>
                <w:color w:val="auto"/>
                <w:vertAlign w:val="superscript"/>
              </w:rPr>
              <w:t>(3)(6)</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15,825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$100,805</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24,761</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$157,730</w:t>
            </w:r>
          </w:p>
        </w:tc>
        <w:tc>
          <w:tcPr>
            <w:tcW w:w="0" w:type="dxa"/>
            <w:vAlign w:val="bottom"/>
          </w:tcPr>
          <w:p>
            <w:pPr>
              <w:spacing w:after="0"/>
              <w:rPr>
                <w:sz w:val="1"/>
                <w:szCs w:val="1"/>
                <w:color w:val="auto"/>
              </w:rPr>
            </w:pPr>
          </w:p>
        </w:tc>
      </w:tr>
      <w:tr>
        <w:trPr>
          <w:trHeight w:val="104"/>
        </w:trPr>
        <w:tc>
          <w:tcPr>
            <w:tcW w:w="27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i w:val="1"/>
                <w:iCs w:val="1"/>
                <w:color w:val="auto"/>
              </w:rPr>
              <w:t>Director</w:t>
            </w:r>
          </w:p>
        </w:tc>
        <w:tc>
          <w:tcPr>
            <w:tcW w:w="11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700" w:type="dxa"/>
            <w:vAlign w:val="bottom"/>
            <w:tcBorders>
              <w:left w:val="single" w:sz="8" w:color="auto"/>
              <w:right w:val="single" w:sz="8" w:color="auto"/>
            </w:tcBorders>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20"/>
        </w:trPr>
        <w:tc>
          <w:tcPr>
            <w:tcW w:w="540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700"/>
          </w:cols>
          <w:pgMar w:left="600" w:top="271" w:right="599" w:bottom="1440" w:gutter="0" w:footer="0" w:header="0"/>
        </w:sectPr>
      </w:pPr>
    </w:p>
    <w:bookmarkStart w:id="78" w:name="page79"/>
    <w:bookmarkEnd w:id="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8675" cy="3746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9"/>
        </w:trPr>
        <w:tc>
          <w:tcPr>
            <w:tcW w:w="2700" w:type="dxa"/>
            <w:vAlign w:val="bottom"/>
            <w:tcBorders>
              <w:top w:val="single" w:sz="8" w:color="auto"/>
              <w:left w:val="single" w:sz="8" w:color="auto"/>
              <w:bottom w:val="single" w:sz="8" w:color="003445"/>
              <w:right w:val="single" w:sz="8" w:color="auto"/>
            </w:tcBorders>
            <w:shd w:val="clear" w:color="auto" w:fill="003445"/>
          </w:tcPr>
          <w:p>
            <w:pPr>
              <w:spacing w:after="0"/>
              <w:rPr>
                <w:sz w:val="18"/>
                <w:szCs w:val="18"/>
                <w:color w:val="auto"/>
              </w:rPr>
            </w:pPr>
          </w:p>
        </w:tc>
        <w:tc>
          <w:tcPr>
            <w:tcW w:w="1100" w:type="dxa"/>
            <w:vAlign w:val="bottom"/>
            <w:tcBorders>
              <w:top w:val="single" w:sz="8" w:color="auto"/>
              <w:bottom w:val="single" w:sz="8" w:color="auto"/>
              <w:right w:val="single" w:sz="8" w:color="003445"/>
            </w:tcBorders>
            <w:shd w:val="clear" w:color="auto" w:fill="003445"/>
          </w:tcPr>
          <w:p>
            <w:pPr>
              <w:spacing w:after="0"/>
              <w:rPr>
                <w:sz w:val="18"/>
                <w:szCs w:val="18"/>
                <w:color w:val="auto"/>
              </w:rPr>
            </w:pPr>
          </w:p>
        </w:tc>
        <w:tc>
          <w:tcPr>
            <w:tcW w:w="2880" w:type="dxa"/>
            <w:vAlign w:val="bottom"/>
            <w:tcBorders>
              <w:top w:val="single" w:sz="8" w:color="auto"/>
              <w:bottom w:val="single" w:sz="8" w:color="auto"/>
              <w:right w:val="single" w:sz="8" w:color="auto"/>
            </w:tcBorders>
            <w:gridSpan w:val="3"/>
            <w:shd w:val="clear" w:color="auto" w:fill="003445"/>
          </w:tcPr>
          <w:p>
            <w:pPr>
              <w:ind w:left="60"/>
              <w:spacing w:after="0"/>
              <w:rPr>
                <w:sz w:val="20"/>
                <w:szCs w:val="20"/>
                <w:color w:val="auto"/>
              </w:rPr>
            </w:pPr>
            <w:r>
              <w:rPr>
                <w:rFonts w:ascii="Arial" w:cs="Arial" w:eastAsia="Arial" w:hAnsi="Arial"/>
                <w:sz w:val="14"/>
                <w:szCs w:val="14"/>
                <w:b w:val="1"/>
                <w:bCs w:val="1"/>
                <w:color w:val="FFFFFF"/>
              </w:rPr>
              <w:t>OPTION-BASED AWARDS</w:t>
            </w:r>
          </w:p>
        </w:tc>
        <w:tc>
          <w:tcPr>
            <w:tcW w:w="960" w:type="dxa"/>
            <w:vAlign w:val="bottom"/>
            <w:tcBorders>
              <w:top w:val="single" w:sz="8" w:color="auto"/>
              <w:bottom w:val="single" w:sz="8" w:color="auto"/>
              <w:right w:val="single" w:sz="8" w:color="003445"/>
            </w:tcBorders>
            <w:shd w:val="clear" w:color="auto" w:fill="003445"/>
          </w:tcPr>
          <w:p>
            <w:pPr>
              <w:spacing w:after="0"/>
              <w:rPr>
                <w:sz w:val="18"/>
                <w:szCs w:val="18"/>
                <w:color w:val="auto"/>
              </w:rPr>
            </w:pPr>
          </w:p>
        </w:tc>
        <w:tc>
          <w:tcPr>
            <w:tcW w:w="2000" w:type="dxa"/>
            <w:vAlign w:val="bottom"/>
            <w:tcBorders>
              <w:top w:val="single" w:sz="8" w:color="auto"/>
              <w:bottom w:val="single" w:sz="8" w:color="auto"/>
              <w:right w:val="single" w:sz="8" w:color="003445"/>
            </w:tcBorders>
            <w:gridSpan w:val="2"/>
            <w:shd w:val="clear" w:color="auto" w:fill="003445"/>
          </w:tcPr>
          <w:p>
            <w:pPr>
              <w:ind w:left="240"/>
              <w:spacing w:after="0"/>
              <w:rPr>
                <w:sz w:val="20"/>
                <w:szCs w:val="20"/>
                <w:color w:val="auto"/>
              </w:rPr>
            </w:pPr>
            <w:r>
              <w:rPr>
                <w:rFonts w:ascii="Arial" w:cs="Arial" w:eastAsia="Arial" w:hAnsi="Arial"/>
                <w:sz w:val="14"/>
                <w:szCs w:val="14"/>
                <w:b w:val="1"/>
                <w:bCs w:val="1"/>
                <w:color w:val="FFFFFF"/>
              </w:rPr>
              <w:t>SHARE-BASED AWARDS</w:t>
            </w:r>
          </w:p>
        </w:tc>
        <w:tc>
          <w:tcPr>
            <w:tcW w:w="1060" w:type="dxa"/>
            <w:vAlign w:val="bottom"/>
            <w:tcBorders>
              <w:top w:val="single" w:sz="8" w:color="auto"/>
              <w:bottom w:val="single" w:sz="8" w:color="auto"/>
              <w:right w:val="single" w:sz="8" w:color="auto"/>
            </w:tcBorders>
            <w:shd w:val="clear" w:color="auto" w:fill="003445"/>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700" w:type="dxa"/>
            <w:vAlign w:val="bottom"/>
            <w:tcBorders>
              <w:left w:val="single" w:sz="8" w:color="auto"/>
              <w:right w:val="single" w:sz="8" w:color="auto"/>
            </w:tcBorders>
            <w:shd w:val="clear" w:color="auto" w:fill="003445"/>
          </w:tcPr>
          <w:p>
            <w:pPr>
              <w:spacing w:after="0"/>
              <w:rPr>
                <w:sz w:val="21"/>
                <w:szCs w:val="21"/>
                <w:color w:val="auto"/>
              </w:rPr>
            </w:pPr>
          </w:p>
        </w:tc>
        <w:tc>
          <w:tcPr>
            <w:tcW w:w="1100" w:type="dxa"/>
            <w:vAlign w:val="bottom"/>
            <w:tcBorders>
              <w:right w:val="single" w:sz="8" w:color="auto"/>
            </w:tcBorders>
            <w:shd w:val="clear" w:color="auto" w:fill="003445"/>
          </w:tcPr>
          <w:p>
            <w:pPr>
              <w:spacing w:after="0"/>
              <w:rPr>
                <w:sz w:val="21"/>
                <w:szCs w:val="21"/>
                <w:color w:val="auto"/>
              </w:rPr>
            </w:pPr>
          </w:p>
        </w:tc>
        <w:tc>
          <w:tcPr>
            <w:tcW w:w="760" w:type="dxa"/>
            <w:vAlign w:val="bottom"/>
            <w:tcBorders>
              <w:right w:val="single" w:sz="8" w:color="auto"/>
            </w:tcBorders>
            <w:shd w:val="clear" w:color="auto" w:fill="003445"/>
          </w:tcPr>
          <w:p>
            <w:pPr>
              <w:spacing w:after="0"/>
              <w:rPr>
                <w:sz w:val="21"/>
                <w:szCs w:val="21"/>
                <w:color w:val="auto"/>
              </w:rPr>
            </w:pPr>
          </w:p>
        </w:tc>
        <w:tc>
          <w:tcPr>
            <w:tcW w:w="840" w:type="dxa"/>
            <w:vAlign w:val="bottom"/>
            <w:tcBorders>
              <w:right w:val="single" w:sz="8" w:color="auto"/>
            </w:tcBorders>
            <w:shd w:val="clear" w:color="auto" w:fill="003445"/>
          </w:tcPr>
          <w:p>
            <w:pPr>
              <w:spacing w:after="0"/>
              <w:rPr>
                <w:sz w:val="21"/>
                <w:szCs w:val="21"/>
                <w:color w:val="auto"/>
              </w:rPr>
            </w:pPr>
          </w:p>
        </w:tc>
        <w:tc>
          <w:tcPr>
            <w:tcW w:w="1280" w:type="dxa"/>
            <w:vAlign w:val="bottom"/>
            <w:tcBorders>
              <w:right w:val="single" w:sz="8" w:color="auto"/>
            </w:tcBorders>
            <w:shd w:val="clear" w:color="auto" w:fill="003445"/>
          </w:tcPr>
          <w:p>
            <w:pPr>
              <w:spacing w:after="0"/>
              <w:rPr>
                <w:sz w:val="21"/>
                <w:szCs w:val="21"/>
                <w:color w:val="auto"/>
              </w:rPr>
            </w:pPr>
          </w:p>
        </w:tc>
        <w:tc>
          <w:tcPr>
            <w:tcW w:w="960" w:type="dxa"/>
            <w:vAlign w:val="bottom"/>
            <w:tcBorders>
              <w:right w:val="single" w:sz="8" w:color="auto"/>
            </w:tcBorders>
            <w:shd w:val="clear" w:color="auto" w:fill="003445"/>
          </w:tcPr>
          <w:p>
            <w:pPr>
              <w:spacing w:after="0"/>
              <w:rPr>
                <w:sz w:val="21"/>
                <w:szCs w:val="21"/>
                <w:color w:val="auto"/>
              </w:rPr>
            </w:pPr>
          </w:p>
        </w:tc>
        <w:tc>
          <w:tcPr>
            <w:tcW w:w="1060" w:type="dxa"/>
            <w:vAlign w:val="bottom"/>
            <w:tcBorders>
              <w:right w:val="single" w:sz="8" w:color="auto"/>
            </w:tcBorders>
            <w:shd w:val="clear" w:color="auto" w:fill="003445"/>
          </w:tcPr>
          <w:p>
            <w:pPr>
              <w:spacing w:after="0"/>
              <w:rPr>
                <w:sz w:val="21"/>
                <w:szCs w:val="21"/>
                <w:color w:val="auto"/>
              </w:rPr>
            </w:pPr>
          </w:p>
        </w:tc>
        <w:tc>
          <w:tcPr>
            <w:tcW w:w="940" w:type="dxa"/>
            <w:vAlign w:val="bottom"/>
            <w:tcBorders>
              <w:right w:val="single" w:sz="8" w:color="auto"/>
            </w:tcBorders>
            <w:shd w:val="clear" w:color="auto" w:fill="003445"/>
          </w:tcPr>
          <w:p>
            <w:pPr>
              <w:spacing w:after="0"/>
              <w:rPr>
                <w:sz w:val="21"/>
                <w:szCs w:val="21"/>
                <w:color w:val="auto"/>
              </w:rPr>
            </w:pPr>
          </w:p>
        </w:tc>
        <w:tc>
          <w:tcPr>
            <w:tcW w:w="106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8"/>
              </w:rPr>
              <w:t>Market or</w:t>
            </w: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shd w:val="clear" w:color="auto" w:fill="003445"/>
          </w:tcPr>
          <w:p>
            <w:pPr>
              <w:spacing w:after="0"/>
              <w:rPr>
                <w:sz w:val="13"/>
                <w:szCs w:val="13"/>
                <w:color w:val="auto"/>
              </w:rPr>
            </w:pPr>
          </w:p>
        </w:tc>
        <w:tc>
          <w:tcPr>
            <w:tcW w:w="110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w w:val="99"/>
              </w:rPr>
              <w:t>Number of</w:t>
            </w:r>
          </w:p>
        </w:tc>
        <w:tc>
          <w:tcPr>
            <w:tcW w:w="760" w:type="dxa"/>
            <w:vAlign w:val="bottom"/>
            <w:tcBorders>
              <w:right w:val="single" w:sz="8" w:color="auto"/>
            </w:tcBorders>
            <w:shd w:val="clear" w:color="auto" w:fill="003445"/>
          </w:tcPr>
          <w:p>
            <w:pPr>
              <w:spacing w:after="0"/>
              <w:rPr>
                <w:sz w:val="13"/>
                <w:szCs w:val="13"/>
                <w:color w:val="auto"/>
              </w:rPr>
            </w:pPr>
          </w:p>
        </w:tc>
        <w:tc>
          <w:tcPr>
            <w:tcW w:w="840" w:type="dxa"/>
            <w:vAlign w:val="bottom"/>
            <w:tcBorders>
              <w:right w:val="single" w:sz="8" w:color="auto"/>
            </w:tcBorders>
            <w:shd w:val="clear" w:color="auto" w:fill="003445"/>
          </w:tcPr>
          <w:p>
            <w:pPr>
              <w:spacing w:after="0"/>
              <w:rPr>
                <w:sz w:val="13"/>
                <w:szCs w:val="13"/>
                <w:color w:val="auto"/>
              </w:rPr>
            </w:pPr>
          </w:p>
        </w:tc>
        <w:tc>
          <w:tcPr>
            <w:tcW w:w="1280" w:type="dxa"/>
            <w:vAlign w:val="bottom"/>
            <w:tcBorders>
              <w:right w:val="single" w:sz="8" w:color="auto"/>
            </w:tcBorders>
            <w:shd w:val="clear" w:color="auto" w:fill="003445"/>
          </w:tcPr>
          <w:p>
            <w:pPr>
              <w:spacing w:after="0"/>
              <w:rPr>
                <w:sz w:val="13"/>
                <w:szCs w:val="13"/>
                <w:color w:val="auto"/>
              </w:rPr>
            </w:pPr>
          </w:p>
        </w:tc>
        <w:tc>
          <w:tcPr>
            <w:tcW w:w="9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Number of</w:t>
            </w:r>
          </w:p>
        </w:tc>
        <w:tc>
          <w:tcPr>
            <w:tcW w:w="1060" w:type="dxa"/>
            <w:vAlign w:val="bottom"/>
            <w:tcBorders>
              <w:right w:val="single" w:sz="8" w:color="auto"/>
            </w:tcBorders>
            <w:shd w:val="clear" w:color="auto" w:fill="003445"/>
          </w:tcPr>
          <w:p>
            <w:pPr>
              <w:spacing w:after="0"/>
              <w:rPr>
                <w:sz w:val="13"/>
                <w:szCs w:val="13"/>
                <w:color w:val="auto"/>
              </w:rPr>
            </w:pPr>
          </w:p>
        </w:tc>
        <w:tc>
          <w:tcPr>
            <w:tcW w:w="940" w:type="dxa"/>
            <w:vAlign w:val="bottom"/>
            <w:tcBorders>
              <w:right w:val="single" w:sz="8" w:color="auto"/>
            </w:tcBorders>
            <w:shd w:val="clear" w:color="auto" w:fill="003445"/>
          </w:tcPr>
          <w:p>
            <w:pPr>
              <w:spacing w:after="0"/>
              <w:rPr>
                <w:sz w:val="13"/>
                <w:szCs w:val="13"/>
                <w:color w:val="auto"/>
              </w:rPr>
            </w:pP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payout value</w:t>
            </w: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shd w:val="clear" w:color="auto" w:fill="003445"/>
          </w:tcPr>
          <w:p>
            <w:pPr>
              <w:spacing w:after="0"/>
              <w:rPr>
                <w:sz w:val="13"/>
                <w:szCs w:val="13"/>
                <w:color w:val="auto"/>
              </w:rPr>
            </w:pPr>
          </w:p>
        </w:tc>
        <w:tc>
          <w:tcPr>
            <w:tcW w:w="110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w w:val="98"/>
              </w:rPr>
              <w:t>Shares</w:t>
            </w:r>
          </w:p>
        </w:tc>
        <w:tc>
          <w:tcPr>
            <w:tcW w:w="760" w:type="dxa"/>
            <w:vAlign w:val="bottom"/>
            <w:tcBorders>
              <w:right w:val="single" w:sz="8" w:color="auto"/>
            </w:tcBorders>
            <w:shd w:val="clear" w:color="auto" w:fill="003445"/>
          </w:tcPr>
          <w:p>
            <w:pPr>
              <w:spacing w:after="0"/>
              <w:rPr>
                <w:sz w:val="13"/>
                <w:szCs w:val="13"/>
                <w:color w:val="auto"/>
              </w:rPr>
            </w:pPr>
          </w:p>
        </w:tc>
        <w:tc>
          <w:tcPr>
            <w:tcW w:w="840" w:type="dxa"/>
            <w:vAlign w:val="bottom"/>
            <w:tcBorders>
              <w:right w:val="single" w:sz="8" w:color="auto"/>
            </w:tcBorders>
            <w:shd w:val="clear" w:color="auto" w:fill="003445"/>
          </w:tcPr>
          <w:p>
            <w:pPr>
              <w:spacing w:after="0"/>
              <w:rPr>
                <w:sz w:val="13"/>
                <w:szCs w:val="13"/>
                <w:color w:val="auto"/>
              </w:rPr>
            </w:pPr>
          </w:p>
        </w:tc>
        <w:tc>
          <w:tcPr>
            <w:tcW w:w="1280" w:type="dxa"/>
            <w:vAlign w:val="bottom"/>
            <w:tcBorders>
              <w:right w:val="single" w:sz="8" w:color="auto"/>
            </w:tcBorders>
            <w:shd w:val="clear" w:color="auto" w:fill="003445"/>
          </w:tcPr>
          <w:p>
            <w:pPr>
              <w:spacing w:after="0"/>
              <w:rPr>
                <w:sz w:val="13"/>
                <w:szCs w:val="13"/>
                <w:color w:val="auto"/>
              </w:rPr>
            </w:pPr>
          </w:p>
        </w:tc>
        <w:tc>
          <w:tcPr>
            <w:tcW w:w="9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underlying</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8"/>
              </w:rPr>
              <w:t>Market or</w:t>
            </w:r>
          </w:p>
        </w:tc>
        <w:tc>
          <w:tcPr>
            <w:tcW w:w="94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w w:val="99"/>
              </w:rPr>
              <w:t>Number of</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of vested</w:t>
            </w: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shd w:val="clear" w:color="auto" w:fill="003445"/>
          </w:tcPr>
          <w:p>
            <w:pPr>
              <w:spacing w:after="0"/>
              <w:rPr>
                <w:sz w:val="13"/>
                <w:szCs w:val="13"/>
                <w:color w:val="auto"/>
              </w:rPr>
            </w:pPr>
          </w:p>
        </w:tc>
        <w:tc>
          <w:tcPr>
            <w:tcW w:w="110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w w:val="97"/>
              </w:rPr>
              <w:t>underlying</w:t>
            </w:r>
          </w:p>
        </w:tc>
        <w:tc>
          <w:tcPr>
            <w:tcW w:w="760" w:type="dxa"/>
            <w:vAlign w:val="bottom"/>
            <w:tcBorders>
              <w:right w:val="single" w:sz="8" w:color="auto"/>
            </w:tcBorders>
            <w:shd w:val="clear" w:color="auto" w:fill="003445"/>
          </w:tcPr>
          <w:p>
            <w:pPr>
              <w:spacing w:after="0"/>
              <w:rPr>
                <w:sz w:val="13"/>
                <w:szCs w:val="13"/>
                <w:color w:val="auto"/>
              </w:rPr>
            </w:pPr>
          </w:p>
        </w:tc>
        <w:tc>
          <w:tcPr>
            <w:tcW w:w="840" w:type="dxa"/>
            <w:vAlign w:val="bottom"/>
            <w:tcBorders>
              <w:right w:val="single" w:sz="8" w:color="auto"/>
            </w:tcBorders>
            <w:shd w:val="clear" w:color="auto" w:fill="003445"/>
          </w:tcPr>
          <w:p>
            <w:pPr>
              <w:spacing w:after="0"/>
              <w:rPr>
                <w:sz w:val="13"/>
                <w:szCs w:val="13"/>
                <w:color w:val="auto"/>
              </w:rPr>
            </w:pPr>
          </w:p>
        </w:tc>
        <w:tc>
          <w:tcPr>
            <w:tcW w:w="12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Value of</w:t>
            </w:r>
          </w:p>
        </w:tc>
        <w:tc>
          <w:tcPr>
            <w:tcW w:w="9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Shares that</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payout value</w:t>
            </w: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underlying</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Share-based</w:t>
            </w: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shd w:val="clear" w:color="auto" w:fill="003445"/>
          </w:tcPr>
          <w:p>
            <w:pPr>
              <w:spacing w:after="0"/>
              <w:rPr>
                <w:sz w:val="13"/>
                <w:szCs w:val="13"/>
                <w:color w:val="auto"/>
              </w:rPr>
            </w:pPr>
          </w:p>
        </w:tc>
        <w:tc>
          <w:tcPr>
            <w:tcW w:w="1100" w:type="dxa"/>
            <w:vAlign w:val="bottom"/>
            <w:tcBorders>
              <w:right w:val="single" w:sz="8" w:color="auto"/>
            </w:tcBorders>
            <w:shd w:val="clear" w:color="auto" w:fill="003445"/>
          </w:tcPr>
          <w:p>
            <w:pPr>
              <w:jc w:val="center"/>
              <w:ind w:left="10"/>
              <w:spacing w:after="0" w:line="157" w:lineRule="exact"/>
              <w:rPr>
                <w:sz w:val="20"/>
                <w:szCs w:val="20"/>
                <w:color w:val="auto"/>
              </w:rPr>
            </w:pPr>
            <w:r>
              <w:rPr>
                <w:rFonts w:ascii="Arial" w:cs="Arial" w:eastAsia="Arial" w:hAnsi="Arial"/>
                <w:sz w:val="14"/>
                <w:szCs w:val="14"/>
                <w:b w:val="1"/>
                <w:bCs w:val="1"/>
                <w:color w:val="FFFFFF"/>
              </w:rPr>
              <w:t>unexercised</w:t>
            </w:r>
          </w:p>
        </w:tc>
        <w:tc>
          <w:tcPr>
            <w:tcW w:w="7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Option</w:t>
            </w:r>
          </w:p>
        </w:tc>
        <w:tc>
          <w:tcPr>
            <w:tcW w:w="8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Option</w:t>
            </w:r>
          </w:p>
        </w:tc>
        <w:tc>
          <w:tcPr>
            <w:tcW w:w="128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unexercised in-</w:t>
            </w:r>
          </w:p>
        </w:tc>
        <w:tc>
          <w:tcPr>
            <w:tcW w:w="9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have not</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of unvested</w:t>
            </w:r>
          </w:p>
        </w:tc>
        <w:tc>
          <w:tcPr>
            <w:tcW w:w="94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w w:val="99"/>
              </w:rPr>
              <w:t>Shares that</w:t>
            </w:r>
          </w:p>
        </w:tc>
        <w:tc>
          <w:tcPr>
            <w:tcW w:w="1060" w:type="dxa"/>
            <w:vAlign w:val="bottom"/>
            <w:tcBorders>
              <w:right w:val="single" w:sz="8" w:color="auto"/>
            </w:tcBorders>
            <w:shd w:val="clear" w:color="auto" w:fill="003445"/>
          </w:tcPr>
          <w:p>
            <w:pPr>
              <w:jc w:val="center"/>
              <w:spacing w:after="0" w:line="157" w:lineRule="exact"/>
              <w:rPr>
                <w:sz w:val="20"/>
                <w:szCs w:val="20"/>
                <w:color w:val="auto"/>
              </w:rPr>
            </w:pPr>
            <w:r>
              <w:rPr>
                <w:rFonts w:ascii="Arial" w:cs="Arial" w:eastAsia="Arial" w:hAnsi="Arial"/>
                <w:sz w:val="14"/>
                <w:szCs w:val="14"/>
                <w:b w:val="1"/>
                <w:bCs w:val="1"/>
                <w:color w:val="FFFFFF"/>
              </w:rPr>
              <w:t>awards not</w:t>
            </w:r>
          </w:p>
        </w:tc>
        <w:tc>
          <w:tcPr>
            <w:tcW w:w="0" w:type="dxa"/>
            <w:vAlign w:val="bottom"/>
          </w:tcPr>
          <w:p>
            <w:pPr>
              <w:spacing w:after="0"/>
              <w:rPr>
                <w:sz w:val="1"/>
                <w:szCs w:val="1"/>
                <w:color w:val="auto"/>
              </w:rPr>
            </w:pPr>
          </w:p>
        </w:tc>
      </w:tr>
      <w:tr>
        <w:trPr>
          <w:trHeight w:val="153"/>
        </w:trPr>
        <w:tc>
          <w:tcPr>
            <w:tcW w:w="2700" w:type="dxa"/>
            <w:vAlign w:val="bottom"/>
            <w:tcBorders>
              <w:left w:val="single" w:sz="8" w:color="auto"/>
              <w:right w:val="single" w:sz="8" w:color="auto"/>
            </w:tcBorders>
            <w:shd w:val="clear" w:color="auto" w:fill="003445"/>
          </w:tcPr>
          <w:p>
            <w:pPr>
              <w:ind w:left="1080"/>
              <w:spacing w:after="0" w:line="153" w:lineRule="exact"/>
              <w:rPr>
                <w:sz w:val="20"/>
                <w:szCs w:val="20"/>
                <w:color w:val="auto"/>
              </w:rPr>
            </w:pPr>
            <w:r>
              <w:rPr>
                <w:rFonts w:ascii="Arial" w:cs="Arial" w:eastAsia="Arial" w:hAnsi="Arial"/>
                <w:sz w:val="14"/>
                <w:szCs w:val="14"/>
                <w:b w:val="1"/>
                <w:bCs w:val="1"/>
                <w:color w:val="FFFFFF"/>
              </w:rPr>
              <w:t>Name and</w:t>
            </w:r>
          </w:p>
        </w:tc>
        <w:tc>
          <w:tcPr>
            <w:tcW w:w="1100" w:type="dxa"/>
            <w:vAlign w:val="bottom"/>
            <w:tcBorders>
              <w:right w:val="single" w:sz="8" w:color="auto"/>
            </w:tcBorders>
            <w:shd w:val="clear" w:color="auto" w:fill="003445"/>
          </w:tcPr>
          <w:p>
            <w:pPr>
              <w:jc w:val="center"/>
              <w:ind w:left="10"/>
              <w:spacing w:after="0" w:line="153" w:lineRule="exact"/>
              <w:rPr>
                <w:sz w:val="20"/>
                <w:szCs w:val="20"/>
                <w:color w:val="auto"/>
              </w:rPr>
            </w:pPr>
            <w:r>
              <w:rPr>
                <w:rFonts w:ascii="Arial" w:cs="Arial" w:eastAsia="Arial" w:hAnsi="Arial"/>
                <w:sz w:val="14"/>
                <w:szCs w:val="14"/>
                <w:b w:val="1"/>
                <w:bCs w:val="1"/>
                <w:color w:val="FFFFFF"/>
              </w:rPr>
              <w:t>Options</w:t>
            </w:r>
          </w:p>
        </w:tc>
        <w:tc>
          <w:tcPr>
            <w:tcW w:w="760" w:type="dxa"/>
            <w:vAlign w:val="bottom"/>
            <w:tcBorders>
              <w:right w:val="single" w:sz="8" w:color="auto"/>
            </w:tcBorders>
            <w:shd w:val="clear" w:color="auto" w:fill="003445"/>
          </w:tcPr>
          <w:p>
            <w:pPr>
              <w:jc w:val="center"/>
              <w:ind w:left="10"/>
              <w:spacing w:after="0" w:line="153" w:lineRule="exact"/>
              <w:rPr>
                <w:sz w:val="20"/>
                <w:szCs w:val="20"/>
                <w:color w:val="auto"/>
              </w:rPr>
            </w:pPr>
            <w:r>
              <w:rPr>
                <w:rFonts w:ascii="Arial" w:cs="Arial" w:eastAsia="Arial" w:hAnsi="Arial"/>
                <w:sz w:val="14"/>
                <w:szCs w:val="14"/>
                <w:b w:val="1"/>
                <w:bCs w:val="1"/>
                <w:color w:val="FFFFFF"/>
                <w:w w:val="99"/>
              </w:rPr>
              <w:t>exercise</w:t>
            </w:r>
          </w:p>
        </w:tc>
        <w:tc>
          <w:tcPr>
            <w:tcW w:w="84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8"/>
              </w:rPr>
              <w:t>expiration</w:t>
            </w:r>
          </w:p>
        </w:tc>
        <w:tc>
          <w:tcPr>
            <w:tcW w:w="128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8"/>
              </w:rPr>
              <w:t>the-money</w:t>
            </w:r>
          </w:p>
        </w:tc>
        <w:tc>
          <w:tcPr>
            <w:tcW w:w="96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vested</w:t>
            </w:r>
          </w:p>
        </w:tc>
        <w:tc>
          <w:tcPr>
            <w:tcW w:w="106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Share-based</w:t>
            </w:r>
          </w:p>
        </w:tc>
        <w:tc>
          <w:tcPr>
            <w:tcW w:w="94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have vested</w:t>
            </w:r>
          </w:p>
        </w:tc>
        <w:tc>
          <w:tcPr>
            <w:tcW w:w="1060" w:type="dxa"/>
            <w:vAlign w:val="bottom"/>
            <w:tcBorders>
              <w:right w:val="single" w:sz="8" w:color="auto"/>
            </w:tcBorders>
            <w:shd w:val="clear" w:color="auto" w:fill="003445"/>
          </w:tcPr>
          <w:p>
            <w:pPr>
              <w:jc w:val="center"/>
              <w:spacing w:after="0" w:line="153" w:lineRule="exact"/>
              <w:rPr>
                <w:sz w:val="20"/>
                <w:szCs w:val="20"/>
                <w:color w:val="auto"/>
              </w:rPr>
            </w:pPr>
            <w:r>
              <w:rPr>
                <w:rFonts w:ascii="Arial" w:cs="Arial" w:eastAsia="Arial" w:hAnsi="Arial"/>
                <w:sz w:val="14"/>
                <w:szCs w:val="14"/>
                <w:b w:val="1"/>
                <w:bCs w:val="1"/>
                <w:color w:val="FFFFFF"/>
                <w:w w:val="99"/>
              </w:rPr>
              <w:t>paid out or</w:t>
            </w:r>
          </w:p>
        </w:tc>
        <w:tc>
          <w:tcPr>
            <w:tcW w:w="0" w:type="dxa"/>
            <w:vAlign w:val="bottom"/>
          </w:tcPr>
          <w:p>
            <w:pPr>
              <w:spacing w:after="0"/>
              <w:rPr>
                <w:sz w:val="1"/>
                <w:szCs w:val="1"/>
                <w:color w:val="auto"/>
              </w:rPr>
            </w:pPr>
          </w:p>
        </w:tc>
      </w:tr>
      <w:tr>
        <w:trPr>
          <w:trHeight w:val="236"/>
        </w:trPr>
        <w:tc>
          <w:tcPr>
            <w:tcW w:w="2700" w:type="dxa"/>
            <w:vAlign w:val="bottom"/>
            <w:tcBorders>
              <w:left w:val="single" w:sz="8" w:color="auto"/>
              <w:right w:val="single" w:sz="8" w:color="auto"/>
            </w:tcBorders>
            <w:shd w:val="clear" w:color="auto" w:fill="003445"/>
          </w:tcPr>
          <w:p>
            <w:pPr>
              <w:ind w:left="820"/>
              <w:spacing w:after="0"/>
              <w:rPr>
                <w:sz w:val="20"/>
                <w:szCs w:val="20"/>
                <w:color w:val="auto"/>
              </w:rPr>
            </w:pPr>
            <w:r>
              <w:rPr>
                <w:rFonts w:ascii="Arial" w:cs="Arial" w:eastAsia="Arial" w:hAnsi="Arial"/>
                <w:sz w:val="14"/>
                <w:szCs w:val="14"/>
                <w:b w:val="1"/>
                <w:bCs w:val="1"/>
                <w:color w:val="FFFFFF"/>
              </w:rPr>
              <w:t>Principal Position</w:t>
            </w:r>
          </w:p>
        </w:tc>
        <w:tc>
          <w:tcPr>
            <w:tcW w:w="1100" w:type="dxa"/>
            <w:vAlign w:val="bottom"/>
            <w:tcBorders>
              <w:right w:val="single" w:sz="8" w:color="auto"/>
            </w:tcBorders>
            <w:shd w:val="clear" w:color="auto" w:fill="003445"/>
          </w:tcPr>
          <w:p>
            <w:pPr>
              <w:jc w:val="center"/>
              <w:ind w:left="10"/>
              <w:spacing w:after="0"/>
              <w:rPr>
                <w:sz w:val="20"/>
                <w:szCs w:val="20"/>
                <w:color w:val="auto"/>
              </w:rPr>
            </w:pPr>
            <w:r>
              <w:rPr>
                <w:rFonts w:ascii="Arial" w:cs="Arial" w:eastAsia="Arial" w:hAnsi="Arial"/>
                <w:sz w:val="14"/>
                <w:szCs w:val="14"/>
                <w:b w:val="1"/>
                <w:bCs w:val="1"/>
                <w:color w:val="FFFFFF"/>
              </w:rPr>
              <w:t>(#)</w:t>
            </w:r>
          </w:p>
        </w:tc>
        <w:tc>
          <w:tcPr>
            <w:tcW w:w="76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price</w:t>
            </w:r>
          </w:p>
        </w:tc>
        <w:tc>
          <w:tcPr>
            <w:tcW w:w="84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date</w:t>
            </w:r>
          </w:p>
        </w:tc>
        <w:tc>
          <w:tcPr>
            <w:tcW w:w="128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rPr>
              <w:t>Options</w:t>
            </w:r>
          </w:p>
        </w:tc>
        <w:tc>
          <w:tcPr>
            <w:tcW w:w="96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3"/>
              </w:rPr>
              <w:t>(#)</w:t>
            </w:r>
          </w:p>
        </w:tc>
        <w:tc>
          <w:tcPr>
            <w:tcW w:w="106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5"/>
              </w:rPr>
              <w:t>awards</w:t>
            </w:r>
            <w:r>
              <w:rPr>
                <w:rFonts w:ascii="Arial" w:cs="Arial" w:eastAsia="Arial" w:hAnsi="Arial"/>
                <w:sz w:val="20"/>
                <w:szCs w:val="20"/>
                <w:b w:val="1"/>
                <w:bCs w:val="1"/>
                <w:color w:val="FFFFFF"/>
                <w:w w:val="95"/>
                <w:vertAlign w:val="superscript"/>
              </w:rPr>
              <w:t>(1)</w:t>
            </w:r>
          </w:p>
        </w:tc>
        <w:tc>
          <w:tcPr>
            <w:tcW w:w="94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3"/>
              </w:rPr>
              <w:t>(#)</w:t>
            </w:r>
          </w:p>
        </w:tc>
        <w:tc>
          <w:tcPr>
            <w:tcW w:w="106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4"/>
                <w:szCs w:val="14"/>
                <w:b w:val="1"/>
                <w:bCs w:val="1"/>
                <w:color w:val="FFFFFF"/>
                <w:w w:val="96"/>
              </w:rPr>
              <w:t>distributed</w:t>
            </w:r>
            <w:r>
              <w:rPr>
                <w:rFonts w:ascii="Arial" w:cs="Arial" w:eastAsia="Arial" w:hAnsi="Arial"/>
                <w:sz w:val="20"/>
                <w:szCs w:val="20"/>
                <w:b w:val="1"/>
                <w:bCs w:val="1"/>
                <w:color w:val="FFFFFF"/>
                <w:w w:val="96"/>
                <w:vertAlign w:val="superscript"/>
              </w:rPr>
              <w:t>(2)</w:t>
            </w:r>
          </w:p>
        </w:tc>
        <w:tc>
          <w:tcPr>
            <w:tcW w:w="0" w:type="dxa"/>
            <w:vAlign w:val="bottom"/>
          </w:tcPr>
          <w:p>
            <w:pPr>
              <w:spacing w:after="0"/>
              <w:rPr>
                <w:sz w:val="1"/>
                <w:szCs w:val="1"/>
                <w:color w:val="auto"/>
              </w:rPr>
            </w:pPr>
          </w:p>
        </w:tc>
      </w:tr>
      <w:tr>
        <w:trPr>
          <w:trHeight w:val="202"/>
        </w:trPr>
        <w:tc>
          <w:tcPr>
            <w:tcW w:w="2700" w:type="dxa"/>
            <w:vAlign w:val="bottom"/>
            <w:tcBorders>
              <w:left w:val="single" w:sz="8" w:color="auto"/>
              <w:right w:val="single" w:sz="8" w:color="auto"/>
            </w:tcBorders>
          </w:tcPr>
          <w:p>
            <w:pPr>
              <w:ind w:left="160"/>
              <w:spacing w:after="0" w:line="203" w:lineRule="exact"/>
              <w:rPr>
                <w:sz w:val="20"/>
                <w:szCs w:val="20"/>
                <w:color w:val="auto"/>
              </w:rPr>
            </w:pPr>
            <w:r>
              <w:rPr>
                <w:rFonts w:ascii="Arial" w:cs="Arial" w:eastAsia="Arial" w:hAnsi="Arial"/>
                <w:sz w:val="14"/>
                <w:szCs w:val="14"/>
                <w:b w:val="1"/>
                <w:bCs w:val="1"/>
                <w:color w:val="auto"/>
              </w:rPr>
              <w:t>James Gouin</w:t>
            </w:r>
            <w:r>
              <w:rPr>
                <w:rFonts w:ascii="Arial" w:cs="Arial" w:eastAsia="Arial" w:hAnsi="Arial"/>
                <w:sz w:val="20"/>
                <w:szCs w:val="20"/>
                <w:b w:val="1"/>
                <w:bCs w:val="1"/>
                <w:color w:val="auto"/>
                <w:vertAlign w:val="superscript"/>
              </w:rPr>
              <w:t>(3)(4)</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17,624</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$112,265</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76,343</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$486,307</w:t>
            </w: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i w:val="1"/>
                <w:iCs w:val="1"/>
                <w:color w:val="auto"/>
              </w:rPr>
              <w:t>Director and Chair of the Audit &amp; Risk</w:t>
            </w:r>
          </w:p>
        </w:tc>
        <w:tc>
          <w:tcPr>
            <w:tcW w:w="1100" w:type="dxa"/>
            <w:vAlign w:val="bottom"/>
            <w:tcBorders>
              <w:right w:val="single" w:sz="8" w:color="auto"/>
            </w:tcBorders>
            <w:vMerge w:val="continue"/>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Management Committee</w:t>
            </w: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4"/>
                <w:szCs w:val="14"/>
                <w:b w:val="1"/>
                <w:bCs w:val="1"/>
                <w:color w:val="auto"/>
              </w:rPr>
              <w:t>Andy Harshaw</w:t>
            </w:r>
            <w:r>
              <w:rPr>
                <w:rFonts w:ascii="Arial" w:cs="Arial" w:eastAsia="Arial" w:hAnsi="Arial"/>
                <w:sz w:val="20"/>
                <w:szCs w:val="20"/>
                <w:b w:val="1"/>
                <w:bCs w:val="1"/>
                <w:color w:val="auto"/>
                <w:vertAlign w:val="superscript"/>
              </w:rPr>
              <w:t>(3)(6)</w:t>
            </w: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i w:val="1"/>
                <w:iCs w:val="1"/>
                <w:color w:val="auto"/>
              </w:rPr>
              <w:t>Director and Chair of the Board and the</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23,624</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$150,485</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137,279</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$874,468</w:t>
            </w:r>
          </w:p>
        </w:tc>
        <w:tc>
          <w:tcPr>
            <w:tcW w:w="0" w:type="dxa"/>
            <w:vAlign w:val="bottom"/>
          </w:tcPr>
          <w:p>
            <w:pPr>
              <w:spacing w:after="0"/>
              <w:rPr>
                <w:sz w:val="1"/>
                <w:szCs w:val="1"/>
                <w:color w:val="auto"/>
              </w:rPr>
            </w:pPr>
          </w:p>
        </w:tc>
      </w:tr>
      <w:tr>
        <w:trPr>
          <w:trHeight w:val="104"/>
        </w:trPr>
        <w:tc>
          <w:tcPr>
            <w:tcW w:w="2700" w:type="dxa"/>
            <w:vAlign w:val="bottom"/>
            <w:tcBorders>
              <w:left w:val="single" w:sz="8" w:color="auto"/>
              <w:right w:val="single" w:sz="8" w:color="auto"/>
            </w:tcBorders>
            <w:vMerge w:val="restart"/>
          </w:tcPr>
          <w:p>
            <w:pPr>
              <w:ind w:left="160"/>
              <w:spacing w:after="0" w:line="157" w:lineRule="exact"/>
              <w:rPr>
                <w:sz w:val="20"/>
                <w:szCs w:val="20"/>
                <w:color w:val="auto"/>
              </w:rPr>
            </w:pPr>
            <w:r>
              <w:rPr>
                <w:rFonts w:ascii="Arial" w:cs="Arial" w:eastAsia="Arial" w:hAnsi="Arial"/>
                <w:sz w:val="14"/>
                <w:szCs w:val="14"/>
                <w:i w:val="1"/>
                <w:iCs w:val="1"/>
                <w:color w:val="auto"/>
              </w:rPr>
              <w:t>Operations and Capital Projects</w:t>
            </w:r>
          </w:p>
        </w:tc>
        <w:tc>
          <w:tcPr>
            <w:tcW w:w="11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700" w:type="dxa"/>
            <w:vAlign w:val="bottom"/>
            <w:tcBorders>
              <w:left w:val="single" w:sz="8" w:color="auto"/>
              <w:right w:val="single" w:sz="8" w:color="auto"/>
            </w:tcBorders>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840" w:type="dxa"/>
            <w:vAlign w:val="bottom"/>
            <w:tcBorders>
              <w:right w:val="single" w:sz="8" w:color="auto"/>
            </w:tcBorders>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Committee</w:t>
            </w: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4"/>
                <w:szCs w:val="14"/>
                <w:b w:val="1"/>
                <w:bCs w:val="1"/>
                <w:color w:val="auto"/>
              </w:rPr>
              <w:t>Ave Lethbridge</w:t>
            </w:r>
            <w:r>
              <w:rPr>
                <w:rFonts w:ascii="Arial" w:cs="Arial" w:eastAsia="Arial" w:hAnsi="Arial"/>
                <w:sz w:val="20"/>
                <w:szCs w:val="20"/>
                <w:b w:val="1"/>
                <w:bCs w:val="1"/>
                <w:color w:val="auto"/>
                <w:vertAlign w:val="superscript"/>
              </w:rPr>
              <w:t>(9)</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61,716</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$393,133</w:t>
            </w:r>
          </w:p>
        </w:tc>
        <w:tc>
          <w:tcPr>
            <w:tcW w:w="0" w:type="dxa"/>
            <w:vAlign w:val="bottom"/>
          </w:tcPr>
          <w:p>
            <w:pPr>
              <w:spacing w:after="0"/>
              <w:rPr>
                <w:sz w:val="1"/>
                <w:szCs w:val="1"/>
                <w:color w:val="auto"/>
              </w:rPr>
            </w:pPr>
          </w:p>
        </w:tc>
      </w:tr>
      <w:tr>
        <w:trPr>
          <w:trHeight w:val="104"/>
        </w:trPr>
        <w:tc>
          <w:tcPr>
            <w:tcW w:w="27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i w:val="1"/>
                <w:iCs w:val="1"/>
                <w:color w:val="auto"/>
              </w:rPr>
              <w:t>Former Director</w:t>
            </w:r>
          </w:p>
        </w:tc>
        <w:tc>
          <w:tcPr>
            <w:tcW w:w="11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700" w:type="dxa"/>
            <w:vAlign w:val="bottom"/>
            <w:tcBorders>
              <w:left w:val="single" w:sz="8" w:color="auto"/>
              <w:right w:val="single" w:sz="8" w:color="auto"/>
            </w:tcBorders>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4"/>
                <w:szCs w:val="14"/>
                <w:b w:val="1"/>
                <w:bCs w:val="1"/>
                <w:color w:val="auto"/>
              </w:rPr>
              <w:t>Sanjay Nakra</w:t>
            </w:r>
            <w:r>
              <w:rPr>
                <w:rFonts w:ascii="Arial" w:cs="Arial" w:eastAsia="Arial" w:hAnsi="Arial"/>
                <w:sz w:val="20"/>
                <w:szCs w:val="20"/>
                <w:b w:val="1"/>
                <w:bCs w:val="1"/>
                <w:color w:val="auto"/>
                <w:vertAlign w:val="superscript"/>
              </w:rPr>
              <w:t>(4)(5)</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15,979</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$101,786</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57,996</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$369,434</w:t>
            </w:r>
          </w:p>
        </w:tc>
        <w:tc>
          <w:tcPr>
            <w:tcW w:w="0" w:type="dxa"/>
            <w:vAlign w:val="bottom"/>
          </w:tcPr>
          <w:p>
            <w:pPr>
              <w:spacing w:after="0"/>
              <w:rPr>
                <w:sz w:val="1"/>
                <w:szCs w:val="1"/>
                <w:color w:val="auto"/>
              </w:rPr>
            </w:pPr>
          </w:p>
        </w:tc>
      </w:tr>
      <w:tr>
        <w:trPr>
          <w:trHeight w:val="104"/>
        </w:trPr>
        <w:tc>
          <w:tcPr>
            <w:tcW w:w="27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i w:val="1"/>
                <w:iCs w:val="1"/>
                <w:color w:val="auto"/>
              </w:rPr>
              <w:t>Director</w:t>
            </w:r>
          </w:p>
        </w:tc>
        <w:tc>
          <w:tcPr>
            <w:tcW w:w="11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700" w:type="dxa"/>
            <w:vAlign w:val="bottom"/>
            <w:tcBorders>
              <w:left w:val="single" w:sz="8" w:color="auto"/>
              <w:right w:val="single" w:sz="8" w:color="auto"/>
            </w:tcBorders>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70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14"/>
                <w:szCs w:val="14"/>
                <w:b w:val="1"/>
                <w:bCs w:val="1"/>
                <w:color w:val="auto"/>
              </w:rPr>
              <w:t>Melinda J. Newman</w:t>
            </w:r>
            <w:r>
              <w:rPr>
                <w:rFonts w:ascii="Arial" w:cs="Arial" w:eastAsia="Arial" w:hAnsi="Arial"/>
                <w:sz w:val="20"/>
                <w:szCs w:val="20"/>
                <w:b w:val="1"/>
                <w:bCs w:val="1"/>
                <w:color w:val="auto"/>
                <w:vertAlign w:val="superscript"/>
              </w:rPr>
              <w:t>(3)(6)</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15,825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$100,805</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16,395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$104,436</w:t>
            </w:r>
          </w:p>
        </w:tc>
        <w:tc>
          <w:tcPr>
            <w:tcW w:w="0" w:type="dxa"/>
            <w:vAlign w:val="bottom"/>
          </w:tcPr>
          <w:p>
            <w:pPr>
              <w:spacing w:after="0"/>
              <w:rPr>
                <w:sz w:val="1"/>
                <w:szCs w:val="1"/>
                <w:color w:val="auto"/>
              </w:rPr>
            </w:pPr>
          </w:p>
        </w:tc>
      </w:tr>
      <w:tr>
        <w:trPr>
          <w:trHeight w:val="106"/>
        </w:trPr>
        <w:tc>
          <w:tcPr>
            <w:tcW w:w="27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color w:val="auto"/>
              </w:rPr>
              <w:t>Director</w:t>
            </w:r>
          </w:p>
        </w:tc>
        <w:tc>
          <w:tcPr>
            <w:tcW w:w="11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700" w:type="dxa"/>
            <w:vAlign w:val="bottom"/>
            <w:tcBorders>
              <w:left w:val="single" w:sz="8" w:color="auto"/>
              <w:right w:val="single" w:sz="8" w:color="auto"/>
            </w:tcBorders>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700" w:type="dxa"/>
            <w:vAlign w:val="bottom"/>
            <w:tcBorders>
              <w:left w:val="single" w:sz="8" w:color="auto"/>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940" w:type="dxa"/>
            <w:vAlign w:val="bottom"/>
            <w:tcBorders>
              <w:bottom w:val="single" w:sz="8" w:color="auto"/>
              <w:right w:val="single" w:sz="8" w:color="auto"/>
            </w:tcBorders>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4"/>
                <w:szCs w:val="14"/>
                <w:b w:val="1"/>
                <w:bCs w:val="1"/>
                <w:color w:val="auto"/>
              </w:rPr>
              <w:t>Eric S. Rosenfeld</w:t>
            </w:r>
            <w:r>
              <w:rPr>
                <w:rFonts w:ascii="Arial" w:cs="Arial" w:eastAsia="Arial" w:hAnsi="Arial"/>
                <w:sz w:val="20"/>
                <w:szCs w:val="20"/>
                <w:b w:val="1"/>
                <w:bCs w:val="1"/>
                <w:color w:val="auto"/>
                <w:vertAlign w:val="superscript"/>
              </w:rPr>
              <w:t>(4)(5)</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18,375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$117,049</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122,359</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$779,427</w:t>
            </w:r>
          </w:p>
        </w:tc>
        <w:tc>
          <w:tcPr>
            <w:tcW w:w="0" w:type="dxa"/>
            <w:vAlign w:val="bottom"/>
          </w:tcPr>
          <w:p>
            <w:pPr>
              <w:spacing w:after="0"/>
              <w:rPr>
                <w:sz w:val="1"/>
                <w:szCs w:val="1"/>
                <w:color w:val="auto"/>
              </w:rPr>
            </w:pPr>
          </w:p>
        </w:tc>
      </w:tr>
      <w:tr>
        <w:trPr>
          <w:trHeight w:val="157"/>
        </w:trPr>
        <w:tc>
          <w:tcPr>
            <w:tcW w:w="2700" w:type="dxa"/>
            <w:vAlign w:val="bottom"/>
            <w:tcBorders>
              <w:left w:val="single" w:sz="8" w:color="auto"/>
              <w:right w:val="single" w:sz="8" w:color="auto"/>
            </w:tcBorders>
          </w:tcPr>
          <w:p>
            <w:pPr>
              <w:ind w:left="160"/>
              <w:spacing w:after="0" w:line="157" w:lineRule="exact"/>
              <w:rPr>
                <w:sz w:val="20"/>
                <w:szCs w:val="20"/>
                <w:color w:val="auto"/>
              </w:rPr>
            </w:pPr>
            <w:r>
              <w:rPr>
                <w:rFonts w:ascii="Arial" w:cs="Arial" w:eastAsia="Arial" w:hAnsi="Arial"/>
                <w:sz w:val="14"/>
                <w:szCs w:val="14"/>
                <w:i w:val="1"/>
                <w:iCs w:val="1"/>
                <w:color w:val="auto"/>
              </w:rPr>
              <w:t>Director and Chair of Human Resources</w:t>
            </w:r>
          </w:p>
        </w:tc>
        <w:tc>
          <w:tcPr>
            <w:tcW w:w="1100" w:type="dxa"/>
            <w:vAlign w:val="bottom"/>
            <w:tcBorders>
              <w:right w:val="single" w:sz="8" w:color="auto"/>
            </w:tcBorders>
            <w:vMerge w:val="continue"/>
          </w:tcPr>
          <w:p>
            <w:pPr>
              <w:spacing w:after="0"/>
              <w:rPr>
                <w:sz w:val="13"/>
                <w:szCs w:val="13"/>
                <w:color w:val="auto"/>
              </w:rPr>
            </w:pPr>
          </w:p>
        </w:tc>
        <w:tc>
          <w:tcPr>
            <w:tcW w:w="760" w:type="dxa"/>
            <w:vAlign w:val="bottom"/>
            <w:tcBorders>
              <w:right w:val="single" w:sz="8" w:color="auto"/>
            </w:tcBorders>
            <w:vMerge w:val="continue"/>
          </w:tcPr>
          <w:p>
            <w:pPr>
              <w:spacing w:after="0"/>
              <w:rPr>
                <w:sz w:val="13"/>
                <w:szCs w:val="13"/>
                <w:color w:val="auto"/>
              </w:rPr>
            </w:pPr>
          </w:p>
        </w:tc>
        <w:tc>
          <w:tcPr>
            <w:tcW w:w="840" w:type="dxa"/>
            <w:vAlign w:val="bottom"/>
            <w:tcBorders>
              <w:right w:val="single" w:sz="8" w:color="auto"/>
            </w:tcBorders>
            <w:vMerge w:val="continue"/>
          </w:tcPr>
          <w:p>
            <w:pPr>
              <w:spacing w:after="0"/>
              <w:rPr>
                <w:sz w:val="13"/>
                <w:szCs w:val="13"/>
                <w:color w:val="auto"/>
              </w:rPr>
            </w:pPr>
          </w:p>
        </w:tc>
        <w:tc>
          <w:tcPr>
            <w:tcW w:w="128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940" w:type="dxa"/>
            <w:vAlign w:val="bottom"/>
            <w:tcBorders>
              <w:right w:val="single" w:sz="8" w:color="auto"/>
            </w:tcBorders>
            <w:vMerge w:val="continue"/>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i w:val="1"/>
                <w:iCs w:val="1"/>
                <w:color w:val="auto"/>
              </w:rPr>
              <w:t>and Compensation Committee</w:t>
            </w:r>
          </w:p>
        </w:tc>
        <w:tc>
          <w:tcPr>
            <w:tcW w:w="110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4"/>
                <w:szCs w:val="14"/>
                <w:b w:val="1"/>
                <w:bCs w:val="1"/>
                <w:color w:val="auto"/>
              </w:rPr>
              <w:t>Gale Rubenstein</w:t>
            </w:r>
            <w:r>
              <w:rPr>
                <w:rFonts w:ascii="Arial" w:cs="Arial" w:eastAsia="Arial" w:hAnsi="Arial"/>
                <w:sz w:val="20"/>
                <w:szCs w:val="20"/>
                <w:b w:val="1"/>
                <w:bCs w:val="1"/>
                <w:color w:val="auto"/>
                <w:vertAlign w:val="superscript"/>
              </w:rPr>
              <w:t>(4)(5)</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15,825</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$100,805</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73,189</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$466,214</w:t>
            </w:r>
          </w:p>
        </w:tc>
        <w:tc>
          <w:tcPr>
            <w:tcW w:w="0" w:type="dxa"/>
            <w:vAlign w:val="bottom"/>
          </w:tcPr>
          <w:p>
            <w:pPr>
              <w:spacing w:after="0"/>
              <w:rPr>
                <w:sz w:val="1"/>
                <w:szCs w:val="1"/>
                <w:color w:val="auto"/>
              </w:rPr>
            </w:pPr>
          </w:p>
        </w:tc>
      </w:tr>
      <w:tr>
        <w:trPr>
          <w:trHeight w:val="104"/>
        </w:trPr>
        <w:tc>
          <w:tcPr>
            <w:tcW w:w="27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i w:val="1"/>
                <w:iCs w:val="1"/>
                <w:color w:val="auto"/>
              </w:rPr>
              <w:t>Director</w:t>
            </w:r>
          </w:p>
        </w:tc>
        <w:tc>
          <w:tcPr>
            <w:tcW w:w="11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700" w:type="dxa"/>
            <w:vAlign w:val="bottom"/>
            <w:tcBorders>
              <w:left w:val="single" w:sz="8" w:color="auto"/>
              <w:right w:val="single" w:sz="8" w:color="auto"/>
            </w:tcBorders>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700" w:type="dxa"/>
            <w:vAlign w:val="bottom"/>
            <w:tcBorders>
              <w:left w:val="single" w:sz="8" w:color="auto"/>
              <w:right w:val="single" w:sz="8" w:color="auto"/>
            </w:tcBorders>
          </w:tcPr>
          <w:p>
            <w:pPr>
              <w:ind w:left="160"/>
              <w:spacing w:after="0" w:line="183" w:lineRule="exact"/>
              <w:rPr>
                <w:sz w:val="20"/>
                <w:szCs w:val="20"/>
                <w:color w:val="auto"/>
              </w:rPr>
            </w:pPr>
            <w:r>
              <w:rPr>
                <w:rFonts w:ascii="Arial" w:cs="Arial" w:eastAsia="Arial" w:hAnsi="Arial"/>
                <w:sz w:val="14"/>
                <w:szCs w:val="14"/>
                <w:b w:val="1"/>
                <w:bCs w:val="1"/>
                <w:color w:val="auto"/>
              </w:rPr>
              <w:t>David D. Sgro</w:t>
            </w:r>
            <w:r>
              <w:rPr>
                <w:rFonts w:ascii="Arial" w:cs="Arial" w:eastAsia="Arial" w:hAnsi="Arial"/>
                <w:sz w:val="20"/>
                <w:szCs w:val="20"/>
                <w:b w:val="1"/>
                <w:bCs w:val="1"/>
                <w:color w:val="auto"/>
                <w:vertAlign w:val="superscript"/>
              </w:rPr>
              <w:t>(8)</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64,642</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4"/>
        </w:trPr>
        <w:tc>
          <w:tcPr>
            <w:tcW w:w="27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i w:val="1"/>
                <w:iCs w:val="1"/>
                <w:color w:val="auto"/>
              </w:rPr>
              <w:t>Former Director</w:t>
            </w:r>
          </w:p>
        </w:tc>
        <w:tc>
          <w:tcPr>
            <w:tcW w:w="110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700" w:type="dxa"/>
            <w:vAlign w:val="bottom"/>
            <w:tcBorders>
              <w:left w:val="single" w:sz="8" w:color="auto"/>
              <w:right w:val="single" w:sz="8" w:color="auto"/>
            </w:tcBorders>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28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9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jc w:val="both"/>
        <w:ind w:left="520" w:right="20" w:hanging="415"/>
        <w:spacing w:after="0" w:line="245" w:lineRule="auto"/>
        <w:tabs>
          <w:tab w:leader="none" w:pos="520" w:val="left"/>
        </w:tabs>
        <w:numPr>
          <w:ilvl w:val="0"/>
          <w:numId w:val="49"/>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DSUs granted under the Omnibus Incentive Plan (inclusive of dividend equivalents) in respect of compensation for the period June 24, 2025 to June 30, 2026, and remaining unvested as of the date hereof, determined by multiplying the number of share-based awards by the closing price of the Shares on the TSX on April 30, 2026, being C$6.37 per share.</w:t>
      </w:r>
    </w:p>
    <w:p>
      <w:pPr>
        <w:jc w:val="both"/>
        <w:ind w:left="520" w:right="20" w:hanging="415"/>
        <w:spacing w:after="0" w:line="239" w:lineRule="auto"/>
        <w:tabs>
          <w:tab w:leader="none" w:pos="520" w:val="left"/>
        </w:tabs>
        <w:numPr>
          <w:ilvl w:val="0"/>
          <w:numId w:val="49"/>
        </w:numPr>
        <w:rPr>
          <w:rFonts w:ascii="Arial" w:cs="Arial" w:eastAsia="Arial" w:hAnsi="Arial"/>
          <w:sz w:val="16"/>
          <w:szCs w:val="16"/>
          <w:i w:val="1"/>
          <w:iCs w:val="1"/>
          <w:color w:val="003445"/>
        </w:rPr>
      </w:pPr>
      <w:r>
        <w:rPr>
          <w:rFonts w:ascii="Arial" w:cs="Arial" w:eastAsia="Arial" w:hAnsi="Arial"/>
          <w:sz w:val="16"/>
          <w:szCs w:val="16"/>
          <w:i w:val="1"/>
          <w:iCs w:val="1"/>
          <w:color w:val="003445"/>
        </w:rPr>
        <w:t>This amount represents DSUs granted under the Omnibus Incentive Plan (inclusive of dividend equivalents) and vested as of the date hereof, determined by multiplying the number of share-based awards by the closing price of the Shares on the TSX on April 30, 2026, being C$6.37 per share.</w:t>
      </w:r>
    </w:p>
    <w:p>
      <w:pPr>
        <w:ind w:left="520" w:hanging="415"/>
        <w:spacing w:after="0"/>
        <w:tabs>
          <w:tab w:leader="none" w:pos="520" w:val="left"/>
        </w:tabs>
        <w:numPr>
          <w:ilvl w:val="0"/>
          <w:numId w:val="49"/>
        </w:numPr>
        <w:rPr>
          <w:rFonts w:ascii="Arial" w:cs="Arial" w:eastAsia="Arial" w:hAnsi="Arial"/>
          <w:sz w:val="16"/>
          <w:szCs w:val="16"/>
          <w:i w:val="1"/>
          <w:iCs w:val="1"/>
          <w:color w:val="003445"/>
        </w:rPr>
      </w:pPr>
      <w:r>
        <w:rPr>
          <w:rFonts w:ascii="Arial" w:cs="Arial" w:eastAsia="Arial" w:hAnsi="Arial"/>
          <w:sz w:val="16"/>
          <w:szCs w:val="16"/>
          <w:i w:val="1"/>
          <w:iCs w:val="1"/>
          <w:color w:val="003445"/>
        </w:rPr>
        <w:t>Member of the Audit &amp; Risk Management Committee.</w:t>
      </w:r>
    </w:p>
    <w:p>
      <w:pPr>
        <w:ind w:left="520" w:hanging="415"/>
        <w:spacing w:after="0"/>
        <w:tabs>
          <w:tab w:leader="none" w:pos="520" w:val="left"/>
        </w:tabs>
        <w:numPr>
          <w:ilvl w:val="0"/>
          <w:numId w:val="49"/>
        </w:numPr>
        <w:rPr>
          <w:rFonts w:ascii="Arial" w:cs="Arial" w:eastAsia="Arial" w:hAnsi="Arial"/>
          <w:sz w:val="16"/>
          <w:szCs w:val="16"/>
          <w:i w:val="1"/>
          <w:iCs w:val="1"/>
          <w:color w:val="003445"/>
        </w:rPr>
      </w:pPr>
      <w:r>
        <w:rPr>
          <w:rFonts w:ascii="Arial" w:cs="Arial" w:eastAsia="Arial" w:hAnsi="Arial"/>
          <w:sz w:val="16"/>
          <w:szCs w:val="16"/>
          <w:i w:val="1"/>
          <w:iCs w:val="1"/>
          <w:color w:val="003445"/>
        </w:rPr>
        <w:t>Member of the Human Resources and Compensation Committee.</w:t>
      </w:r>
    </w:p>
    <w:p>
      <w:pPr>
        <w:ind w:left="520" w:hanging="415"/>
        <w:spacing w:after="0"/>
        <w:tabs>
          <w:tab w:leader="none" w:pos="520" w:val="left"/>
        </w:tabs>
        <w:numPr>
          <w:ilvl w:val="0"/>
          <w:numId w:val="49"/>
        </w:numPr>
        <w:rPr>
          <w:rFonts w:ascii="Arial" w:cs="Arial" w:eastAsia="Arial" w:hAnsi="Arial"/>
          <w:sz w:val="16"/>
          <w:szCs w:val="16"/>
          <w:i w:val="1"/>
          <w:iCs w:val="1"/>
          <w:color w:val="003445"/>
        </w:rPr>
      </w:pPr>
      <w:r>
        <w:rPr>
          <w:rFonts w:ascii="Arial" w:cs="Arial" w:eastAsia="Arial" w:hAnsi="Arial"/>
          <w:sz w:val="16"/>
          <w:szCs w:val="16"/>
          <w:i w:val="1"/>
          <w:iCs w:val="1"/>
          <w:color w:val="003445"/>
        </w:rPr>
        <w:t>Member of the Nominating and Governance Committee.</w:t>
      </w:r>
    </w:p>
    <w:p>
      <w:pPr>
        <w:ind w:left="520" w:hanging="415"/>
        <w:spacing w:after="0"/>
        <w:tabs>
          <w:tab w:leader="none" w:pos="520" w:val="left"/>
        </w:tabs>
        <w:numPr>
          <w:ilvl w:val="0"/>
          <w:numId w:val="49"/>
        </w:numPr>
        <w:rPr>
          <w:rFonts w:ascii="Arial" w:cs="Arial" w:eastAsia="Arial" w:hAnsi="Arial"/>
          <w:sz w:val="16"/>
          <w:szCs w:val="16"/>
          <w:i w:val="1"/>
          <w:iCs w:val="1"/>
          <w:color w:val="003445"/>
        </w:rPr>
      </w:pPr>
      <w:r>
        <w:rPr>
          <w:rFonts w:ascii="Arial" w:cs="Arial" w:eastAsia="Arial" w:hAnsi="Arial"/>
          <w:sz w:val="16"/>
          <w:szCs w:val="16"/>
          <w:i w:val="1"/>
          <w:iCs w:val="1"/>
          <w:color w:val="003445"/>
        </w:rPr>
        <w:t>Member of the Operations and Capital Projects Committee.</w:t>
      </w:r>
    </w:p>
    <w:p>
      <w:pPr>
        <w:ind w:left="520" w:hanging="415"/>
        <w:spacing w:after="0"/>
        <w:tabs>
          <w:tab w:leader="none" w:pos="520" w:val="left"/>
        </w:tabs>
        <w:numPr>
          <w:ilvl w:val="0"/>
          <w:numId w:val="49"/>
        </w:numPr>
        <w:rPr>
          <w:rFonts w:ascii="Arial" w:cs="Arial" w:eastAsia="Arial" w:hAnsi="Arial"/>
          <w:sz w:val="16"/>
          <w:szCs w:val="16"/>
          <w:i w:val="1"/>
          <w:iCs w:val="1"/>
          <w:color w:val="003445"/>
        </w:rPr>
      </w:pPr>
      <w:r>
        <w:rPr>
          <w:rFonts w:ascii="Arial" w:cs="Arial" w:eastAsia="Arial" w:hAnsi="Arial"/>
          <w:sz w:val="16"/>
          <w:szCs w:val="16"/>
          <w:i w:val="1"/>
          <w:iCs w:val="1"/>
          <w:color w:val="003445"/>
        </w:rPr>
        <w:t>Mr. Garcia retired from the Board of Directors effective December 31, 2025.</w:t>
      </w:r>
    </w:p>
    <w:p>
      <w:pPr>
        <w:ind w:left="520" w:right="20" w:hanging="415"/>
        <w:spacing w:after="0" w:line="249" w:lineRule="auto"/>
        <w:tabs>
          <w:tab w:leader="none" w:pos="520" w:val="left"/>
        </w:tabs>
        <w:numPr>
          <w:ilvl w:val="0"/>
          <w:numId w:val="49"/>
        </w:numPr>
        <w:rPr>
          <w:rFonts w:ascii="Arial" w:cs="Arial" w:eastAsia="Arial" w:hAnsi="Arial"/>
          <w:sz w:val="16"/>
          <w:szCs w:val="16"/>
          <w:i w:val="1"/>
          <w:iCs w:val="1"/>
          <w:color w:val="003445"/>
        </w:rPr>
      </w:pPr>
      <w:r>
        <w:rPr>
          <w:rFonts w:ascii="Arial" w:cs="Arial" w:eastAsia="Arial" w:hAnsi="Arial"/>
          <w:sz w:val="16"/>
          <w:szCs w:val="16"/>
          <w:i w:val="1"/>
          <w:iCs w:val="1"/>
          <w:color w:val="003445"/>
        </w:rPr>
        <w:t>Mr. Sgro retired from the Board of Directors effective September 30, 2025. As at December 31, 2025 there were no outstanding share-based awards outstanding to be paid or distributed.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0700"/>
          </w:cols>
          <w:pgMar w:left="600" w:top="263" w:right="599" w:bottom="1440" w:gutter="0" w:footer="0" w:header="0"/>
        </w:sectPr>
      </w:pPr>
    </w:p>
    <w:bookmarkStart w:id="79" w:name="page80"/>
    <w:bookmarkEnd w:id="79"/>
    <w:p>
      <w:pPr>
        <w:ind w:left="520" w:hanging="415"/>
        <w:spacing w:after="0"/>
        <w:tabs>
          <w:tab w:leader="none" w:pos="520" w:val="left"/>
        </w:tabs>
        <w:numPr>
          <w:ilvl w:val="0"/>
          <w:numId w:val="50"/>
        </w:numPr>
        <w:rPr>
          <w:rFonts w:ascii="Arial" w:cs="Arial" w:eastAsia="Arial" w:hAnsi="Arial"/>
          <w:sz w:val="16"/>
          <w:szCs w:val="16"/>
          <w:i w:val="1"/>
          <w:iCs w:val="1"/>
          <w:color w:val="003445"/>
        </w:rPr>
      </w:pPr>
      <w:r>
        <w:rPr>
          <w:rFonts w:ascii="Arial" w:cs="Arial" w:eastAsia="Arial" w:hAnsi="Arial"/>
          <w:sz w:val="16"/>
          <w:szCs w:val="16"/>
          <w:i w:val="1"/>
          <w:i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Ms. Lethbridge resigned from the Board of Directors effective as of June 24, 2025.</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Incentive Plan Awards – Value Vested or Earned During the Year – Directors</w:t>
      </w:r>
    </w:p>
    <w:p>
      <w:pPr>
        <w:spacing w:after="0" w:line="207"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All dollar amounts below have been converted from U.S. dollars to Canadian dollars using the Bank of Canada exchange rate on April 30, 2026, being US$1 to C$1.3624.</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22"/>
        </w:trPr>
        <w:tc>
          <w:tcPr>
            <w:tcW w:w="4300" w:type="dxa"/>
            <w:vAlign w:val="bottom"/>
            <w:tcBorders>
              <w:top w:val="single" w:sz="8" w:color="auto"/>
              <w:left w:val="single" w:sz="8" w:color="auto"/>
              <w:right w:val="single" w:sz="8" w:color="auto"/>
            </w:tcBorders>
            <w:shd w:val="clear" w:color="auto" w:fill="003445"/>
          </w:tcPr>
          <w:p>
            <w:pPr>
              <w:spacing w:after="0"/>
              <w:rPr>
                <w:sz w:val="19"/>
                <w:szCs w:val="19"/>
                <w:color w:val="auto"/>
              </w:rPr>
            </w:pPr>
          </w:p>
        </w:tc>
        <w:tc>
          <w:tcPr>
            <w:tcW w:w="1720" w:type="dxa"/>
            <w:vAlign w:val="bottom"/>
            <w:tcBorders>
              <w:top w:val="single" w:sz="8" w:color="auto"/>
              <w:right w:val="single" w:sz="8" w:color="auto"/>
            </w:tcBorders>
            <w:shd w:val="clear" w:color="auto" w:fill="003445"/>
          </w:tcPr>
          <w:p>
            <w:pPr>
              <w:jc w:val="center"/>
              <w:ind w:left="1"/>
              <w:spacing w:after="0"/>
              <w:rPr>
                <w:sz w:val="20"/>
                <w:szCs w:val="20"/>
                <w:color w:val="auto"/>
              </w:rPr>
            </w:pPr>
            <w:r>
              <w:rPr>
                <w:rFonts w:ascii="Arial" w:cs="Arial" w:eastAsia="Arial" w:hAnsi="Arial"/>
                <w:sz w:val="16"/>
                <w:szCs w:val="16"/>
                <w:b w:val="1"/>
                <w:bCs w:val="1"/>
                <w:color w:val="FFFFFF"/>
                <w:w w:val="97"/>
              </w:rPr>
              <w:t>Option based</w:t>
            </w:r>
          </w:p>
        </w:tc>
        <w:tc>
          <w:tcPr>
            <w:tcW w:w="224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6"/>
                <w:szCs w:val="16"/>
                <w:b w:val="1"/>
                <w:bCs w:val="1"/>
                <w:color w:val="FFFFFF"/>
                <w:w w:val="97"/>
              </w:rPr>
              <w:t>Share-based</w:t>
            </w:r>
          </w:p>
        </w:tc>
        <w:tc>
          <w:tcPr>
            <w:tcW w:w="2440" w:type="dxa"/>
            <w:vAlign w:val="bottom"/>
            <w:tcBorders>
              <w:top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6"/>
                <w:szCs w:val="16"/>
                <w:b w:val="1"/>
                <w:bCs w:val="1"/>
                <w:color w:val="FFFFFF"/>
                <w:w w:val="99"/>
              </w:rPr>
              <w:t>Non-equity incentive</w:t>
            </w:r>
          </w:p>
        </w:tc>
        <w:tc>
          <w:tcPr>
            <w:tcW w:w="0" w:type="dxa"/>
            <w:vAlign w:val="bottom"/>
          </w:tcPr>
          <w:p>
            <w:pPr>
              <w:spacing w:after="0"/>
              <w:rPr>
                <w:sz w:val="1"/>
                <w:szCs w:val="1"/>
                <w:color w:val="auto"/>
              </w:rPr>
            </w:pPr>
          </w:p>
        </w:tc>
      </w:tr>
      <w:tr>
        <w:trPr>
          <w:trHeight w:val="183"/>
        </w:trPr>
        <w:tc>
          <w:tcPr>
            <w:tcW w:w="4300" w:type="dxa"/>
            <w:vAlign w:val="bottom"/>
            <w:tcBorders>
              <w:left w:val="single" w:sz="8" w:color="auto"/>
              <w:right w:val="single" w:sz="8" w:color="auto"/>
            </w:tcBorders>
            <w:shd w:val="clear" w:color="auto" w:fill="003445"/>
          </w:tcPr>
          <w:p>
            <w:pPr>
              <w:spacing w:after="0"/>
              <w:rPr>
                <w:sz w:val="15"/>
                <w:szCs w:val="15"/>
                <w:color w:val="auto"/>
              </w:rPr>
            </w:pPr>
          </w:p>
        </w:tc>
        <w:tc>
          <w:tcPr>
            <w:tcW w:w="1720" w:type="dxa"/>
            <w:vAlign w:val="bottom"/>
            <w:tcBorders>
              <w:right w:val="single" w:sz="8" w:color="auto"/>
            </w:tcBorders>
            <w:shd w:val="clear" w:color="auto" w:fill="003445"/>
          </w:tcPr>
          <w:p>
            <w:pPr>
              <w:jc w:val="center"/>
              <w:ind w:left="1"/>
              <w:spacing w:after="0"/>
              <w:rPr>
                <w:sz w:val="20"/>
                <w:szCs w:val="20"/>
                <w:color w:val="auto"/>
              </w:rPr>
            </w:pPr>
            <w:r>
              <w:rPr>
                <w:rFonts w:ascii="Arial" w:cs="Arial" w:eastAsia="Arial" w:hAnsi="Arial"/>
                <w:sz w:val="16"/>
                <w:szCs w:val="16"/>
                <w:b w:val="1"/>
                <w:bCs w:val="1"/>
                <w:color w:val="FFFFFF"/>
              </w:rPr>
              <w:t>awards - value</w:t>
            </w:r>
          </w:p>
        </w:tc>
        <w:tc>
          <w:tcPr>
            <w:tcW w:w="224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6"/>
                <w:szCs w:val="16"/>
                <w:b w:val="1"/>
                <w:bCs w:val="1"/>
                <w:color w:val="FFFFFF"/>
                <w:w w:val="99"/>
              </w:rPr>
              <w:t>awards - value</w:t>
            </w:r>
          </w:p>
        </w:tc>
        <w:tc>
          <w:tcPr>
            <w:tcW w:w="244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6"/>
                <w:szCs w:val="16"/>
                <w:b w:val="1"/>
                <w:bCs w:val="1"/>
                <w:color w:val="FFFFFF"/>
                <w:w w:val="97"/>
              </w:rPr>
              <w:t>plan compensation -</w:t>
            </w:r>
          </w:p>
        </w:tc>
        <w:tc>
          <w:tcPr>
            <w:tcW w:w="0" w:type="dxa"/>
            <w:vAlign w:val="bottom"/>
          </w:tcPr>
          <w:p>
            <w:pPr>
              <w:spacing w:after="0"/>
              <w:rPr>
                <w:sz w:val="1"/>
                <w:szCs w:val="1"/>
                <w:color w:val="auto"/>
              </w:rPr>
            </w:pPr>
          </w:p>
        </w:tc>
      </w:tr>
      <w:tr>
        <w:trPr>
          <w:trHeight w:val="183"/>
        </w:trPr>
        <w:tc>
          <w:tcPr>
            <w:tcW w:w="4300" w:type="dxa"/>
            <w:vAlign w:val="bottom"/>
            <w:tcBorders>
              <w:left w:val="single" w:sz="8" w:color="auto"/>
              <w:right w:val="single" w:sz="8" w:color="auto"/>
            </w:tcBorders>
            <w:shd w:val="clear" w:color="auto" w:fill="003445"/>
          </w:tcPr>
          <w:p>
            <w:pPr>
              <w:spacing w:after="0"/>
              <w:rPr>
                <w:sz w:val="15"/>
                <w:szCs w:val="15"/>
                <w:color w:val="auto"/>
              </w:rPr>
            </w:pPr>
          </w:p>
        </w:tc>
        <w:tc>
          <w:tcPr>
            <w:tcW w:w="1720" w:type="dxa"/>
            <w:vAlign w:val="bottom"/>
            <w:tcBorders>
              <w:right w:val="single" w:sz="8" w:color="auto"/>
            </w:tcBorders>
            <w:shd w:val="clear" w:color="auto" w:fill="003445"/>
          </w:tcPr>
          <w:p>
            <w:pPr>
              <w:jc w:val="center"/>
              <w:ind w:left="1"/>
              <w:spacing w:after="0"/>
              <w:rPr>
                <w:sz w:val="20"/>
                <w:szCs w:val="20"/>
                <w:color w:val="auto"/>
              </w:rPr>
            </w:pPr>
            <w:r>
              <w:rPr>
                <w:rFonts w:ascii="Arial" w:cs="Arial" w:eastAsia="Arial" w:hAnsi="Arial"/>
                <w:sz w:val="16"/>
                <w:szCs w:val="16"/>
                <w:b w:val="1"/>
                <w:bCs w:val="1"/>
                <w:color w:val="FFFFFF"/>
                <w:w w:val="99"/>
              </w:rPr>
              <w:t>vested during</w:t>
            </w:r>
          </w:p>
        </w:tc>
        <w:tc>
          <w:tcPr>
            <w:tcW w:w="2240" w:type="dxa"/>
            <w:vAlign w:val="bottom"/>
            <w:tcBorders>
              <w:right w:val="single" w:sz="8" w:color="auto"/>
            </w:tcBorders>
            <w:shd w:val="clear" w:color="auto" w:fill="003445"/>
          </w:tcPr>
          <w:p>
            <w:pPr>
              <w:jc w:val="center"/>
              <w:ind w:left="1"/>
              <w:spacing w:after="0"/>
              <w:rPr>
                <w:sz w:val="20"/>
                <w:szCs w:val="20"/>
                <w:color w:val="auto"/>
              </w:rPr>
            </w:pPr>
            <w:r>
              <w:rPr>
                <w:rFonts w:ascii="Arial" w:cs="Arial" w:eastAsia="Arial" w:hAnsi="Arial"/>
                <w:sz w:val="16"/>
                <w:szCs w:val="16"/>
                <w:b w:val="1"/>
                <w:bCs w:val="1"/>
                <w:color w:val="FFFFFF"/>
                <w:w w:val="98"/>
              </w:rPr>
              <w:t>vested during Fiscal</w:t>
            </w:r>
          </w:p>
        </w:tc>
        <w:tc>
          <w:tcPr>
            <w:tcW w:w="244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6"/>
                <w:szCs w:val="16"/>
                <w:b w:val="1"/>
                <w:bCs w:val="1"/>
                <w:color w:val="FFFFFF"/>
                <w:w w:val="97"/>
              </w:rPr>
              <w:t>value earned during</w:t>
            </w:r>
          </w:p>
        </w:tc>
        <w:tc>
          <w:tcPr>
            <w:tcW w:w="0" w:type="dxa"/>
            <w:vAlign w:val="bottom"/>
          </w:tcPr>
          <w:p>
            <w:pPr>
              <w:spacing w:after="0"/>
              <w:rPr>
                <w:sz w:val="1"/>
                <w:szCs w:val="1"/>
                <w:color w:val="auto"/>
              </w:rPr>
            </w:pPr>
          </w:p>
        </w:tc>
      </w:tr>
      <w:tr>
        <w:trPr>
          <w:trHeight w:val="263"/>
        </w:trPr>
        <w:tc>
          <w:tcPr>
            <w:tcW w:w="4300" w:type="dxa"/>
            <w:vAlign w:val="bottom"/>
            <w:tcBorders>
              <w:left w:val="single" w:sz="8" w:color="auto"/>
              <w:bottom w:val="single" w:sz="8" w:color="auto"/>
              <w:right w:val="single" w:sz="8" w:color="auto"/>
            </w:tcBorders>
            <w:shd w:val="clear" w:color="auto" w:fill="003445"/>
          </w:tcPr>
          <w:p>
            <w:pPr>
              <w:ind w:left="2000"/>
              <w:spacing w:after="0"/>
              <w:rPr>
                <w:sz w:val="20"/>
                <w:szCs w:val="20"/>
                <w:color w:val="auto"/>
              </w:rPr>
            </w:pPr>
            <w:r>
              <w:rPr>
                <w:rFonts w:ascii="Arial" w:cs="Arial" w:eastAsia="Arial" w:hAnsi="Arial"/>
                <w:sz w:val="16"/>
                <w:szCs w:val="16"/>
                <w:b w:val="1"/>
                <w:bCs w:val="1"/>
                <w:color w:val="FFFFFF"/>
              </w:rPr>
              <w:t>Name</w:t>
            </w:r>
          </w:p>
        </w:tc>
        <w:tc>
          <w:tcPr>
            <w:tcW w:w="1720" w:type="dxa"/>
            <w:vAlign w:val="bottom"/>
            <w:tcBorders>
              <w:bottom w:val="single" w:sz="8" w:color="auto"/>
              <w:right w:val="single" w:sz="8" w:color="auto"/>
            </w:tcBorders>
            <w:shd w:val="clear" w:color="auto" w:fill="003445"/>
          </w:tcPr>
          <w:p>
            <w:pPr>
              <w:jc w:val="center"/>
              <w:ind w:left="1"/>
              <w:spacing w:after="0"/>
              <w:rPr>
                <w:sz w:val="20"/>
                <w:szCs w:val="20"/>
                <w:color w:val="auto"/>
              </w:rPr>
            </w:pPr>
            <w:r>
              <w:rPr>
                <w:rFonts w:ascii="Arial" w:cs="Arial" w:eastAsia="Arial" w:hAnsi="Arial"/>
                <w:sz w:val="16"/>
                <w:szCs w:val="16"/>
                <w:b w:val="1"/>
                <w:bCs w:val="1"/>
                <w:color w:val="FFFFFF"/>
                <w:w w:val="98"/>
              </w:rPr>
              <w:t>Fiscal 2025</w:t>
            </w:r>
          </w:p>
        </w:tc>
        <w:tc>
          <w:tcPr>
            <w:tcW w:w="2240" w:type="dxa"/>
            <w:vAlign w:val="bottom"/>
            <w:tcBorders>
              <w:bottom w:val="single" w:sz="8" w:color="auto"/>
              <w:right w:val="single" w:sz="8" w:color="auto"/>
            </w:tcBorders>
            <w:shd w:val="clear" w:color="auto" w:fill="003445"/>
          </w:tcPr>
          <w:p>
            <w:pPr>
              <w:jc w:val="center"/>
              <w:spacing w:after="0" w:line="263" w:lineRule="exact"/>
              <w:rPr>
                <w:sz w:val="20"/>
                <w:szCs w:val="20"/>
                <w:color w:val="auto"/>
              </w:rPr>
            </w:pPr>
            <w:r>
              <w:rPr>
                <w:rFonts w:ascii="Arial" w:cs="Arial" w:eastAsia="Arial" w:hAnsi="Arial"/>
                <w:sz w:val="16"/>
                <w:szCs w:val="16"/>
                <w:b w:val="1"/>
                <w:bCs w:val="1"/>
                <w:color w:val="FFFFFF"/>
                <w:w w:val="91"/>
              </w:rPr>
              <w:t>2025</w:t>
            </w:r>
            <w:r>
              <w:rPr>
                <w:rFonts w:ascii="Arial" w:cs="Arial" w:eastAsia="Arial" w:hAnsi="Arial"/>
                <w:sz w:val="23"/>
                <w:szCs w:val="23"/>
                <w:b w:val="1"/>
                <w:bCs w:val="1"/>
                <w:color w:val="FFFFFF"/>
                <w:w w:val="91"/>
                <w:vertAlign w:val="superscript"/>
              </w:rPr>
              <w:t>(1)</w:t>
            </w:r>
          </w:p>
        </w:tc>
        <w:tc>
          <w:tcPr>
            <w:tcW w:w="2440" w:type="dxa"/>
            <w:vAlign w:val="bottom"/>
            <w:tcBorders>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6"/>
                <w:szCs w:val="16"/>
                <w:b w:val="1"/>
                <w:bCs w:val="1"/>
                <w:color w:val="FFFFFF"/>
                <w:w w:val="98"/>
              </w:rPr>
              <w:t>Fiscal 2025</w:t>
            </w: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Mary Anne Bueschkens</w:t>
            </w:r>
          </w:p>
        </w:tc>
        <w:tc>
          <w:tcPr>
            <w:tcW w:w="172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Director and Chair of the Nominating and Governance</w:t>
            </w:r>
          </w:p>
        </w:tc>
        <w:tc>
          <w:tcPr>
            <w:tcW w:w="1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$260,957</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6"/>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Committee</w:t>
            </w:r>
          </w:p>
        </w:tc>
        <w:tc>
          <w:tcPr>
            <w:tcW w:w="172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Sean Donnelly</w:t>
            </w:r>
          </w:p>
        </w:tc>
        <w:tc>
          <w:tcPr>
            <w:tcW w:w="1720" w:type="dxa"/>
            <w:vAlign w:val="bottom"/>
            <w:tcBorders>
              <w:right w:val="single" w:sz="8" w:color="auto"/>
            </w:tcBorders>
            <w:vMerge w:val="restart"/>
          </w:tcPr>
          <w:p>
            <w:pPr>
              <w:jc w:val="center"/>
              <w:ind w:left="1"/>
              <w:spacing w:after="0"/>
              <w:rPr>
                <w:sz w:val="20"/>
                <w:szCs w:val="20"/>
                <w:color w:val="auto"/>
              </w:rPr>
            </w:pPr>
            <w:r>
              <w:rPr>
                <w:rFonts w:ascii="Arial" w:cs="Arial" w:eastAsia="Arial" w:hAnsi="Arial"/>
                <w:sz w:val="16"/>
                <w:szCs w:val="16"/>
                <w:color w:val="auto"/>
                <w:w w:val="89"/>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$226,224</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15"/>
        </w:trPr>
        <w:tc>
          <w:tcPr>
            <w:tcW w:w="43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i w:val="1"/>
                <w:iCs w:val="1"/>
                <w:color w:val="auto"/>
              </w:rPr>
              <w:t>Director</w:t>
            </w:r>
          </w:p>
        </w:tc>
        <w:tc>
          <w:tcPr>
            <w:tcW w:w="172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300" w:type="dxa"/>
            <w:vAlign w:val="bottom"/>
            <w:tcBorders>
              <w:left w:val="single" w:sz="8" w:color="auto"/>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James Gouin</w:t>
            </w:r>
          </w:p>
        </w:tc>
        <w:tc>
          <w:tcPr>
            <w:tcW w:w="172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Director and Chair of the Audit &amp; Risk Management</w:t>
            </w:r>
          </w:p>
        </w:tc>
        <w:tc>
          <w:tcPr>
            <w:tcW w:w="1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$258,499</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6"/>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Committee</w:t>
            </w:r>
          </w:p>
        </w:tc>
        <w:tc>
          <w:tcPr>
            <w:tcW w:w="172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Andy Harshaw</w:t>
            </w:r>
          </w:p>
        </w:tc>
        <w:tc>
          <w:tcPr>
            <w:tcW w:w="172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Director and Chair of the Board and the Operations and</w:t>
            </w:r>
          </w:p>
        </w:tc>
        <w:tc>
          <w:tcPr>
            <w:tcW w:w="1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$407,952</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6"/>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Capital Projects Committee</w:t>
            </w:r>
          </w:p>
        </w:tc>
        <w:tc>
          <w:tcPr>
            <w:tcW w:w="172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ind w:left="160"/>
              <w:spacing w:after="0" w:line="203" w:lineRule="exact"/>
              <w:rPr>
                <w:sz w:val="20"/>
                <w:szCs w:val="20"/>
                <w:color w:val="auto"/>
              </w:rPr>
            </w:pPr>
            <w:r>
              <w:rPr>
                <w:rFonts w:ascii="Arial" w:cs="Arial" w:eastAsia="Arial" w:hAnsi="Arial"/>
                <w:sz w:val="16"/>
                <w:szCs w:val="16"/>
                <w:b w:val="1"/>
                <w:bCs w:val="1"/>
                <w:color w:val="auto"/>
              </w:rPr>
              <w:t>Ave Lethbridge</w:t>
            </w:r>
            <w:r>
              <w:rPr>
                <w:rFonts w:ascii="Arial" w:cs="Arial" w:eastAsia="Arial" w:hAnsi="Arial"/>
                <w:sz w:val="23"/>
                <w:szCs w:val="23"/>
                <w:b w:val="1"/>
                <w:bCs w:val="1"/>
                <w:color w:val="auto"/>
                <w:vertAlign w:val="superscript"/>
              </w:rPr>
              <w:t>(4)</w:t>
            </w:r>
          </w:p>
        </w:tc>
        <w:tc>
          <w:tcPr>
            <w:tcW w:w="1720" w:type="dxa"/>
            <w:vAlign w:val="bottom"/>
            <w:tcBorders>
              <w:right w:val="single" w:sz="8" w:color="auto"/>
            </w:tcBorders>
            <w:vMerge w:val="restart"/>
          </w:tcPr>
          <w:p>
            <w:pPr>
              <w:jc w:val="center"/>
              <w:ind w:left="1"/>
              <w:spacing w:after="0"/>
              <w:rPr>
                <w:sz w:val="20"/>
                <w:szCs w:val="20"/>
                <w:color w:val="auto"/>
              </w:rPr>
            </w:pPr>
            <w:r>
              <w:rPr>
                <w:rFonts w:ascii="Arial" w:cs="Arial" w:eastAsia="Arial" w:hAnsi="Arial"/>
                <w:sz w:val="16"/>
                <w:szCs w:val="16"/>
                <w:color w:val="auto"/>
                <w:w w:val="89"/>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$117,134</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15"/>
        </w:trPr>
        <w:tc>
          <w:tcPr>
            <w:tcW w:w="43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i w:val="1"/>
                <w:iCs w:val="1"/>
                <w:color w:val="auto"/>
              </w:rPr>
              <w:t>Former Director</w:t>
            </w:r>
          </w:p>
        </w:tc>
        <w:tc>
          <w:tcPr>
            <w:tcW w:w="172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300" w:type="dxa"/>
            <w:vAlign w:val="bottom"/>
            <w:tcBorders>
              <w:left w:val="single" w:sz="8" w:color="auto"/>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Sanjay Nakra</w:t>
            </w:r>
          </w:p>
        </w:tc>
        <w:tc>
          <w:tcPr>
            <w:tcW w:w="1720" w:type="dxa"/>
            <w:vAlign w:val="bottom"/>
            <w:tcBorders>
              <w:right w:val="single" w:sz="8" w:color="auto"/>
            </w:tcBorders>
            <w:vMerge w:val="restart"/>
          </w:tcPr>
          <w:p>
            <w:pPr>
              <w:jc w:val="center"/>
              <w:ind w:left="1"/>
              <w:spacing w:after="0"/>
              <w:rPr>
                <w:sz w:val="20"/>
                <w:szCs w:val="20"/>
                <w:color w:val="auto"/>
              </w:rPr>
            </w:pPr>
            <w:r>
              <w:rPr>
                <w:rFonts w:ascii="Arial" w:cs="Arial" w:eastAsia="Arial" w:hAnsi="Arial"/>
                <w:sz w:val="16"/>
                <w:szCs w:val="16"/>
                <w:color w:val="auto"/>
                <w:w w:val="89"/>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$234,515</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15"/>
        </w:trPr>
        <w:tc>
          <w:tcPr>
            <w:tcW w:w="43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i w:val="1"/>
                <w:iCs w:val="1"/>
                <w:color w:val="auto"/>
              </w:rPr>
              <w:t>Director</w:t>
            </w:r>
          </w:p>
        </w:tc>
        <w:tc>
          <w:tcPr>
            <w:tcW w:w="172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300" w:type="dxa"/>
            <w:vAlign w:val="bottom"/>
            <w:tcBorders>
              <w:left w:val="single" w:sz="8" w:color="auto"/>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Melinda J. Newman</w:t>
            </w:r>
          </w:p>
        </w:tc>
        <w:tc>
          <w:tcPr>
            <w:tcW w:w="1720" w:type="dxa"/>
            <w:vAlign w:val="bottom"/>
            <w:tcBorders>
              <w:right w:val="single" w:sz="8" w:color="auto"/>
            </w:tcBorders>
            <w:vMerge w:val="restart"/>
          </w:tcPr>
          <w:p>
            <w:pPr>
              <w:jc w:val="center"/>
              <w:ind w:left="1"/>
              <w:spacing w:after="0"/>
              <w:rPr>
                <w:sz w:val="20"/>
                <w:szCs w:val="20"/>
                <w:color w:val="auto"/>
              </w:rPr>
            </w:pPr>
            <w:r>
              <w:rPr>
                <w:rFonts w:ascii="Arial" w:cs="Arial" w:eastAsia="Arial" w:hAnsi="Arial"/>
                <w:sz w:val="16"/>
                <w:szCs w:val="16"/>
                <w:color w:val="auto"/>
                <w:w w:val="89"/>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$152,546</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15"/>
        </w:trPr>
        <w:tc>
          <w:tcPr>
            <w:tcW w:w="43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i w:val="1"/>
                <w:iCs w:val="1"/>
                <w:color w:val="auto"/>
              </w:rPr>
              <w:t>Director</w:t>
            </w:r>
          </w:p>
        </w:tc>
        <w:tc>
          <w:tcPr>
            <w:tcW w:w="172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300" w:type="dxa"/>
            <w:vAlign w:val="bottom"/>
            <w:tcBorders>
              <w:left w:val="single" w:sz="8" w:color="auto"/>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ind w:left="160"/>
              <w:spacing w:after="0" w:line="203" w:lineRule="exact"/>
              <w:rPr>
                <w:sz w:val="20"/>
                <w:szCs w:val="20"/>
                <w:color w:val="auto"/>
              </w:rPr>
            </w:pPr>
            <w:r>
              <w:rPr>
                <w:rFonts w:ascii="Arial" w:cs="Arial" w:eastAsia="Arial" w:hAnsi="Arial"/>
                <w:sz w:val="16"/>
                <w:szCs w:val="16"/>
                <w:b w:val="1"/>
                <w:bCs w:val="1"/>
                <w:color w:val="auto"/>
              </w:rPr>
              <w:t>Eric S. Rosenfeld</w:t>
            </w:r>
            <w:r>
              <w:rPr>
                <w:rFonts w:ascii="Arial" w:cs="Arial" w:eastAsia="Arial" w:hAnsi="Arial"/>
                <w:sz w:val="23"/>
                <w:szCs w:val="23"/>
                <w:b w:val="1"/>
                <w:bCs w:val="1"/>
                <w:color w:val="auto"/>
                <w:vertAlign w:val="superscript"/>
              </w:rPr>
              <w:t>(2)</w:t>
            </w:r>
          </w:p>
        </w:tc>
        <w:tc>
          <w:tcPr>
            <w:tcW w:w="172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Director and Chair of Human Resources and</w:t>
            </w:r>
          </w:p>
        </w:tc>
        <w:tc>
          <w:tcPr>
            <w:tcW w:w="1720" w:type="dxa"/>
            <w:vAlign w:val="bottom"/>
            <w:tcBorders>
              <w:right w:val="single" w:sz="8" w:color="auto"/>
            </w:tcBorders>
          </w:tcPr>
          <w:p>
            <w:pPr>
              <w:jc w:val="center"/>
              <w:ind w:left="1"/>
              <w:spacing w:after="0"/>
              <w:rPr>
                <w:sz w:val="20"/>
                <w:szCs w:val="20"/>
                <w:color w:val="auto"/>
              </w:rPr>
            </w:pPr>
            <w:r>
              <w:rPr>
                <w:rFonts w:ascii="Arial" w:cs="Arial" w:eastAsia="Arial" w:hAnsi="Arial"/>
                <w:sz w:val="16"/>
                <w:szCs w:val="16"/>
                <w:color w:val="auto"/>
                <w:w w:val="89"/>
              </w:rPr>
              <w:t>–</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$322,417</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206"/>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Compensation Committee</w:t>
            </w:r>
          </w:p>
        </w:tc>
        <w:tc>
          <w:tcPr>
            <w:tcW w:w="172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Gale Rubenstein</w:t>
            </w:r>
          </w:p>
        </w:tc>
        <w:tc>
          <w:tcPr>
            <w:tcW w:w="1720" w:type="dxa"/>
            <w:vAlign w:val="bottom"/>
            <w:tcBorders>
              <w:right w:val="single" w:sz="8" w:color="auto"/>
            </w:tcBorders>
            <w:vMerge w:val="restart"/>
          </w:tcPr>
          <w:p>
            <w:pPr>
              <w:jc w:val="center"/>
              <w:ind w:left="1"/>
              <w:spacing w:after="0"/>
              <w:rPr>
                <w:sz w:val="20"/>
                <w:szCs w:val="20"/>
                <w:color w:val="auto"/>
              </w:rPr>
            </w:pPr>
            <w:r>
              <w:rPr>
                <w:rFonts w:ascii="Arial" w:cs="Arial" w:eastAsia="Arial" w:hAnsi="Arial"/>
                <w:sz w:val="16"/>
                <w:szCs w:val="16"/>
                <w:color w:val="auto"/>
                <w:w w:val="89"/>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$239,344</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15"/>
        </w:trPr>
        <w:tc>
          <w:tcPr>
            <w:tcW w:w="43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i w:val="1"/>
                <w:iCs w:val="1"/>
                <w:color w:val="auto"/>
              </w:rPr>
              <w:t>Director</w:t>
            </w:r>
          </w:p>
        </w:tc>
        <w:tc>
          <w:tcPr>
            <w:tcW w:w="172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300" w:type="dxa"/>
            <w:vAlign w:val="bottom"/>
            <w:tcBorders>
              <w:left w:val="single" w:sz="8" w:color="auto"/>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4300" w:type="dxa"/>
            <w:vAlign w:val="bottom"/>
            <w:tcBorders>
              <w:left w:val="single" w:sz="8" w:color="auto"/>
              <w:right w:val="single" w:sz="8" w:color="auto"/>
            </w:tcBorders>
          </w:tcPr>
          <w:p>
            <w:pPr>
              <w:ind w:left="160"/>
              <w:spacing w:after="0" w:line="203" w:lineRule="exact"/>
              <w:rPr>
                <w:sz w:val="20"/>
                <w:szCs w:val="20"/>
                <w:color w:val="auto"/>
              </w:rPr>
            </w:pPr>
            <w:r>
              <w:rPr>
                <w:rFonts w:ascii="Arial" w:cs="Arial" w:eastAsia="Arial" w:hAnsi="Arial"/>
                <w:sz w:val="16"/>
                <w:szCs w:val="16"/>
                <w:b w:val="1"/>
                <w:bCs w:val="1"/>
                <w:color w:val="auto"/>
              </w:rPr>
              <w:t>David D. Sgro</w:t>
            </w:r>
            <w:r>
              <w:rPr>
                <w:rFonts w:ascii="Arial" w:cs="Arial" w:eastAsia="Arial" w:hAnsi="Arial"/>
                <w:sz w:val="23"/>
                <w:szCs w:val="23"/>
                <w:b w:val="1"/>
                <w:bCs w:val="1"/>
                <w:color w:val="auto"/>
                <w:vertAlign w:val="superscript"/>
              </w:rPr>
              <w:t>(2)(5)</w:t>
            </w:r>
          </w:p>
        </w:tc>
        <w:tc>
          <w:tcPr>
            <w:tcW w:w="1720" w:type="dxa"/>
            <w:vAlign w:val="bottom"/>
            <w:tcBorders>
              <w:right w:val="single" w:sz="8" w:color="auto"/>
            </w:tcBorders>
            <w:vMerge w:val="restart"/>
          </w:tcPr>
          <w:p>
            <w:pPr>
              <w:jc w:val="center"/>
              <w:ind w:left="1"/>
              <w:spacing w:after="0"/>
              <w:rPr>
                <w:sz w:val="20"/>
                <w:szCs w:val="20"/>
                <w:color w:val="auto"/>
              </w:rPr>
            </w:pPr>
            <w:r>
              <w:rPr>
                <w:rFonts w:ascii="Arial" w:cs="Arial" w:eastAsia="Arial" w:hAnsi="Arial"/>
                <w:sz w:val="16"/>
                <w:szCs w:val="16"/>
                <w:color w:val="auto"/>
                <w:w w:val="89"/>
              </w:rPr>
              <w:t>–</w:t>
            </w:r>
          </w:p>
        </w:tc>
        <w:tc>
          <w:tcPr>
            <w:tcW w:w="2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$171,067</w:t>
            </w:r>
          </w:p>
        </w:tc>
        <w:tc>
          <w:tcPr>
            <w:tcW w:w="2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15"/>
        </w:trPr>
        <w:tc>
          <w:tcPr>
            <w:tcW w:w="430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i w:val="1"/>
                <w:iCs w:val="1"/>
                <w:color w:val="auto"/>
              </w:rPr>
              <w:t>Former Director</w:t>
            </w:r>
          </w:p>
        </w:tc>
        <w:tc>
          <w:tcPr>
            <w:tcW w:w="1720" w:type="dxa"/>
            <w:vAlign w:val="bottom"/>
            <w:tcBorders>
              <w:right w:val="single" w:sz="8" w:color="auto"/>
            </w:tcBorders>
            <w:vMerge w:val="continue"/>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2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4300" w:type="dxa"/>
            <w:vAlign w:val="bottom"/>
            <w:tcBorders>
              <w:left w:val="single" w:sz="8" w:color="auto"/>
              <w:right w:val="single" w:sz="8" w:color="auto"/>
            </w:tcBorders>
            <w:vMerge w:val="continue"/>
          </w:tcPr>
          <w:p>
            <w:pPr>
              <w:spacing w:after="0"/>
              <w:rPr>
                <w:sz w:val="7"/>
                <w:szCs w:val="7"/>
                <w:color w:val="auto"/>
              </w:rPr>
            </w:pPr>
          </w:p>
        </w:tc>
        <w:tc>
          <w:tcPr>
            <w:tcW w:w="1720" w:type="dxa"/>
            <w:vAlign w:val="bottom"/>
            <w:tcBorders>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2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4300" w:type="dxa"/>
            <w:vAlign w:val="bottom"/>
            <w:tcBorders>
              <w:left w:val="single" w:sz="8" w:color="auto"/>
              <w:bottom w:val="single" w:sz="8" w:color="auto"/>
              <w:right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2240" w:type="dxa"/>
            <w:vAlign w:val="bottom"/>
            <w:tcBorders>
              <w:bottom w:val="single" w:sz="8" w:color="auto"/>
              <w:right w:val="single" w:sz="8" w:color="auto"/>
            </w:tcBorders>
          </w:tcPr>
          <w:p>
            <w:pPr>
              <w:spacing w:after="0"/>
              <w:rPr>
                <w:sz w:val="3"/>
                <w:szCs w:val="3"/>
                <w:color w:val="auto"/>
              </w:rPr>
            </w:pPr>
          </w:p>
        </w:tc>
        <w:tc>
          <w:tcPr>
            <w:tcW w:w="2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22237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jc w:val="both"/>
        <w:ind w:left="520" w:right="20" w:hanging="415"/>
        <w:spacing w:after="0" w:line="257" w:lineRule="auto"/>
        <w:tabs>
          <w:tab w:leader="none" w:pos="520" w:val="left"/>
        </w:tabs>
        <w:numPr>
          <w:ilvl w:val="0"/>
          <w:numId w:val="51"/>
        </w:numPr>
        <w:rPr>
          <w:rFonts w:ascii="Arial" w:cs="Arial" w:eastAsia="Arial" w:hAnsi="Arial"/>
          <w:sz w:val="15"/>
          <w:szCs w:val="15"/>
          <w:i w:val="1"/>
          <w:iCs w:val="1"/>
          <w:color w:val="003445"/>
        </w:rPr>
      </w:pPr>
      <w:r>
        <w:rPr>
          <w:rFonts w:ascii="Arial" w:cs="Arial" w:eastAsia="Arial" w:hAnsi="Arial"/>
          <w:sz w:val="15"/>
          <w:szCs w:val="15"/>
          <w:i w:val="1"/>
          <w:iCs w:val="1"/>
          <w:color w:val="003445"/>
        </w:rPr>
        <w:t>The grant date fair value of the DSUs has been calculated in accordance with the Omnibus Incentive Plan, as the number of DSUs granted times the Market Price on the date on which value was determined for the grant. The dividend equivalent DSUs have been calculated in accordance with the Omnibus Incentive Plan, by multiplying the amount of the quarterly dividend paid on the Shares by the number of DSUs held by the Director on the record date for such dividend and dividing such amount by the Market Price at the close of the first business day immediately following the dividend record date, with fractions computed to three decimal places. The VWAP for purposes of calculating dividend equivalents was as follows: April 10, 2025 - $9.0244 (US$6.2978); May 30, 2025 - $8.3220 (US$5.9575). Dividends were suspended for Q2 and subsequent quarters in Fiscal 2025. The total value of dividend equivalents earned by Directors in Fiscal 2025 for share-based awards was C$82,030.</w:t>
      </w:r>
    </w:p>
    <w:p>
      <w:pPr>
        <w:spacing w:after="0" w:line="4" w:lineRule="exact"/>
        <w:rPr>
          <w:rFonts w:ascii="Arial" w:cs="Arial" w:eastAsia="Arial" w:hAnsi="Arial"/>
          <w:sz w:val="15"/>
          <w:szCs w:val="15"/>
          <w:i w:val="1"/>
          <w:iCs w:val="1"/>
          <w:color w:val="003445"/>
        </w:rPr>
      </w:pPr>
    </w:p>
    <w:p>
      <w:pPr>
        <w:ind w:left="520" w:right="20" w:hanging="415"/>
        <w:spacing w:after="0" w:line="239" w:lineRule="auto"/>
        <w:tabs>
          <w:tab w:leader="none" w:pos="520" w:val="left"/>
        </w:tabs>
        <w:numPr>
          <w:ilvl w:val="0"/>
          <w:numId w:val="51"/>
        </w:numPr>
        <w:rPr>
          <w:rFonts w:ascii="Arial" w:cs="Arial" w:eastAsia="Arial" w:hAnsi="Arial"/>
          <w:sz w:val="16"/>
          <w:szCs w:val="16"/>
          <w:i w:val="1"/>
          <w:iCs w:val="1"/>
          <w:color w:val="003445"/>
        </w:rPr>
      </w:pPr>
      <w:r>
        <w:rPr>
          <w:rFonts w:ascii="Arial" w:cs="Arial" w:eastAsia="Arial" w:hAnsi="Arial"/>
          <w:sz w:val="16"/>
          <w:szCs w:val="16"/>
          <w:i w:val="1"/>
          <w:iCs w:val="1"/>
          <w:color w:val="003445"/>
        </w:rPr>
        <w:t>Mr. Sgro was the Chair of the Human Resources and Compensation Committee until September 30, 2025. Mr. Rosenfeld became the Chair of the Human Resources and Compensation Committee on October 1, 2025.</w:t>
      </w:r>
    </w:p>
    <w:p>
      <w:pPr>
        <w:ind w:left="520" w:hanging="415"/>
        <w:spacing w:after="0"/>
        <w:tabs>
          <w:tab w:leader="none" w:pos="520" w:val="left"/>
        </w:tabs>
        <w:numPr>
          <w:ilvl w:val="0"/>
          <w:numId w:val="51"/>
        </w:numPr>
        <w:rPr>
          <w:rFonts w:ascii="Arial" w:cs="Arial" w:eastAsia="Arial" w:hAnsi="Arial"/>
          <w:sz w:val="16"/>
          <w:szCs w:val="16"/>
          <w:i w:val="1"/>
          <w:iCs w:val="1"/>
          <w:color w:val="003445"/>
        </w:rPr>
      </w:pPr>
      <w:r>
        <w:rPr>
          <w:rFonts w:ascii="Arial" w:cs="Arial" w:eastAsia="Arial" w:hAnsi="Arial"/>
          <w:sz w:val="16"/>
          <w:szCs w:val="16"/>
          <w:i w:val="1"/>
          <w:iCs w:val="1"/>
          <w:color w:val="003445"/>
        </w:rPr>
        <w:t>Mr. Garcia retired as a director on the board of the Company as of January 1, 2026.</w:t>
      </w:r>
    </w:p>
    <w:p>
      <w:pPr>
        <w:ind w:left="520" w:hanging="415"/>
        <w:spacing w:after="0"/>
        <w:tabs>
          <w:tab w:leader="none" w:pos="520" w:val="left"/>
        </w:tabs>
        <w:numPr>
          <w:ilvl w:val="0"/>
          <w:numId w:val="51"/>
        </w:numPr>
        <w:rPr>
          <w:rFonts w:ascii="Arial" w:cs="Arial" w:eastAsia="Arial" w:hAnsi="Arial"/>
          <w:sz w:val="16"/>
          <w:szCs w:val="16"/>
          <w:i w:val="1"/>
          <w:iCs w:val="1"/>
          <w:color w:val="003445"/>
        </w:rPr>
      </w:pPr>
      <w:r>
        <w:rPr>
          <w:rFonts w:ascii="Arial" w:cs="Arial" w:eastAsia="Arial" w:hAnsi="Arial"/>
          <w:sz w:val="16"/>
          <w:szCs w:val="16"/>
          <w:i w:val="1"/>
          <w:iCs w:val="1"/>
          <w:color w:val="003445"/>
        </w:rPr>
        <w:t>Ms. Lethbridge resigned from the Board of Directors effective June 24, 2025.</w:t>
      </w:r>
    </w:p>
    <w:p>
      <w:pPr>
        <w:ind w:left="520" w:hanging="415"/>
        <w:spacing w:after="0"/>
        <w:tabs>
          <w:tab w:leader="none" w:pos="520" w:val="left"/>
        </w:tabs>
        <w:numPr>
          <w:ilvl w:val="0"/>
          <w:numId w:val="51"/>
        </w:numPr>
        <w:rPr>
          <w:rFonts w:ascii="Arial" w:cs="Arial" w:eastAsia="Arial" w:hAnsi="Arial"/>
          <w:sz w:val="16"/>
          <w:szCs w:val="16"/>
          <w:i w:val="1"/>
          <w:iCs w:val="1"/>
          <w:color w:val="003445"/>
        </w:rPr>
      </w:pPr>
      <w:r>
        <w:rPr>
          <w:rFonts w:ascii="Arial" w:cs="Arial" w:eastAsia="Arial" w:hAnsi="Arial"/>
          <w:sz w:val="16"/>
          <w:szCs w:val="16"/>
          <w:i w:val="1"/>
          <w:iCs w:val="1"/>
          <w:color w:val="003445"/>
        </w:rPr>
        <w:t>Mr. Sgro resigned from the Board of Directors effective September 30, 2025.</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0700"/>
          </w:cols>
          <w:pgMar w:left="600" w:top="271" w:right="599" w:bottom="1440" w:gutter="0" w:footer="0" w:header="0"/>
        </w:sectPr>
      </w:pPr>
    </w:p>
    <w:bookmarkStart w:id="80" w:name="page81"/>
    <w:bookmarkEnd w:id="80"/>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Securities Authorized for Issuance Under Equity Compensation Plans</w:t>
      </w:r>
    </w:p>
    <w:p>
      <w:pPr>
        <w:spacing w:after="0" w:line="227"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The following table summarizes certain information as of December 31, 2025, regarding compensation plans of the Company under which equity securities are authorized for issuance.</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160" w:type="dxa"/>
            <w:vAlign w:val="bottom"/>
            <w:tcBorders>
              <w:top w:val="single" w:sz="8" w:color="auto"/>
              <w:left w:val="single" w:sz="8" w:color="auto"/>
              <w:right w:val="single" w:sz="8" w:color="auto"/>
            </w:tcBorders>
            <w:shd w:val="clear" w:color="auto" w:fill="003445"/>
          </w:tcPr>
          <w:p>
            <w:pPr>
              <w:spacing w:after="0"/>
              <w:rPr>
                <w:sz w:val="16"/>
                <w:szCs w:val="16"/>
                <w:color w:val="auto"/>
              </w:rPr>
            </w:pPr>
          </w:p>
        </w:tc>
        <w:tc>
          <w:tcPr>
            <w:tcW w:w="280" w:type="dxa"/>
            <w:vAlign w:val="bottom"/>
            <w:tcBorders>
              <w:top w:val="single" w:sz="8" w:color="auto"/>
            </w:tcBorders>
            <w:shd w:val="clear" w:color="auto" w:fill="003445"/>
          </w:tcPr>
          <w:p>
            <w:pPr>
              <w:spacing w:after="0"/>
              <w:rPr>
                <w:sz w:val="16"/>
                <w:szCs w:val="16"/>
                <w:color w:val="auto"/>
              </w:rPr>
            </w:pPr>
          </w:p>
        </w:tc>
        <w:tc>
          <w:tcPr>
            <w:tcW w:w="1540" w:type="dxa"/>
            <w:vAlign w:val="bottom"/>
            <w:tcBorders>
              <w:top w:val="single" w:sz="8" w:color="auto"/>
              <w:right w:val="single" w:sz="8" w:color="auto"/>
            </w:tcBorders>
            <w:shd w:val="clear" w:color="auto" w:fill="003445"/>
          </w:tcPr>
          <w:p>
            <w:pPr>
              <w:spacing w:after="0"/>
              <w:rPr>
                <w:sz w:val="16"/>
                <w:szCs w:val="16"/>
                <w:color w:val="auto"/>
              </w:rPr>
            </w:pPr>
          </w:p>
        </w:tc>
        <w:tc>
          <w:tcPr>
            <w:tcW w:w="1720" w:type="dxa"/>
            <w:vAlign w:val="bottom"/>
            <w:tcBorders>
              <w:top w:val="single" w:sz="8" w:color="auto"/>
              <w:right w:val="single" w:sz="8" w:color="auto"/>
            </w:tcBorders>
            <w:shd w:val="clear" w:color="auto" w:fill="003445"/>
          </w:tcPr>
          <w:p>
            <w:pPr>
              <w:spacing w:after="0"/>
              <w:rPr>
                <w:sz w:val="16"/>
                <w:szCs w:val="16"/>
                <w:color w:val="auto"/>
              </w:rPr>
            </w:pPr>
          </w:p>
        </w:tc>
        <w:tc>
          <w:tcPr>
            <w:tcW w:w="2000" w:type="dxa"/>
            <w:vAlign w:val="bottom"/>
            <w:tcBorders>
              <w:top w:val="single" w:sz="8" w:color="auto"/>
              <w:right w:val="single" w:sz="8" w:color="auto"/>
            </w:tcBorders>
            <w:shd w:val="clear" w:color="auto" w:fill="003445"/>
          </w:tcPr>
          <w:p>
            <w:pPr>
              <w:ind w:left="160"/>
              <w:spacing w:after="0"/>
              <w:rPr>
                <w:sz w:val="20"/>
                <w:szCs w:val="20"/>
                <w:color w:val="auto"/>
              </w:rPr>
            </w:pPr>
            <w:r>
              <w:rPr>
                <w:rFonts w:ascii="Arial" w:cs="Arial" w:eastAsia="Arial" w:hAnsi="Arial"/>
                <w:sz w:val="16"/>
                <w:szCs w:val="16"/>
                <w:b w:val="1"/>
                <w:bCs w:val="1"/>
                <w:color w:val="FFFFFF"/>
              </w:rPr>
              <w:t>  Number of securities</w:t>
            </w:r>
          </w:p>
        </w:tc>
        <w:tc>
          <w:tcPr>
            <w:tcW w:w="0" w:type="dxa"/>
            <w:vAlign w:val="bottom"/>
          </w:tcPr>
          <w:p>
            <w:pPr>
              <w:spacing w:after="0"/>
              <w:rPr>
                <w:sz w:val="1"/>
                <w:szCs w:val="1"/>
                <w:color w:val="auto"/>
              </w:rPr>
            </w:pPr>
          </w:p>
        </w:tc>
      </w:tr>
      <w:tr>
        <w:trPr>
          <w:trHeight w:val="183"/>
        </w:trPr>
        <w:tc>
          <w:tcPr>
            <w:tcW w:w="5160" w:type="dxa"/>
            <w:vAlign w:val="bottom"/>
            <w:tcBorders>
              <w:left w:val="single" w:sz="8" w:color="auto"/>
              <w:right w:val="single" w:sz="8" w:color="auto"/>
            </w:tcBorders>
            <w:shd w:val="clear" w:color="auto" w:fill="003445"/>
          </w:tcPr>
          <w:p>
            <w:pPr>
              <w:spacing w:after="0"/>
              <w:rPr>
                <w:sz w:val="15"/>
                <w:szCs w:val="15"/>
                <w:color w:val="auto"/>
              </w:rPr>
            </w:pPr>
          </w:p>
        </w:tc>
        <w:tc>
          <w:tcPr>
            <w:tcW w:w="280" w:type="dxa"/>
            <w:vAlign w:val="bottom"/>
            <w:shd w:val="clear" w:color="auto" w:fill="003445"/>
          </w:tcPr>
          <w:p>
            <w:pPr>
              <w:spacing w:after="0"/>
              <w:rPr>
                <w:sz w:val="15"/>
                <w:szCs w:val="15"/>
                <w:color w:val="auto"/>
              </w:rPr>
            </w:pPr>
          </w:p>
        </w:tc>
        <w:tc>
          <w:tcPr>
            <w:tcW w:w="1540" w:type="dxa"/>
            <w:vAlign w:val="bottom"/>
            <w:tcBorders>
              <w:right w:val="single" w:sz="8" w:color="auto"/>
            </w:tcBorders>
            <w:vMerge w:val="restart"/>
            <w:shd w:val="clear" w:color="auto" w:fill="003445"/>
          </w:tcPr>
          <w:p>
            <w:pPr>
              <w:jc w:val="center"/>
              <w:ind w:right="121"/>
              <w:spacing w:after="0"/>
              <w:rPr>
                <w:sz w:val="20"/>
                <w:szCs w:val="20"/>
                <w:color w:val="auto"/>
              </w:rPr>
            </w:pPr>
            <w:r>
              <w:rPr>
                <w:rFonts w:ascii="Arial" w:cs="Arial" w:eastAsia="Arial" w:hAnsi="Arial"/>
                <w:sz w:val="16"/>
                <w:szCs w:val="16"/>
                <w:b w:val="1"/>
                <w:bCs w:val="1"/>
                <w:color w:val="FFFFFF"/>
                <w:w w:val="97"/>
              </w:rPr>
              <w:t>Number of</w:t>
            </w:r>
          </w:p>
        </w:tc>
        <w:tc>
          <w:tcPr>
            <w:tcW w:w="1720" w:type="dxa"/>
            <w:vAlign w:val="bottom"/>
            <w:tcBorders>
              <w:right w:val="single" w:sz="8" w:color="auto"/>
            </w:tcBorders>
            <w:vMerge w:val="restart"/>
            <w:shd w:val="clear" w:color="auto" w:fill="003445"/>
          </w:tcPr>
          <w:p>
            <w:pPr>
              <w:jc w:val="center"/>
              <w:ind w:left="1"/>
              <w:spacing w:after="0"/>
              <w:rPr>
                <w:sz w:val="20"/>
                <w:szCs w:val="20"/>
                <w:color w:val="auto"/>
              </w:rPr>
            </w:pPr>
            <w:r>
              <w:rPr>
                <w:rFonts w:ascii="Arial" w:cs="Arial" w:eastAsia="Arial" w:hAnsi="Arial"/>
                <w:sz w:val="16"/>
                <w:szCs w:val="16"/>
                <w:b w:val="1"/>
                <w:bCs w:val="1"/>
                <w:color w:val="FFFFFF"/>
                <w:w w:val="98"/>
              </w:rPr>
              <w:t>Weighted-</w:t>
            </w:r>
          </w:p>
        </w:tc>
        <w:tc>
          <w:tcPr>
            <w:tcW w:w="2000" w:type="dxa"/>
            <w:vAlign w:val="bottom"/>
            <w:tcBorders>
              <w:right w:val="single" w:sz="8" w:color="auto"/>
            </w:tcBorders>
            <w:shd w:val="clear" w:color="auto" w:fill="003445"/>
          </w:tcPr>
          <w:p>
            <w:pPr>
              <w:jc w:val="center"/>
              <w:spacing w:after="0"/>
              <w:rPr>
                <w:sz w:val="20"/>
                <w:szCs w:val="20"/>
                <w:color w:val="auto"/>
              </w:rPr>
            </w:pPr>
            <w:r>
              <w:rPr>
                <w:rFonts w:ascii="Arial" w:cs="Arial" w:eastAsia="Arial" w:hAnsi="Arial"/>
                <w:sz w:val="16"/>
                <w:szCs w:val="16"/>
                <w:b w:val="1"/>
                <w:bCs w:val="1"/>
                <w:color w:val="FFFFFF"/>
                <w:w w:val="98"/>
              </w:rPr>
              <w:t>remaining available</w:t>
            </w:r>
          </w:p>
        </w:tc>
        <w:tc>
          <w:tcPr>
            <w:tcW w:w="0" w:type="dxa"/>
            <w:vAlign w:val="bottom"/>
          </w:tcPr>
          <w:p>
            <w:pPr>
              <w:spacing w:after="0"/>
              <w:rPr>
                <w:sz w:val="1"/>
                <w:szCs w:val="1"/>
                <w:color w:val="auto"/>
              </w:rPr>
            </w:pPr>
          </w:p>
        </w:tc>
      </w:tr>
      <w:tr>
        <w:trPr>
          <w:trHeight w:val="92"/>
        </w:trPr>
        <w:tc>
          <w:tcPr>
            <w:tcW w:w="5160" w:type="dxa"/>
            <w:vAlign w:val="bottom"/>
            <w:tcBorders>
              <w:left w:val="single" w:sz="8" w:color="auto"/>
              <w:right w:val="single" w:sz="8" w:color="auto"/>
            </w:tcBorders>
            <w:shd w:val="clear" w:color="auto" w:fill="003445"/>
          </w:tcPr>
          <w:p>
            <w:pPr>
              <w:spacing w:after="0"/>
              <w:rPr>
                <w:sz w:val="7"/>
                <w:szCs w:val="7"/>
                <w:color w:val="auto"/>
              </w:rPr>
            </w:pPr>
          </w:p>
        </w:tc>
        <w:tc>
          <w:tcPr>
            <w:tcW w:w="280" w:type="dxa"/>
            <w:vAlign w:val="bottom"/>
            <w:shd w:val="clear" w:color="auto" w:fill="003445"/>
          </w:tcPr>
          <w:p>
            <w:pPr>
              <w:spacing w:after="0"/>
              <w:rPr>
                <w:sz w:val="7"/>
                <w:szCs w:val="7"/>
                <w:color w:val="auto"/>
              </w:rPr>
            </w:pPr>
          </w:p>
        </w:tc>
        <w:tc>
          <w:tcPr>
            <w:tcW w:w="1540" w:type="dxa"/>
            <w:vAlign w:val="bottom"/>
            <w:tcBorders>
              <w:right w:val="single" w:sz="8" w:color="auto"/>
            </w:tcBorders>
            <w:vMerge w:val="continue"/>
            <w:shd w:val="clear" w:color="auto" w:fill="003445"/>
          </w:tcPr>
          <w:p>
            <w:pPr>
              <w:spacing w:after="0"/>
              <w:rPr>
                <w:sz w:val="7"/>
                <w:szCs w:val="7"/>
                <w:color w:val="auto"/>
              </w:rPr>
            </w:pPr>
          </w:p>
        </w:tc>
        <w:tc>
          <w:tcPr>
            <w:tcW w:w="1720" w:type="dxa"/>
            <w:vAlign w:val="bottom"/>
            <w:tcBorders>
              <w:right w:val="single" w:sz="8" w:color="auto"/>
            </w:tcBorders>
            <w:vMerge w:val="continue"/>
            <w:shd w:val="clear" w:color="auto" w:fill="003445"/>
          </w:tcPr>
          <w:p>
            <w:pPr>
              <w:spacing w:after="0"/>
              <w:rPr>
                <w:sz w:val="7"/>
                <w:szCs w:val="7"/>
                <w:color w:val="auto"/>
              </w:rPr>
            </w:pPr>
          </w:p>
        </w:tc>
        <w:tc>
          <w:tcPr>
            <w:tcW w:w="20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8"/>
              </w:rPr>
              <w:t>for future issuance</w:t>
            </w:r>
          </w:p>
        </w:tc>
        <w:tc>
          <w:tcPr>
            <w:tcW w:w="0" w:type="dxa"/>
            <w:vAlign w:val="bottom"/>
          </w:tcPr>
          <w:p>
            <w:pPr>
              <w:spacing w:after="0"/>
              <w:rPr>
                <w:sz w:val="1"/>
                <w:szCs w:val="1"/>
                <w:color w:val="auto"/>
              </w:rPr>
            </w:pPr>
          </w:p>
        </w:tc>
      </w:tr>
      <w:tr>
        <w:trPr>
          <w:trHeight w:val="92"/>
        </w:trPr>
        <w:tc>
          <w:tcPr>
            <w:tcW w:w="5160" w:type="dxa"/>
            <w:vAlign w:val="bottom"/>
            <w:tcBorders>
              <w:left w:val="single" w:sz="8" w:color="auto"/>
              <w:right w:val="single" w:sz="8" w:color="auto"/>
            </w:tcBorders>
            <w:shd w:val="clear" w:color="auto" w:fill="003445"/>
          </w:tcPr>
          <w:p>
            <w:pPr>
              <w:spacing w:after="0"/>
              <w:rPr>
                <w:sz w:val="7"/>
                <w:szCs w:val="7"/>
                <w:color w:val="auto"/>
              </w:rPr>
            </w:pPr>
          </w:p>
        </w:tc>
        <w:tc>
          <w:tcPr>
            <w:tcW w:w="280" w:type="dxa"/>
            <w:vAlign w:val="bottom"/>
            <w:shd w:val="clear" w:color="auto" w:fill="003445"/>
          </w:tcPr>
          <w:p>
            <w:pPr>
              <w:spacing w:after="0"/>
              <w:rPr>
                <w:sz w:val="7"/>
                <w:szCs w:val="7"/>
                <w:color w:val="auto"/>
              </w:rPr>
            </w:pPr>
          </w:p>
        </w:tc>
        <w:tc>
          <w:tcPr>
            <w:tcW w:w="1540" w:type="dxa"/>
            <w:vAlign w:val="bottom"/>
            <w:tcBorders>
              <w:right w:val="single" w:sz="8" w:color="auto"/>
            </w:tcBorders>
            <w:vMerge w:val="restart"/>
            <w:shd w:val="clear" w:color="auto" w:fill="003445"/>
          </w:tcPr>
          <w:p>
            <w:pPr>
              <w:jc w:val="center"/>
              <w:ind w:right="121"/>
              <w:spacing w:after="0"/>
              <w:rPr>
                <w:sz w:val="20"/>
                <w:szCs w:val="20"/>
                <w:color w:val="auto"/>
              </w:rPr>
            </w:pPr>
            <w:r>
              <w:rPr>
                <w:rFonts w:ascii="Arial" w:cs="Arial" w:eastAsia="Arial" w:hAnsi="Arial"/>
                <w:sz w:val="16"/>
                <w:szCs w:val="16"/>
                <w:b w:val="1"/>
                <w:bCs w:val="1"/>
                <w:color w:val="FFFFFF"/>
                <w:w w:val="97"/>
              </w:rPr>
              <w:t>securities to be</w:t>
            </w:r>
          </w:p>
        </w:tc>
        <w:tc>
          <w:tcPr>
            <w:tcW w:w="1720" w:type="dxa"/>
            <w:vAlign w:val="bottom"/>
            <w:tcBorders>
              <w:right w:val="single" w:sz="8" w:color="auto"/>
            </w:tcBorders>
            <w:vMerge w:val="restart"/>
            <w:shd w:val="clear" w:color="auto" w:fill="003445"/>
          </w:tcPr>
          <w:p>
            <w:pPr>
              <w:ind w:left="180"/>
              <w:spacing w:after="0"/>
              <w:rPr>
                <w:sz w:val="20"/>
                <w:szCs w:val="20"/>
                <w:color w:val="auto"/>
              </w:rPr>
            </w:pPr>
            <w:r>
              <w:rPr>
                <w:rFonts w:ascii="Arial" w:cs="Arial" w:eastAsia="Arial" w:hAnsi="Arial"/>
                <w:sz w:val="16"/>
                <w:szCs w:val="16"/>
                <w:b w:val="1"/>
                <w:bCs w:val="1"/>
                <w:color w:val="FFFFFF"/>
              </w:rPr>
              <w:t>  average exercise</w:t>
            </w:r>
          </w:p>
        </w:tc>
        <w:tc>
          <w:tcPr>
            <w:tcW w:w="2000" w:type="dxa"/>
            <w:vAlign w:val="bottom"/>
            <w:tcBorders>
              <w:right w:val="single" w:sz="8" w:color="auto"/>
            </w:tcBorders>
            <w:vMerge w:val="continue"/>
            <w:shd w:val="clear" w:color="auto" w:fill="003445"/>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160" w:type="dxa"/>
            <w:vAlign w:val="bottom"/>
            <w:tcBorders>
              <w:left w:val="single" w:sz="8" w:color="auto"/>
              <w:right w:val="single" w:sz="8" w:color="auto"/>
            </w:tcBorders>
            <w:shd w:val="clear" w:color="auto" w:fill="003445"/>
          </w:tcPr>
          <w:p>
            <w:pPr>
              <w:spacing w:after="0"/>
              <w:rPr>
                <w:sz w:val="7"/>
                <w:szCs w:val="7"/>
                <w:color w:val="auto"/>
              </w:rPr>
            </w:pPr>
          </w:p>
        </w:tc>
        <w:tc>
          <w:tcPr>
            <w:tcW w:w="280" w:type="dxa"/>
            <w:vAlign w:val="bottom"/>
            <w:shd w:val="clear" w:color="auto" w:fill="003445"/>
          </w:tcPr>
          <w:p>
            <w:pPr>
              <w:spacing w:after="0"/>
              <w:rPr>
                <w:sz w:val="7"/>
                <w:szCs w:val="7"/>
                <w:color w:val="auto"/>
              </w:rPr>
            </w:pPr>
          </w:p>
        </w:tc>
        <w:tc>
          <w:tcPr>
            <w:tcW w:w="1540" w:type="dxa"/>
            <w:vAlign w:val="bottom"/>
            <w:tcBorders>
              <w:right w:val="single" w:sz="8" w:color="auto"/>
            </w:tcBorders>
            <w:vMerge w:val="continue"/>
            <w:shd w:val="clear" w:color="auto" w:fill="003445"/>
          </w:tcPr>
          <w:p>
            <w:pPr>
              <w:spacing w:after="0"/>
              <w:rPr>
                <w:sz w:val="7"/>
                <w:szCs w:val="7"/>
                <w:color w:val="auto"/>
              </w:rPr>
            </w:pPr>
          </w:p>
        </w:tc>
        <w:tc>
          <w:tcPr>
            <w:tcW w:w="1720" w:type="dxa"/>
            <w:vAlign w:val="bottom"/>
            <w:tcBorders>
              <w:right w:val="single" w:sz="8" w:color="auto"/>
            </w:tcBorders>
            <w:vMerge w:val="continue"/>
            <w:shd w:val="clear" w:color="auto" w:fill="003445"/>
          </w:tcPr>
          <w:p>
            <w:pPr>
              <w:spacing w:after="0"/>
              <w:rPr>
                <w:sz w:val="7"/>
                <w:szCs w:val="7"/>
                <w:color w:val="auto"/>
              </w:rPr>
            </w:pPr>
          </w:p>
        </w:tc>
        <w:tc>
          <w:tcPr>
            <w:tcW w:w="20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7"/>
              </w:rPr>
              <w:t>under equity</w:t>
            </w:r>
          </w:p>
        </w:tc>
        <w:tc>
          <w:tcPr>
            <w:tcW w:w="0" w:type="dxa"/>
            <w:vAlign w:val="bottom"/>
          </w:tcPr>
          <w:p>
            <w:pPr>
              <w:spacing w:after="0"/>
              <w:rPr>
                <w:sz w:val="1"/>
                <w:szCs w:val="1"/>
                <w:color w:val="auto"/>
              </w:rPr>
            </w:pPr>
          </w:p>
        </w:tc>
      </w:tr>
      <w:tr>
        <w:trPr>
          <w:trHeight w:val="92"/>
        </w:trPr>
        <w:tc>
          <w:tcPr>
            <w:tcW w:w="5160" w:type="dxa"/>
            <w:vAlign w:val="bottom"/>
            <w:tcBorders>
              <w:left w:val="single" w:sz="8" w:color="auto"/>
              <w:right w:val="single" w:sz="8" w:color="auto"/>
            </w:tcBorders>
            <w:shd w:val="clear" w:color="auto" w:fill="003445"/>
          </w:tcPr>
          <w:p>
            <w:pPr>
              <w:spacing w:after="0"/>
              <w:rPr>
                <w:sz w:val="7"/>
                <w:szCs w:val="7"/>
                <w:color w:val="auto"/>
              </w:rPr>
            </w:pPr>
          </w:p>
        </w:tc>
        <w:tc>
          <w:tcPr>
            <w:tcW w:w="280" w:type="dxa"/>
            <w:vAlign w:val="bottom"/>
            <w:shd w:val="clear" w:color="auto" w:fill="003445"/>
          </w:tcPr>
          <w:p>
            <w:pPr>
              <w:spacing w:after="0"/>
              <w:rPr>
                <w:sz w:val="7"/>
                <w:szCs w:val="7"/>
                <w:color w:val="auto"/>
              </w:rPr>
            </w:pPr>
          </w:p>
        </w:tc>
        <w:tc>
          <w:tcPr>
            <w:tcW w:w="1540" w:type="dxa"/>
            <w:vAlign w:val="bottom"/>
            <w:tcBorders>
              <w:right w:val="single" w:sz="8" w:color="auto"/>
            </w:tcBorders>
            <w:vMerge w:val="restart"/>
            <w:shd w:val="clear" w:color="auto" w:fill="003445"/>
          </w:tcPr>
          <w:p>
            <w:pPr>
              <w:jc w:val="center"/>
              <w:ind w:right="121"/>
              <w:spacing w:after="0"/>
              <w:rPr>
                <w:sz w:val="20"/>
                <w:szCs w:val="20"/>
                <w:color w:val="auto"/>
              </w:rPr>
            </w:pPr>
            <w:r>
              <w:rPr>
                <w:rFonts w:ascii="Arial" w:cs="Arial" w:eastAsia="Arial" w:hAnsi="Arial"/>
                <w:sz w:val="16"/>
                <w:szCs w:val="16"/>
                <w:b w:val="1"/>
                <w:bCs w:val="1"/>
                <w:color w:val="FFFFFF"/>
                <w:w w:val="99"/>
              </w:rPr>
              <w:t>issued upon</w:t>
            </w:r>
          </w:p>
        </w:tc>
        <w:tc>
          <w:tcPr>
            <w:tcW w:w="17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rPr>
              <w:t>price of</w:t>
            </w:r>
          </w:p>
        </w:tc>
        <w:tc>
          <w:tcPr>
            <w:tcW w:w="2000" w:type="dxa"/>
            <w:vAlign w:val="bottom"/>
            <w:tcBorders>
              <w:right w:val="single" w:sz="8" w:color="auto"/>
            </w:tcBorders>
            <w:vMerge w:val="continue"/>
            <w:shd w:val="clear" w:color="auto" w:fill="003445"/>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160" w:type="dxa"/>
            <w:vAlign w:val="bottom"/>
            <w:tcBorders>
              <w:left w:val="single" w:sz="8" w:color="auto"/>
              <w:right w:val="single" w:sz="8" w:color="auto"/>
            </w:tcBorders>
            <w:vMerge w:val="restart"/>
            <w:shd w:val="clear" w:color="auto" w:fill="003445"/>
          </w:tcPr>
          <w:p>
            <w:pPr>
              <w:ind w:left="2120"/>
              <w:spacing w:after="0"/>
              <w:rPr>
                <w:sz w:val="20"/>
                <w:szCs w:val="20"/>
                <w:color w:val="auto"/>
              </w:rPr>
            </w:pPr>
            <w:r>
              <w:rPr>
                <w:rFonts w:ascii="Arial" w:cs="Arial" w:eastAsia="Arial" w:hAnsi="Arial"/>
                <w:sz w:val="16"/>
                <w:szCs w:val="16"/>
                <w:b w:val="1"/>
                <w:bCs w:val="1"/>
                <w:color w:val="FFFFFF"/>
              </w:rPr>
              <w:t>Plan Category</w:t>
            </w:r>
          </w:p>
        </w:tc>
        <w:tc>
          <w:tcPr>
            <w:tcW w:w="280" w:type="dxa"/>
            <w:vAlign w:val="bottom"/>
            <w:shd w:val="clear" w:color="auto" w:fill="003445"/>
          </w:tcPr>
          <w:p>
            <w:pPr>
              <w:spacing w:after="0"/>
              <w:rPr>
                <w:sz w:val="7"/>
                <w:szCs w:val="7"/>
                <w:color w:val="auto"/>
              </w:rPr>
            </w:pPr>
          </w:p>
        </w:tc>
        <w:tc>
          <w:tcPr>
            <w:tcW w:w="1540" w:type="dxa"/>
            <w:vAlign w:val="bottom"/>
            <w:tcBorders>
              <w:right w:val="single" w:sz="8" w:color="auto"/>
            </w:tcBorders>
            <w:vMerge w:val="continue"/>
            <w:shd w:val="clear" w:color="auto" w:fill="003445"/>
          </w:tcPr>
          <w:p>
            <w:pPr>
              <w:spacing w:after="0"/>
              <w:rPr>
                <w:sz w:val="7"/>
                <w:szCs w:val="7"/>
                <w:color w:val="auto"/>
              </w:rPr>
            </w:pPr>
          </w:p>
        </w:tc>
        <w:tc>
          <w:tcPr>
            <w:tcW w:w="1720" w:type="dxa"/>
            <w:vAlign w:val="bottom"/>
            <w:tcBorders>
              <w:right w:val="single" w:sz="8" w:color="auto"/>
            </w:tcBorders>
            <w:vMerge w:val="continue"/>
            <w:shd w:val="clear" w:color="auto" w:fill="003445"/>
          </w:tcPr>
          <w:p>
            <w:pPr>
              <w:spacing w:after="0"/>
              <w:rPr>
                <w:sz w:val="7"/>
                <w:szCs w:val="7"/>
                <w:color w:val="auto"/>
              </w:rPr>
            </w:pPr>
          </w:p>
        </w:tc>
        <w:tc>
          <w:tcPr>
            <w:tcW w:w="20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8"/>
              </w:rPr>
              <w:t>compensation plans</w:t>
            </w:r>
          </w:p>
        </w:tc>
        <w:tc>
          <w:tcPr>
            <w:tcW w:w="0" w:type="dxa"/>
            <w:vAlign w:val="bottom"/>
          </w:tcPr>
          <w:p>
            <w:pPr>
              <w:spacing w:after="0"/>
              <w:rPr>
                <w:sz w:val="1"/>
                <w:szCs w:val="1"/>
                <w:color w:val="auto"/>
              </w:rPr>
            </w:pPr>
          </w:p>
        </w:tc>
      </w:tr>
      <w:tr>
        <w:trPr>
          <w:trHeight w:val="92"/>
        </w:trPr>
        <w:tc>
          <w:tcPr>
            <w:tcW w:w="5160" w:type="dxa"/>
            <w:vAlign w:val="bottom"/>
            <w:tcBorders>
              <w:left w:val="single" w:sz="8" w:color="auto"/>
              <w:right w:val="single" w:sz="8" w:color="auto"/>
            </w:tcBorders>
            <w:vMerge w:val="continue"/>
            <w:shd w:val="clear" w:color="auto" w:fill="003445"/>
          </w:tcPr>
          <w:p>
            <w:pPr>
              <w:spacing w:after="0"/>
              <w:rPr>
                <w:sz w:val="7"/>
                <w:szCs w:val="7"/>
                <w:color w:val="auto"/>
              </w:rPr>
            </w:pPr>
          </w:p>
        </w:tc>
        <w:tc>
          <w:tcPr>
            <w:tcW w:w="280" w:type="dxa"/>
            <w:vAlign w:val="bottom"/>
            <w:shd w:val="clear" w:color="auto" w:fill="003445"/>
          </w:tcPr>
          <w:p>
            <w:pPr>
              <w:spacing w:after="0"/>
              <w:rPr>
                <w:sz w:val="7"/>
                <w:szCs w:val="7"/>
                <w:color w:val="auto"/>
              </w:rPr>
            </w:pPr>
          </w:p>
        </w:tc>
        <w:tc>
          <w:tcPr>
            <w:tcW w:w="1540" w:type="dxa"/>
            <w:vAlign w:val="bottom"/>
            <w:tcBorders>
              <w:right w:val="single" w:sz="8" w:color="auto"/>
            </w:tcBorders>
            <w:vMerge w:val="restart"/>
            <w:shd w:val="clear" w:color="auto" w:fill="003445"/>
          </w:tcPr>
          <w:p>
            <w:pPr>
              <w:jc w:val="center"/>
              <w:ind w:right="121"/>
              <w:spacing w:after="0"/>
              <w:rPr>
                <w:sz w:val="20"/>
                <w:szCs w:val="20"/>
                <w:color w:val="auto"/>
              </w:rPr>
            </w:pPr>
            <w:r>
              <w:rPr>
                <w:rFonts w:ascii="Arial" w:cs="Arial" w:eastAsia="Arial" w:hAnsi="Arial"/>
                <w:sz w:val="16"/>
                <w:szCs w:val="16"/>
                <w:b w:val="1"/>
                <w:bCs w:val="1"/>
                <w:color w:val="FFFFFF"/>
                <w:w w:val="98"/>
              </w:rPr>
              <w:t>exercise of</w:t>
            </w:r>
          </w:p>
        </w:tc>
        <w:tc>
          <w:tcPr>
            <w:tcW w:w="17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8"/>
              </w:rPr>
              <w:t>outstanding</w:t>
            </w:r>
          </w:p>
        </w:tc>
        <w:tc>
          <w:tcPr>
            <w:tcW w:w="2000" w:type="dxa"/>
            <w:vAlign w:val="bottom"/>
            <w:tcBorders>
              <w:right w:val="single" w:sz="8" w:color="auto"/>
            </w:tcBorders>
            <w:vMerge w:val="continue"/>
            <w:shd w:val="clear" w:color="auto" w:fill="003445"/>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160" w:type="dxa"/>
            <w:vAlign w:val="bottom"/>
            <w:tcBorders>
              <w:left w:val="single" w:sz="8" w:color="auto"/>
              <w:right w:val="single" w:sz="8" w:color="auto"/>
            </w:tcBorders>
            <w:shd w:val="clear" w:color="auto" w:fill="003445"/>
          </w:tcPr>
          <w:p>
            <w:pPr>
              <w:spacing w:after="0"/>
              <w:rPr>
                <w:sz w:val="7"/>
                <w:szCs w:val="7"/>
                <w:color w:val="auto"/>
              </w:rPr>
            </w:pPr>
          </w:p>
        </w:tc>
        <w:tc>
          <w:tcPr>
            <w:tcW w:w="280" w:type="dxa"/>
            <w:vAlign w:val="bottom"/>
            <w:shd w:val="clear" w:color="auto" w:fill="003445"/>
          </w:tcPr>
          <w:p>
            <w:pPr>
              <w:spacing w:after="0"/>
              <w:rPr>
                <w:sz w:val="7"/>
                <w:szCs w:val="7"/>
                <w:color w:val="auto"/>
              </w:rPr>
            </w:pPr>
          </w:p>
        </w:tc>
        <w:tc>
          <w:tcPr>
            <w:tcW w:w="1540" w:type="dxa"/>
            <w:vAlign w:val="bottom"/>
            <w:tcBorders>
              <w:right w:val="single" w:sz="8" w:color="auto"/>
            </w:tcBorders>
            <w:vMerge w:val="continue"/>
            <w:shd w:val="clear" w:color="auto" w:fill="003445"/>
          </w:tcPr>
          <w:p>
            <w:pPr>
              <w:spacing w:after="0"/>
              <w:rPr>
                <w:sz w:val="7"/>
                <w:szCs w:val="7"/>
                <w:color w:val="auto"/>
              </w:rPr>
            </w:pPr>
          </w:p>
        </w:tc>
        <w:tc>
          <w:tcPr>
            <w:tcW w:w="1720" w:type="dxa"/>
            <w:vAlign w:val="bottom"/>
            <w:tcBorders>
              <w:right w:val="single" w:sz="8" w:color="auto"/>
            </w:tcBorders>
            <w:vMerge w:val="continue"/>
            <w:shd w:val="clear" w:color="auto" w:fill="003445"/>
          </w:tcPr>
          <w:p>
            <w:pPr>
              <w:spacing w:after="0"/>
              <w:rPr>
                <w:sz w:val="7"/>
                <w:szCs w:val="7"/>
                <w:color w:val="auto"/>
              </w:rPr>
            </w:pPr>
          </w:p>
        </w:tc>
        <w:tc>
          <w:tcPr>
            <w:tcW w:w="20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7"/>
              </w:rPr>
              <w:t>(excluding securities</w:t>
            </w:r>
          </w:p>
        </w:tc>
        <w:tc>
          <w:tcPr>
            <w:tcW w:w="0" w:type="dxa"/>
            <w:vAlign w:val="bottom"/>
          </w:tcPr>
          <w:p>
            <w:pPr>
              <w:spacing w:after="0"/>
              <w:rPr>
                <w:sz w:val="1"/>
                <w:szCs w:val="1"/>
                <w:color w:val="auto"/>
              </w:rPr>
            </w:pPr>
          </w:p>
        </w:tc>
      </w:tr>
      <w:tr>
        <w:trPr>
          <w:trHeight w:val="92"/>
        </w:trPr>
        <w:tc>
          <w:tcPr>
            <w:tcW w:w="5160" w:type="dxa"/>
            <w:vAlign w:val="bottom"/>
            <w:tcBorders>
              <w:left w:val="single" w:sz="8" w:color="auto"/>
              <w:right w:val="single" w:sz="8" w:color="auto"/>
            </w:tcBorders>
            <w:shd w:val="clear" w:color="auto" w:fill="003445"/>
          </w:tcPr>
          <w:p>
            <w:pPr>
              <w:spacing w:after="0"/>
              <w:rPr>
                <w:sz w:val="7"/>
                <w:szCs w:val="7"/>
                <w:color w:val="auto"/>
              </w:rPr>
            </w:pPr>
          </w:p>
        </w:tc>
        <w:tc>
          <w:tcPr>
            <w:tcW w:w="280" w:type="dxa"/>
            <w:vAlign w:val="bottom"/>
            <w:shd w:val="clear" w:color="auto" w:fill="003445"/>
          </w:tcPr>
          <w:p>
            <w:pPr>
              <w:spacing w:after="0"/>
              <w:rPr>
                <w:sz w:val="7"/>
                <w:szCs w:val="7"/>
                <w:color w:val="auto"/>
              </w:rPr>
            </w:pPr>
          </w:p>
        </w:tc>
        <w:tc>
          <w:tcPr>
            <w:tcW w:w="1540" w:type="dxa"/>
            <w:vAlign w:val="bottom"/>
            <w:tcBorders>
              <w:right w:val="single" w:sz="8" w:color="auto"/>
            </w:tcBorders>
            <w:vMerge w:val="restart"/>
            <w:shd w:val="clear" w:color="auto" w:fill="003445"/>
          </w:tcPr>
          <w:p>
            <w:pPr>
              <w:jc w:val="center"/>
              <w:ind w:right="121"/>
              <w:spacing w:after="0"/>
              <w:rPr>
                <w:sz w:val="20"/>
                <w:szCs w:val="20"/>
                <w:color w:val="auto"/>
              </w:rPr>
            </w:pPr>
            <w:r>
              <w:rPr>
                <w:rFonts w:ascii="Arial" w:cs="Arial" w:eastAsia="Arial" w:hAnsi="Arial"/>
                <w:sz w:val="16"/>
                <w:szCs w:val="16"/>
                <w:b w:val="1"/>
                <w:bCs w:val="1"/>
                <w:color w:val="FFFFFF"/>
                <w:w w:val="98"/>
              </w:rPr>
              <w:t>outstanding</w:t>
            </w:r>
          </w:p>
        </w:tc>
        <w:tc>
          <w:tcPr>
            <w:tcW w:w="172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7"/>
              </w:rPr>
              <w:t>equity</w:t>
            </w:r>
          </w:p>
        </w:tc>
        <w:tc>
          <w:tcPr>
            <w:tcW w:w="2000" w:type="dxa"/>
            <w:vAlign w:val="bottom"/>
            <w:tcBorders>
              <w:right w:val="single" w:sz="8" w:color="auto"/>
            </w:tcBorders>
            <w:vMerge w:val="continue"/>
            <w:shd w:val="clear" w:color="auto" w:fill="003445"/>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160" w:type="dxa"/>
            <w:vAlign w:val="bottom"/>
            <w:tcBorders>
              <w:left w:val="single" w:sz="8" w:color="auto"/>
              <w:right w:val="single" w:sz="8" w:color="auto"/>
            </w:tcBorders>
            <w:shd w:val="clear" w:color="auto" w:fill="003445"/>
          </w:tcPr>
          <w:p>
            <w:pPr>
              <w:spacing w:after="0"/>
              <w:rPr>
                <w:sz w:val="7"/>
                <w:szCs w:val="7"/>
                <w:color w:val="auto"/>
              </w:rPr>
            </w:pPr>
          </w:p>
        </w:tc>
        <w:tc>
          <w:tcPr>
            <w:tcW w:w="280" w:type="dxa"/>
            <w:vAlign w:val="bottom"/>
            <w:shd w:val="clear" w:color="auto" w:fill="003445"/>
          </w:tcPr>
          <w:p>
            <w:pPr>
              <w:spacing w:after="0"/>
              <w:rPr>
                <w:sz w:val="7"/>
                <w:szCs w:val="7"/>
                <w:color w:val="auto"/>
              </w:rPr>
            </w:pPr>
          </w:p>
        </w:tc>
        <w:tc>
          <w:tcPr>
            <w:tcW w:w="1540" w:type="dxa"/>
            <w:vAlign w:val="bottom"/>
            <w:tcBorders>
              <w:right w:val="single" w:sz="8" w:color="auto"/>
            </w:tcBorders>
            <w:vMerge w:val="continue"/>
            <w:shd w:val="clear" w:color="auto" w:fill="003445"/>
          </w:tcPr>
          <w:p>
            <w:pPr>
              <w:spacing w:after="0"/>
              <w:rPr>
                <w:sz w:val="7"/>
                <w:szCs w:val="7"/>
                <w:color w:val="auto"/>
              </w:rPr>
            </w:pPr>
          </w:p>
        </w:tc>
        <w:tc>
          <w:tcPr>
            <w:tcW w:w="1720" w:type="dxa"/>
            <w:vAlign w:val="bottom"/>
            <w:tcBorders>
              <w:right w:val="single" w:sz="8" w:color="auto"/>
            </w:tcBorders>
            <w:vMerge w:val="continue"/>
            <w:shd w:val="clear" w:color="auto" w:fill="003445"/>
          </w:tcPr>
          <w:p>
            <w:pPr>
              <w:spacing w:after="0"/>
              <w:rPr>
                <w:sz w:val="7"/>
                <w:szCs w:val="7"/>
                <w:color w:val="auto"/>
              </w:rPr>
            </w:pPr>
          </w:p>
        </w:tc>
        <w:tc>
          <w:tcPr>
            <w:tcW w:w="20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8"/>
              </w:rPr>
              <w:t>reflected in first</w:t>
            </w:r>
          </w:p>
        </w:tc>
        <w:tc>
          <w:tcPr>
            <w:tcW w:w="0" w:type="dxa"/>
            <w:vAlign w:val="bottom"/>
          </w:tcPr>
          <w:p>
            <w:pPr>
              <w:spacing w:after="0"/>
              <w:rPr>
                <w:sz w:val="1"/>
                <w:szCs w:val="1"/>
                <w:color w:val="auto"/>
              </w:rPr>
            </w:pPr>
          </w:p>
        </w:tc>
      </w:tr>
      <w:tr>
        <w:trPr>
          <w:trHeight w:val="92"/>
        </w:trPr>
        <w:tc>
          <w:tcPr>
            <w:tcW w:w="5160" w:type="dxa"/>
            <w:vAlign w:val="bottom"/>
            <w:tcBorders>
              <w:left w:val="single" w:sz="8" w:color="auto"/>
              <w:right w:val="single" w:sz="8" w:color="auto"/>
            </w:tcBorders>
            <w:shd w:val="clear" w:color="auto" w:fill="003445"/>
          </w:tcPr>
          <w:p>
            <w:pPr>
              <w:spacing w:after="0"/>
              <w:rPr>
                <w:sz w:val="7"/>
                <w:szCs w:val="7"/>
                <w:color w:val="auto"/>
              </w:rPr>
            </w:pPr>
          </w:p>
        </w:tc>
        <w:tc>
          <w:tcPr>
            <w:tcW w:w="280" w:type="dxa"/>
            <w:vAlign w:val="bottom"/>
            <w:vMerge w:val="restart"/>
            <w:shd w:val="clear" w:color="auto" w:fill="003445"/>
          </w:tcPr>
          <w:p>
            <w:pPr>
              <w:ind w:left="180"/>
              <w:spacing w:after="0"/>
              <w:rPr>
                <w:sz w:val="20"/>
                <w:szCs w:val="20"/>
                <w:color w:val="auto"/>
              </w:rPr>
            </w:pPr>
            <w:r>
              <w:rPr>
                <w:rFonts w:ascii="Arial" w:cs="Arial" w:eastAsia="Arial" w:hAnsi="Arial"/>
                <w:sz w:val="11"/>
                <w:szCs w:val="11"/>
                <w:b w:val="1"/>
                <w:bCs w:val="1"/>
                <w:color w:val="FFFFFF"/>
                <w:w w:val="72"/>
              </w:rPr>
              <w:t> </w:t>
            </w:r>
          </w:p>
        </w:tc>
        <w:tc>
          <w:tcPr>
            <w:tcW w:w="1540" w:type="dxa"/>
            <w:vAlign w:val="bottom"/>
            <w:tcBorders>
              <w:right w:val="single" w:sz="8" w:color="auto"/>
            </w:tcBorders>
            <w:vMerge w:val="restart"/>
            <w:shd w:val="clear" w:color="auto" w:fill="003445"/>
          </w:tcPr>
          <w:p>
            <w:pPr>
              <w:jc w:val="center"/>
              <w:ind w:right="101"/>
              <w:spacing w:after="0"/>
              <w:rPr>
                <w:sz w:val="20"/>
                <w:szCs w:val="20"/>
                <w:color w:val="auto"/>
              </w:rPr>
            </w:pPr>
            <w:r>
              <w:rPr>
                <w:rFonts w:ascii="Arial" w:cs="Arial" w:eastAsia="Arial" w:hAnsi="Arial"/>
                <w:sz w:val="16"/>
                <w:szCs w:val="16"/>
                <w:b w:val="1"/>
                <w:bCs w:val="1"/>
                <w:color w:val="FFFFFF"/>
                <w:w w:val="98"/>
              </w:rPr>
              <w:t>equity securities</w:t>
            </w:r>
          </w:p>
        </w:tc>
        <w:tc>
          <w:tcPr>
            <w:tcW w:w="1720" w:type="dxa"/>
            <w:vAlign w:val="bottom"/>
            <w:tcBorders>
              <w:right w:val="single" w:sz="8" w:color="auto"/>
            </w:tcBorders>
            <w:vMerge w:val="restart"/>
            <w:shd w:val="clear" w:color="auto" w:fill="003445"/>
          </w:tcPr>
          <w:p>
            <w:pPr>
              <w:jc w:val="center"/>
              <w:ind w:left="1"/>
              <w:spacing w:after="0" w:line="250" w:lineRule="exact"/>
              <w:rPr>
                <w:sz w:val="20"/>
                <w:szCs w:val="20"/>
                <w:color w:val="auto"/>
              </w:rPr>
            </w:pPr>
            <w:r>
              <w:rPr>
                <w:rFonts w:ascii="Arial" w:cs="Arial" w:eastAsia="Arial" w:hAnsi="Arial"/>
                <w:sz w:val="16"/>
                <w:szCs w:val="16"/>
                <w:b w:val="1"/>
                <w:bCs w:val="1"/>
                <w:color w:val="FFFFFF"/>
                <w:w w:val="94"/>
              </w:rPr>
              <w:t>securities</w:t>
            </w:r>
            <w:r>
              <w:rPr>
                <w:rFonts w:ascii="Arial" w:cs="Arial" w:eastAsia="Arial" w:hAnsi="Arial"/>
                <w:sz w:val="23"/>
                <w:szCs w:val="23"/>
                <w:b w:val="1"/>
                <w:bCs w:val="1"/>
                <w:color w:val="FFFFFF"/>
                <w:w w:val="94"/>
                <w:vertAlign w:val="superscript"/>
              </w:rPr>
              <w:t>(3)</w:t>
            </w:r>
          </w:p>
        </w:tc>
        <w:tc>
          <w:tcPr>
            <w:tcW w:w="2000" w:type="dxa"/>
            <w:vAlign w:val="bottom"/>
            <w:tcBorders>
              <w:right w:val="single" w:sz="8" w:color="auto"/>
            </w:tcBorders>
            <w:vMerge w:val="continue"/>
            <w:shd w:val="clear" w:color="auto" w:fill="003445"/>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5160" w:type="dxa"/>
            <w:vAlign w:val="bottom"/>
            <w:tcBorders>
              <w:left w:val="single" w:sz="8" w:color="auto"/>
              <w:right w:val="single" w:sz="8" w:color="auto"/>
            </w:tcBorders>
            <w:shd w:val="clear" w:color="auto" w:fill="003445"/>
          </w:tcPr>
          <w:p>
            <w:pPr>
              <w:spacing w:after="0"/>
              <w:rPr>
                <w:sz w:val="13"/>
                <w:szCs w:val="13"/>
                <w:color w:val="auto"/>
              </w:rPr>
            </w:pPr>
          </w:p>
        </w:tc>
        <w:tc>
          <w:tcPr>
            <w:tcW w:w="280" w:type="dxa"/>
            <w:vAlign w:val="bottom"/>
            <w:vMerge w:val="continue"/>
            <w:shd w:val="clear" w:color="auto" w:fill="003445"/>
          </w:tcPr>
          <w:p>
            <w:pPr>
              <w:spacing w:after="0"/>
              <w:rPr>
                <w:sz w:val="13"/>
                <w:szCs w:val="13"/>
                <w:color w:val="auto"/>
              </w:rPr>
            </w:pPr>
          </w:p>
        </w:tc>
        <w:tc>
          <w:tcPr>
            <w:tcW w:w="1540" w:type="dxa"/>
            <w:vAlign w:val="bottom"/>
            <w:tcBorders>
              <w:right w:val="single" w:sz="8" w:color="auto"/>
            </w:tcBorders>
            <w:vMerge w:val="continue"/>
            <w:shd w:val="clear" w:color="auto" w:fill="003445"/>
          </w:tcPr>
          <w:p>
            <w:pPr>
              <w:spacing w:after="0"/>
              <w:rPr>
                <w:sz w:val="13"/>
                <w:szCs w:val="13"/>
                <w:color w:val="auto"/>
              </w:rPr>
            </w:pPr>
          </w:p>
        </w:tc>
        <w:tc>
          <w:tcPr>
            <w:tcW w:w="1720" w:type="dxa"/>
            <w:vAlign w:val="bottom"/>
            <w:tcBorders>
              <w:right w:val="single" w:sz="8" w:color="auto"/>
            </w:tcBorders>
            <w:vMerge w:val="continue"/>
            <w:shd w:val="clear" w:color="auto" w:fill="003445"/>
          </w:tcPr>
          <w:p>
            <w:pPr>
              <w:spacing w:after="0"/>
              <w:rPr>
                <w:sz w:val="13"/>
                <w:szCs w:val="13"/>
                <w:color w:val="auto"/>
              </w:rPr>
            </w:pPr>
          </w:p>
        </w:tc>
        <w:tc>
          <w:tcPr>
            <w:tcW w:w="2000" w:type="dxa"/>
            <w:vAlign w:val="bottom"/>
            <w:tcBorders>
              <w:right w:val="single" w:sz="8" w:color="auto"/>
            </w:tcBorders>
            <w:vMerge w:val="restart"/>
            <w:shd w:val="clear" w:color="auto" w:fill="003445"/>
          </w:tcPr>
          <w:p>
            <w:pPr>
              <w:jc w:val="center"/>
              <w:spacing w:after="0"/>
              <w:rPr>
                <w:sz w:val="20"/>
                <w:szCs w:val="20"/>
                <w:color w:val="auto"/>
              </w:rPr>
            </w:pPr>
            <w:r>
              <w:rPr>
                <w:rFonts w:ascii="Arial" w:cs="Arial" w:eastAsia="Arial" w:hAnsi="Arial"/>
                <w:sz w:val="16"/>
                <w:szCs w:val="16"/>
                <w:b w:val="1"/>
                <w:bCs w:val="1"/>
                <w:color w:val="FFFFFF"/>
                <w:w w:val="99"/>
              </w:rPr>
              <w:t>column)</w:t>
            </w:r>
          </w:p>
        </w:tc>
        <w:tc>
          <w:tcPr>
            <w:tcW w:w="0" w:type="dxa"/>
            <w:vAlign w:val="bottom"/>
          </w:tcPr>
          <w:p>
            <w:pPr>
              <w:spacing w:after="0"/>
              <w:rPr>
                <w:sz w:val="1"/>
                <w:szCs w:val="1"/>
                <w:color w:val="auto"/>
              </w:rPr>
            </w:pPr>
          </w:p>
        </w:tc>
      </w:tr>
      <w:tr>
        <w:trPr>
          <w:trHeight w:val="25"/>
        </w:trPr>
        <w:tc>
          <w:tcPr>
            <w:tcW w:w="5160" w:type="dxa"/>
            <w:vAlign w:val="bottom"/>
            <w:tcBorders>
              <w:left w:val="single" w:sz="8" w:color="auto"/>
              <w:right w:val="single" w:sz="8" w:color="auto"/>
            </w:tcBorders>
            <w:shd w:val="clear" w:color="auto" w:fill="003445"/>
          </w:tcPr>
          <w:p>
            <w:pPr>
              <w:spacing w:after="0"/>
              <w:rPr>
                <w:sz w:val="2"/>
                <w:szCs w:val="2"/>
                <w:color w:val="auto"/>
              </w:rPr>
            </w:pPr>
          </w:p>
        </w:tc>
        <w:tc>
          <w:tcPr>
            <w:tcW w:w="280" w:type="dxa"/>
            <w:vAlign w:val="bottom"/>
            <w:shd w:val="clear" w:color="auto" w:fill="003445"/>
          </w:tcPr>
          <w:p>
            <w:pPr>
              <w:spacing w:after="0"/>
              <w:rPr>
                <w:sz w:val="2"/>
                <w:szCs w:val="2"/>
                <w:color w:val="auto"/>
              </w:rPr>
            </w:pPr>
          </w:p>
        </w:tc>
        <w:tc>
          <w:tcPr>
            <w:tcW w:w="1540" w:type="dxa"/>
            <w:vAlign w:val="bottom"/>
            <w:tcBorders>
              <w:right w:val="single" w:sz="8" w:color="auto"/>
            </w:tcBorders>
            <w:shd w:val="clear" w:color="auto" w:fill="003445"/>
          </w:tcPr>
          <w:p>
            <w:pPr>
              <w:spacing w:after="0"/>
              <w:rPr>
                <w:sz w:val="2"/>
                <w:szCs w:val="2"/>
                <w:color w:val="auto"/>
              </w:rPr>
            </w:pPr>
          </w:p>
        </w:tc>
        <w:tc>
          <w:tcPr>
            <w:tcW w:w="1720" w:type="dxa"/>
            <w:vAlign w:val="bottom"/>
            <w:tcBorders>
              <w:right w:val="single" w:sz="8" w:color="auto"/>
            </w:tcBorders>
            <w:shd w:val="clear" w:color="auto" w:fill="003445"/>
          </w:tcPr>
          <w:p>
            <w:pPr>
              <w:spacing w:after="0"/>
              <w:rPr>
                <w:sz w:val="2"/>
                <w:szCs w:val="2"/>
                <w:color w:val="auto"/>
              </w:rPr>
            </w:pPr>
          </w:p>
        </w:tc>
        <w:tc>
          <w:tcPr>
            <w:tcW w:w="2000" w:type="dxa"/>
            <w:vAlign w:val="bottom"/>
            <w:tcBorders>
              <w:right w:val="single" w:sz="8" w:color="auto"/>
            </w:tcBorders>
            <w:vMerge w:val="continue"/>
            <w:shd w:val="clear" w:color="auto" w:fill="00344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5160" w:type="dxa"/>
            <w:vAlign w:val="bottom"/>
            <w:tcBorders>
              <w:left w:val="single" w:sz="8" w:color="auto"/>
              <w:bottom w:val="single" w:sz="8" w:color="003445"/>
              <w:right w:val="single" w:sz="8" w:color="auto"/>
            </w:tcBorders>
            <w:shd w:val="clear" w:color="auto" w:fill="003445"/>
          </w:tcPr>
          <w:p>
            <w:pPr>
              <w:spacing w:after="0"/>
              <w:rPr>
                <w:sz w:val="20"/>
                <w:szCs w:val="20"/>
                <w:color w:val="auto"/>
              </w:rPr>
            </w:pPr>
          </w:p>
        </w:tc>
        <w:tc>
          <w:tcPr>
            <w:tcW w:w="280" w:type="dxa"/>
            <w:vAlign w:val="bottom"/>
            <w:tcBorders>
              <w:bottom w:val="single" w:sz="8" w:color="003445"/>
            </w:tcBorders>
            <w:shd w:val="clear" w:color="auto" w:fill="003445"/>
          </w:tcPr>
          <w:p>
            <w:pPr>
              <w:spacing w:after="0"/>
              <w:rPr>
                <w:sz w:val="20"/>
                <w:szCs w:val="20"/>
                <w:color w:val="auto"/>
              </w:rPr>
            </w:pPr>
          </w:p>
        </w:tc>
        <w:tc>
          <w:tcPr>
            <w:tcW w:w="1540" w:type="dxa"/>
            <w:vAlign w:val="bottom"/>
            <w:tcBorders>
              <w:bottom w:val="single" w:sz="8" w:color="003445"/>
              <w:right w:val="single" w:sz="8" w:color="auto"/>
            </w:tcBorders>
            <w:shd w:val="clear" w:color="auto" w:fill="003445"/>
          </w:tcPr>
          <w:p>
            <w:pPr>
              <w:spacing w:after="0"/>
              <w:rPr>
                <w:sz w:val="20"/>
                <w:szCs w:val="20"/>
                <w:color w:val="auto"/>
              </w:rPr>
            </w:pPr>
          </w:p>
        </w:tc>
        <w:tc>
          <w:tcPr>
            <w:tcW w:w="1720" w:type="dxa"/>
            <w:vAlign w:val="bottom"/>
            <w:tcBorders>
              <w:bottom w:val="single" w:sz="8" w:color="003445"/>
              <w:right w:val="single" w:sz="8" w:color="auto"/>
            </w:tcBorders>
            <w:shd w:val="clear" w:color="auto" w:fill="003445"/>
          </w:tcPr>
          <w:p>
            <w:pPr>
              <w:spacing w:after="0"/>
              <w:rPr>
                <w:sz w:val="20"/>
                <w:szCs w:val="20"/>
                <w:color w:val="auto"/>
              </w:rPr>
            </w:pPr>
          </w:p>
        </w:tc>
        <w:tc>
          <w:tcPr>
            <w:tcW w:w="2000" w:type="dxa"/>
            <w:vAlign w:val="bottom"/>
            <w:tcBorders>
              <w:bottom w:val="single" w:sz="8" w:color="003445"/>
              <w:right w:val="single" w:sz="8" w:color="auto"/>
            </w:tcBorders>
            <w:shd w:val="clear" w:color="auto" w:fill="003445"/>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09"/>
        </w:trPr>
        <w:tc>
          <w:tcPr>
            <w:tcW w:w="51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Equity compensation plans approved by securityholders – N/A</w:t>
            </w:r>
          </w:p>
        </w:tc>
        <w:tc>
          <w:tcPr>
            <w:tcW w:w="2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right w:val="single" w:sz="8" w:color="auto"/>
            </w:tcBorders>
          </w:tcPr>
          <w:p>
            <w:pPr>
              <w:jc w:val="center"/>
              <w:ind w:right="121"/>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w w:val="98"/>
              </w:rPr>
              <w:t>Equity compensation plans not approved by securityholders – Omnibus</w:t>
            </w:r>
          </w:p>
        </w:tc>
        <w:tc>
          <w:tcPr>
            <w:tcW w:w="280" w:type="dxa"/>
            <w:vAlign w:val="bottom"/>
          </w:tcPr>
          <w:p>
            <w:pPr>
              <w:spacing w:after="0"/>
              <w:rPr>
                <w:sz w:val="16"/>
                <w:szCs w:val="16"/>
                <w:color w:val="auto"/>
              </w:rPr>
            </w:pPr>
          </w:p>
        </w:tc>
        <w:tc>
          <w:tcPr>
            <w:tcW w:w="1540" w:type="dxa"/>
            <w:vAlign w:val="bottom"/>
            <w:tcBorders>
              <w:right w:val="single" w:sz="8" w:color="auto"/>
            </w:tcBorders>
            <w:vMerge w:val="restart"/>
          </w:tcPr>
          <w:p>
            <w:pPr>
              <w:jc w:val="right"/>
              <w:ind w:right="441"/>
              <w:spacing w:after="0"/>
              <w:rPr>
                <w:sz w:val="20"/>
                <w:szCs w:val="20"/>
                <w:color w:val="auto"/>
              </w:rPr>
            </w:pPr>
            <w:r>
              <w:rPr>
                <w:rFonts w:ascii="Arial" w:cs="Arial" w:eastAsia="Arial" w:hAnsi="Arial"/>
                <w:sz w:val="16"/>
                <w:szCs w:val="16"/>
                <w:color w:val="auto"/>
              </w:rPr>
              <w:t>6,321,249</w:t>
            </w:r>
          </w:p>
        </w:tc>
        <w:tc>
          <w:tcPr>
            <w:tcW w:w="1720" w:type="dxa"/>
            <w:vAlign w:val="bottom"/>
            <w:tcBorders>
              <w:right w:val="single" w:sz="8" w:color="auto"/>
            </w:tcBorders>
            <w:vMerge w:val="restart"/>
          </w:tcPr>
          <w:p>
            <w:pPr>
              <w:jc w:val="right"/>
              <w:ind w:right="561"/>
              <w:spacing w:after="0"/>
              <w:rPr>
                <w:sz w:val="20"/>
                <w:szCs w:val="20"/>
                <w:color w:val="auto"/>
              </w:rPr>
            </w:pPr>
            <w:r>
              <w:rPr>
                <w:rFonts w:ascii="Arial" w:cs="Arial" w:eastAsia="Arial" w:hAnsi="Arial"/>
                <w:sz w:val="16"/>
                <w:szCs w:val="16"/>
                <w:color w:val="auto"/>
              </w:rPr>
              <w:t>$5.63</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5,263,159</w:t>
            </w:r>
            <w:r>
              <w:rPr>
                <w:rFonts w:ascii="Arial" w:cs="Arial" w:eastAsia="Arial" w:hAnsi="Arial"/>
                <w:sz w:val="23"/>
                <w:szCs w:val="23"/>
                <w:color w:val="auto"/>
                <w:w w:val="93"/>
                <w:vertAlign w:val="superscript"/>
              </w:rPr>
              <w:t>(2)</w:t>
            </w:r>
          </w:p>
        </w:tc>
        <w:tc>
          <w:tcPr>
            <w:tcW w:w="0" w:type="dxa"/>
            <w:vAlign w:val="bottom"/>
          </w:tcPr>
          <w:p>
            <w:pPr>
              <w:spacing w:after="0"/>
              <w:rPr>
                <w:sz w:val="1"/>
                <w:szCs w:val="1"/>
                <w:color w:val="auto"/>
              </w:rPr>
            </w:pPr>
          </w:p>
        </w:tc>
      </w:tr>
      <w:tr>
        <w:trPr>
          <w:trHeight w:val="156"/>
        </w:trPr>
        <w:tc>
          <w:tcPr>
            <w:tcW w:w="5160" w:type="dxa"/>
            <w:vAlign w:val="bottom"/>
            <w:tcBorders>
              <w:left w:val="single" w:sz="8" w:color="auto"/>
              <w:right w:val="single" w:sz="8" w:color="auto"/>
            </w:tcBorders>
            <w:vMerge w:val="restart"/>
          </w:tcPr>
          <w:p>
            <w:pPr>
              <w:ind w:left="160"/>
              <w:spacing w:after="0" w:line="222" w:lineRule="exact"/>
              <w:rPr>
                <w:sz w:val="20"/>
                <w:szCs w:val="20"/>
                <w:color w:val="auto"/>
              </w:rPr>
            </w:pPr>
            <w:r>
              <w:rPr>
                <w:rFonts w:ascii="Arial" w:cs="Arial" w:eastAsia="Arial" w:hAnsi="Arial"/>
                <w:sz w:val="16"/>
                <w:szCs w:val="16"/>
                <w:color w:val="auto"/>
              </w:rPr>
              <w:t>Incentive Plan</w:t>
            </w:r>
            <w:r>
              <w:rPr>
                <w:rFonts w:ascii="Arial" w:cs="Arial" w:eastAsia="Arial" w:hAnsi="Arial"/>
                <w:sz w:val="23"/>
                <w:szCs w:val="23"/>
                <w:color w:val="auto"/>
                <w:vertAlign w:val="superscript"/>
              </w:rPr>
              <w:t>(1)</w:t>
            </w:r>
          </w:p>
        </w:tc>
        <w:tc>
          <w:tcPr>
            <w:tcW w:w="280" w:type="dxa"/>
            <w:vAlign w:val="bottom"/>
          </w:tcPr>
          <w:p>
            <w:pPr>
              <w:spacing w:after="0"/>
              <w:rPr>
                <w:sz w:val="13"/>
                <w:szCs w:val="13"/>
                <w:color w:val="auto"/>
              </w:rPr>
            </w:pPr>
          </w:p>
        </w:tc>
        <w:tc>
          <w:tcPr>
            <w:tcW w:w="1540" w:type="dxa"/>
            <w:vAlign w:val="bottom"/>
            <w:tcBorders>
              <w:right w:val="single" w:sz="8" w:color="auto"/>
            </w:tcBorders>
            <w:vMerge w:val="continue"/>
          </w:tcPr>
          <w:p>
            <w:pPr>
              <w:spacing w:after="0"/>
              <w:rPr>
                <w:sz w:val="13"/>
                <w:szCs w:val="13"/>
                <w:color w:val="auto"/>
              </w:rPr>
            </w:pPr>
          </w:p>
        </w:tc>
        <w:tc>
          <w:tcPr>
            <w:tcW w:w="1720" w:type="dxa"/>
            <w:vAlign w:val="bottom"/>
            <w:tcBorders>
              <w:right w:val="single" w:sz="8" w:color="auto"/>
            </w:tcBorders>
            <w:vMerge w:val="continue"/>
          </w:tcPr>
          <w:p>
            <w:pPr>
              <w:spacing w:after="0"/>
              <w:rPr>
                <w:sz w:val="13"/>
                <w:szCs w:val="13"/>
                <w:color w:val="auto"/>
              </w:rPr>
            </w:pPr>
          </w:p>
        </w:tc>
        <w:tc>
          <w:tcPr>
            <w:tcW w:w="20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51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540" w:type="dxa"/>
            <w:vAlign w:val="bottom"/>
            <w:tcBorders>
              <w:bottom w:val="single" w:sz="8" w:color="auto"/>
              <w:right w:val="single" w:sz="8" w:color="auto"/>
            </w:tcBorders>
          </w:tcPr>
          <w:p>
            <w:pPr>
              <w:spacing w:after="0"/>
              <w:rPr>
                <w:sz w:val="5"/>
                <w:szCs w:val="5"/>
                <w:color w:val="auto"/>
              </w:rPr>
            </w:pPr>
          </w:p>
        </w:tc>
        <w:tc>
          <w:tcPr>
            <w:tcW w:w="172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12223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003445"/>
        </w:rPr>
        <w:t>Notes:</w:t>
      </w:r>
    </w:p>
    <w:p>
      <w:pPr>
        <w:spacing w:after="0" w:line="117" w:lineRule="exact"/>
        <w:rPr>
          <w:sz w:val="20"/>
          <w:szCs w:val="20"/>
          <w:color w:val="auto"/>
        </w:rPr>
      </w:pPr>
    </w:p>
    <w:p>
      <w:pPr>
        <w:ind w:left="520" w:right="20" w:hanging="415"/>
        <w:spacing w:after="0" w:line="248" w:lineRule="auto"/>
        <w:tabs>
          <w:tab w:leader="none" w:pos="520" w:val="left"/>
        </w:tabs>
        <w:numPr>
          <w:ilvl w:val="0"/>
          <w:numId w:val="52"/>
        </w:numPr>
        <w:rPr>
          <w:rFonts w:ascii="Arial" w:cs="Arial" w:eastAsia="Arial" w:hAnsi="Arial"/>
          <w:sz w:val="16"/>
          <w:szCs w:val="16"/>
          <w:i w:val="1"/>
          <w:iCs w:val="1"/>
          <w:color w:val="003445"/>
        </w:rPr>
      </w:pPr>
      <w:r>
        <w:rPr>
          <w:rFonts w:ascii="Arial" w:cs="Arial" w:eastAsia="Arial" w:hAnsi="Arial"/>
          <w:sz w:val="16"/>
          <w:szCs w:val="16"/>
          <w:i w:val="1"/>
          <w:iCs w:val="1"/>
          <w:color w:val="003445"/>
        </w:rPr>
        <w:t>See “Equity Incentive Plans – Omnibus Incentive Plan” for a description of the material features of the Omnibus Incentive Plan. The Omnibus Incentive Plan was adopted in connection with the Merger on October 19, 2021.</w:t>
      </w:r>
    </w:p>
    <w:p>
      <w:pPr>
        <w:ind w:left="520" w:hanging="415"/>
        <w:spacing w:after="0"/>
        <w:tabs>
          <w:tab w:leader="none" w:pos="520" w:val="left"/>
        </w:tabs>
        <w:numPr>
          <w:ilvl w:val="0"/>
          <w:numId w:val="52"/>
        </w:numPr>
        <w:rPr>
          <w:rFonts w:ascii="Arial" w:cs="Arial" w:eastAsia="Arial" w:hAnsi="Arial"/>
          <w:sz w:val="16"/>
          <w:szCs w:val="16"/>
          <w:i w:val="1"/>
          <w:iCs w:val="1"/>
          <w:color w:val="003445"/>
        </w:rPr>
      </w:pPr>
      <w:r>
        <w:rPr>
          <w:rFonts w:ascii="Arial" w:cs="Arial" w:eastAsia="Arial" w:hAnsi="Arial"/>
          <w:sz w:val="16"/>
          <w:szCs w:val="16"/>
          <w:i w:val="1"/>
          <w:iCs w:val="1"/>
          <w:color w:val="003445"/>
        </w:rPr>
        <w:t>Represents the number of shares available for future issuance under the Omnibus Incentive Plan.</w:t>
      </w:r>
    </w:p>
    <w:p>
      <w:pPr>
        <w:ind w:left="520" w:hanging="415"/>
        <w:spacing w:after="0"/>
        <w:tabs>
          <w:tab w:leader="none" w:pos="520" w:val="left"/>
        </w:tabs>
        <w:numPr>
          <w:ilvl w:val="0"/>
          <w:numId w:val="52"/>
        </w:numPr>
        <w:rPr>
          <w:rFonts w:ascii="Arial" w:cs="Arial" w:eastAsia="Arial" w:hAnsi="Arial"/>
          <w:sz w:val="16"/>
          <w:szCs w:val="16"/>
          <w:i w:val="1"/>
          <w:iCs w:val="1"/>
          <w:color w:val="003445"/>
        </w:rPr>
      </w:pPr>
      <w:r>
        <w:rPr>
          <w:rFonts w:ascii="Arial" w:cs="Arial" w:eastAsia="Arial" w:hAnsi="Arial"/>
          <w:sz w:val="16"/>
          <w:szCs w:val="16"/>
          <w:i w:val="1"/>
          <w:iCs w:val="1"/>
          <w:color w:val="003445"/>
        </w:rPr>
        <w:t>Exercise price considers a 5-day volume weighted average price (VWAP), calculated as $5.6310 on the TSX as of December 31, 2025.</w:t>
      </w:r>
    </w:p>
    <w:p>
      <w:pPr>
        <w:spacing w:after="0" w:line="179" w:lineRule="exact"/>
        <w:rPr>
          <w:sz w:val="20"/>
          <w:szCs w:val="20"/>
          <w:color w:val="auto"/>
        </w:rPr>
      </w:pPr>
    </w:p>
    <w:p>
      <w:pPr>
        <w:spacing w:after="0"/>
        <w:rPr>
          <w:sz w:val="20"/>
          <w:szCs w:val="20"/>
          <w:color w:val="auto"/>
        </w:rPr>
      </w:pPr>
      <w:r>
        <w:rPr>
          <w:rFonts w:ascii="Arial" w:cs="Arial" w:eastAsia="Arial" w:hAnsi="Arial"/>
          <w:sz w:val="31"/>
          <w:szCs w:val="31"/>
          <w:b w:val="1"/>
          <w:bCs w:val="1"/>
          <w:color w:val="003445"/>
        </w:rPr>
        <w:t>Statement of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6791325" cy="4787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91325" cy="478790"/>
                    </a:xfrm>
                    <a:prstGeom prst="rect">
                      <a:avLst/>
                    </a:prstGeom>
                    <a:noFill/>
                  </pic:spPr>
                </pic:pic>
              </a:graphicData>
            </a:graphic>
          </wp:anchor>
        </w:drawing>
      </w:r>
    </w:p>
    <w:p>
      <w:pPr>
        <w:spacing w:after="0" w:line="388" w:lineRule="exact"/>
        <w:rPr>
          <w:sz w:val="20"/>
          <w:szCs w:val="20"/>
          <w:color w:val="auto"/>
        </w:rPr>
      </w:pPr>
    </w:p>
    <w:p>
      <w:pPr>
        <w:ind w:left="120" w:right="320"/>
        <w:spacing w:after="0" w:line="282" w:lineRule="auto"/>
        <w:rPr>
          <w:sz w:val="20"/>
          <w:szCs w:val="20"/>
          <w:color w:val="auto"/>
        </w:rPr>
      </w:pPr>
      <w:r>
        <w:rPr>
          <w:rFonts w:ascii="Arial" w:cs="Arial" w:eastAsia="Arial" w:hAnsi="Arial"/>
          <w:sz w:val="19"/>
          <w:szCs w:val="19"/>
          <w:b w:val="1"/>
          <w:bCs w:val="1"/>
          <w:color w:val="FFFFFF"/>
        </w:rPr>
        <w:t>The Board believes that strong corporate governance is important to the long-term success of the Company and maintaining the trust of Shareholders, customers and other stakeholders.</w:t>
      </w: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Overall Approach</w:t>
      </w:r>
    </w:p>
    <w:p>
      <w:pPr>
        <w:spacing w:after="0" w:line="223"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As a corporation incorporated under the BCBCA and listed on both the TSX and Nasdaq, the Company is subject to various Canadian and U.S. legislation, rules, regulations, standards and recommendations related to governance practices. The Company, through the NGC, reviews on a regular basis legislative and regulatory requirements as well as the best practice recommendations of various organizations and shareholders.</w:t>
      </w:r>
    </w:p>
    <w:p>
      <w:pPr>
        <w:spacing w:after="0" w:line="163"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The Board and senior management believe that the Company’s current governance practices are appropriate and comply in all material respects with all requisite regulatory and statutory requirements, including National Policy 58-201 – Corporate Governance Guidelines (the “</w:t>
      </w:r>
      <w:r>
        <w:rPr>
          <w:rFonts w:ascii="Arial" w:cs="Arial" w:eastAsia="Arial" w:hAnsi="Arial"/>
          <w:sz w:val="19"/>
          <w:szCs w:val="19"/>
          <w:b w:val="1"/>
          <w:bCs w:val="1"/>
          <w:color w:val="auto"/>
        </w:rPr>
        <w:t>Corporate Governance Guidelines</w:t>
      </w:r>
      <w:r>
        <w:rPr>
          <w:rFonts w:ascii="Arial" w:cs="Arial" w:eastAsia="Arial" w:hAnsi="Arial"/>
          <w:sz w:val="19"/>
          <w:szCs w:val="19"/>
          <w:color w:val="auto"/>
        </w:rPr>
        <w:t>”), the corporate governances rules of the TSX and Nasdaq, and the applicable Canadian and U.S. corporate and securities laws, including the provisions of the BCBCA and the applicable provisions of the U.S. Sarbanes-Oxley Act.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0700"/>
          </w:cols>
          <w:pgMar w:left="600" w:top="255" w:right="599" w:bottom="1440" w:gutter="0" w:footer="0" w:header="0"/>
        </w:sectPr>
      </w:pPr>
    </w:p>
    <w:bookmarkStart w:id="81" w:name="page82"/>
    <w:bookmarkEnd w:id="81"/>
    <w:p>
      <w:pPr>
        <w:spacing w:after="0"/>
        <w:rPr>
          <w:sz w:val="20"/>
          <w:szCs w:val="20"/>
          <w:color w:val="auto"/>
        </w:rPr>
      </w:pPr>
      <w:r>
        <w:rPr>
          <w:rFonts w:ascii="Arial" w:cs="Arial" w:eastAsia="Arial" w:hAnsi="Arial"/>
          <w:sz w:val="24"/>
          <w:szCs w:val="24"/>
          <w:b w:val="1"/>
          <w:bCs w:val="1"/>
          <w:color w:val="809AA2"/>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Nasdaq Corporate Governance</w:t>
      </w:r>
    </w:p>
    <w:p>
      <w:pPr>
        <w:spacing w:after="0" w:line="221"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The Company complies with corporate governance requirements of Nasdaq (the “</w:t>
      </w:r>
      <w:r>
        <w:rPr>
          <w:rFonts w:ascii="Arial" w:cs="Arial" w:eastAsia="Arial" w:hAnsi="Arial"/>
          <w:sz w:val="19"/>
          <w:szCs w:val="19"/>
          <w:b w:val="1"/>
          <w:bCs w:val="1"/>
          <w:color w:val="auto"/>
        </w:rPr>
        <w:t>Nasdaq Listing Rules</w:t>
      </w:r>
      <w:r>
        <w:rPr>
          <w:rFonts w:ascii="Arial" w:cs="Arial" w:eastAsia="Arial" w:hAnsi="Arial"/>
          <w:sz w:val="19"/>
          <w:szCs w:val="19"/>
          <w:color w:val="auto"/>
        </w:rPr>
        <w:t xml:space="preserve">”). The Company is a “foreign private issuer” as defined under Rule 3b-4 promulgated under the Exchange Act. As a foreign private issuer, the Company is not required to comply with all of the corporate governance requirements of the Nasdaq Listing Rules and may follow home country practice in lieu of certain of the requirements of the Rule 5600 Series. The manner in which the Company’s corporate governance practice differs from the Nasdaq corporate governance requirements is described in the Company’s Nasdaq Corporate Governance disclosure, which can be viewed on the Company’s website at </w:t>
      </w:r>
      <w:r>
        <w:rPr>
          <w:rFonts w:ascii="Arial" w:cs="Arial" w:eastAsia="Arial" w:hAnsi="Arial"/>
          <w:sz w:val="19"/>
          <w:szCs w:val="19"/>
          <w:u w:val="single" w:color="auto"/>
          <w:color w:val="0000FF"/>
        </w:rPr>
        <w:t>www.algoma.com</w:t>
      </w:r>
      <w:r>
        <w:rPr>
          <w:rFonts w:ascii="Arial" w:cs="Arial" w:eastAsia="Arial" w:hAnsi="Arial"/>
          <w:sz w:val="19"/>
          <w:szCs w:val="19"/>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Canadian Corporate Governance</w:t>
      </w:r>
    </w:p>
    <w:p>
      <w:pPr>
        <w:spacing w:after="0" w:line="223" w:lineRule="exact"/>
        <w:rPr>
          <w:sz w:val="20"/>
          <w:szCs w:val="20"/>
          <w:color w:val="auto"/>
        </w:rPr>
      </w:pPr>
    </w:p>
    <w:p>
      <w:pPr>
        <w:jc w:val="both"/>
        <w:ind w:right="20"/>
        <w:spacing w:after="0"/>
        <w:rPr>
          <w:sz w:val="20"/>
          <w:szCs w:val="20"/>
          <w:color w:val="auto"/>
        </w:rPr>
      </w:pPr>
      <w:r>
        <w:rPr>
          <w:rFonts w:ascii="Arial" w:cs="Arial" w:eastAsia="Arial" w:hAnsi="Arial"/>
          <w:sz w:val="19"/>
          <w:szCs w:val="19"/>
          <w:color w:val="auto"/>
        </w:rPr>
        <w:t xml:space="preserve">The Canadian Securities Administrators have issued the Corporate Governance Guidelines, together with certain related disclosure requirements pursuant to National Instrument 58-101 – </w:t>
      </w:r>
      <w:r>
        <w:rPr>
          <w:rFonts w:ascii="Arial" w:cs="Arial" w:eastAsia="Arial" w:hAnsi="Arial"/>
          <w:sz w:val="19"/>
          <w:szCs w:val="19"/>
          <w:i w:val="1"/>
          <w:iCs w:val="1"/>
          <w:color w:val="auto"/>
        </w:rPr>
        <w:t>Disclosure of Corporate Governance Practices</w:t>
      </w:r>
      <w:r>
        <w:rPr>
          <w:rFonts w:ascii="Arial" w:cs="Arial" w:eastAsia="Arial" w:hAnsi="Arial"/>
          <w:sz w:val="19"/>
          <w:szCs w:val="19"/>
          <w:color w:val="auto"/>
        </w:rPr>
        <w:t xml:space="preserve"> (“</w:t>
      </w:r>
      <w:r>
        <w:rPr>
          <w:rFonts w:ascii="Arial" w:cs="Arial" w:eastAsia="Arial" w:hAnsi="Arial"/>
          <w:sz w:val="19"/>
          <w:szCs w:val="19"/>
          <w:b w:val="1"/>
          <w:bCs w:val="1"/>
          <w:color w:val="auto"/>
        </w:rPr>
        <w:t>NI 58-101</w:t>
      </w:r>
      <w:r>
        <w:rPr>
          <w:rFonts w:ascii="Arial" w:cs="Arial" w:eastAsia="Arial" w:hAnsi="Arial"/>
          <w:sz w:val="19"/>
          <w:szCs w:val="19"/>
          <w:color w:val="auto"/>
        </w:rPr>
        <w:t>”, and together with the Corporate Governance Guidelines, the “</w:t>
      </w:r>
      <w:r>
        <w:rPr>
          <w:rFonts w:ascii="Arial" w:cs="Arial" w:eastAsia="Arial" w:hAnsi="Arial"/>
          <w:sz w:val="19"/>
          <w:szCs w:val="19"/>
          <w:b w:val="1"/>
          <w:bCs w:val="1"/>
          <w:color w:val="auto"/>
        </w:rPr>
        <w:t>CSA Governance Rules</w:t>
      </w:r>
      <w:r>
        <w:rPr>
          <w:rFonts w:ascii="Arial" w:cs="Arial" w:eastAsia="Arial" w:hAnsi="Arial"/>
          <w:sz w:val="19"/>
          <w:szCs w:val="19"/>
          <w:color w:val="auto"/>
        </w:rPr>
        <w:t>”). The Company recognizes that good corporate governance plays an important role in the Company’s overall success and in enhancing shareholder value and, accordingly, the Company has adopted certain corporate governance policies and practices which reflect the Company’s consideration of the recommended CSA Governance Rules. The disclosure set out below includes disclosure required by NI 58-101 describing Algoma’s approach to corporate governance in relation to the CSA Governance Rules.</w:t>
      </w:r>
    </w:p>
    <w:p>
      <w:pPr>
        <w:spacing w:after="0" w:line="356"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Governance Highlights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5460" w:type="dxa"/>
            <w:vAlign w:val="bottom"/>
            <w:tcBorders>
              <w:top w:val="single" w:sz="8" w:color="auto"/>
              <w:left w:val="single" w:sz="8" w:color="auto"/>
              <w:bottom w:val="single" w:sz="8" w:color="auto"/>
              <w:right w:val="single" w:sz="8" w:color="auto"/>
            </w:tcBorders>
            <w:shd w:val="clear" w:color="auto" w:fill="003445"/>
          </w:tcPr>
          <w:p>
            <w:pPr>
              <w:ind w:left="1940"/>
              <w:spacing w:after="0"/>
              <w:rPr>
                <w:sz w:val="20"/>
                <w:szCs w:val="20"/>
                <w:color w:val="auto"/>
              </w:rPr>
            </w:pPr>
            <w:r>
              <w:rPr>
                <w:rFonts w:ascii="Arial" w:cs="Arial" w:eastAsia="Arial" w:hAnsi="Arial"/>
                <w:sz w:val="17"/>
                <w:szCs w:val="17"/>
                <w:b w:val="1"/>
                <w:bCs w:val="1"/>
                <w:color w:val="FFFFFF"/>
              </w:rPr>
              <w:t>Governance Element</w:t>
            </w:r>
          </w:p>
        </w:tc>
        <w:tc>
          <w:tcPr>
            <w:tcW w:w="5240" w:type="dxa"/>
            <w:vAlign w:val="bottom"/>
            <w:tcBorders>
              <w:top w:val="single" w:sz="8" w:color="auto"/>
              <w:bottom w:val="single" w:sz="8" w:color="auto"/>
              <w:right w:val="single" w:sz="8" w:color="auto"/>
            </w:tcBorders>
            <w:shd w:val="clear" w:color="auto" w:fill="003445"/>
          </w:tcPr>
          <w:p>
            <w:pPr>
              <w:ind w:left="1880"/>
              <w:spacing w:after="0"/>
              <w:rPr>
                <w:sz w:val="20"/>
                <w:szCs w:val="20"/>
                <w:color w:val="auto"/>
              </w:rPr>
            </w:pPr>
            <w:r>
              <w:rPr>
                <w:rFonts w:ascii="Arial" w:cs="Arial" w:eastAsia="Arial" w:hAnsi="Arial"/>
                <w:sz w:val="17"/>
                <w:szCs w:val="17"/>
                <w:b w:val="1"/>
                <w:bCs w:val="1"/>
                <w:color w:val="FFFFFF"/>
              </w:rPr>
              <w:t>Company Practice</w:t>
            </w:r>
          </w:p>
        </w:tc>
      </w:tr>
      <w:tr>
        <w:trPr>
          <w:trHeight w:val="226"/>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Board Size</w:t>
            </w:r>
          </w:p>
        </w:tc>
        <w:tc>
          <w:tcPr>
            <w:tcW w:w="5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9 Directors</w:t>
            </w:r>
          </w:p>
        </w:tc>
      </w:tr>
      <w:tr>
        <w:trPr>
          <w:trHeight w:val="229"/>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Board Independence</w:t>
            </w:r>
          </w:p>
        </w:tc>
        <w:tc>
          <w:tcPr>
            <w:tcW w:w="5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88.89% (8/9) independent</w:t>
            </w:r>
          </w:p>
        </w:tc>
      </w:tr>
      <w:tr>
        <w:trPr>
          <w:trHeight w:val="189"/>
        </w:trPr>
        <w:tc>
          <w:tcPr>
            <w:tcW w:w="5460" w:type="dxa"/>
            <w:vAlign w:val="bottom"/>
            <w:tcBorders>
              <w:left w:val="single" w:sz="8" w:color="auto"/>
              <w:right w:val="single" w:sz="8" w:color="auto"/>
            </w:tcBorders>
          </w:tcPr>
          <w:p>
            <w:pPr>
              <w:ind w:left="160"/>
              <w:spacing w:after="0" w:line="189" w:lineRule="exact"/>
              <w:rPr>
                <w:sz w:val="20"/>
                <w:szCs w:val="20"/>
                <w:color w:val="auto"/>
              </w:rPr>
            </w:pPr>
            <w:r>
              <w:rPr>
                <w:rFonts w:ascii="Arial" w:cs="Arial" w:eastAsia="Arial" w:hAnsi="Arial"/>
                <w:sz w:val="17"/>
                <w:szCs w:val="17"/>
                <w:color w:val="auto"/>
              </w:rPr>
              <w:t>Entirely Independent Committees</w:t>
            </w:r>
          </w:p>
        </w:tc>
        <w:tc>
          <w:tcPr>
            <w:tcW w:w="524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7"/>
                <w:szCs w:val="17"/>
                <w:color w:val="auto"/>
              </w:rPr>
              <w:t>Audit &amp; Risk Management Committee, Nominating and</w:t>
            </w:r>
          </w:p>
        </w:tc>
      </w:tr>
      <w:tr>
        <w:trPr>
          <w:trHeight w:val="196"/>
        </w:trPr>
        <w:tc>
          <w:tcPr>
            <w:tcW w:w="5460" w:type="dxa"/>
            <w:vAlign w:val="bottom"/>
            <w:tcBorders>
              <w:left w:val="single" w:sz="8" w:color="auto"/>
              <w:right w:val="single" w:sz="8" w:color="auto"/>
            </w:tcBorders>
          </w:tcPr>
          <w:p>
            <w:pPr>
              <w:spacing w:after="0"/>
              <w:rPr>
                <w:sz w:val="17"/>
                <w:szCs w:val="17"/>
                <w:color w:val="auto"/>
              </w:rPr>
            </w:pPr>
          </w:p>
        </w:tc>
        <w:tc>
          <w:tcPr>
            <w:tcW w:w="52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Governance Committee; and Human Resources, Compensation</w:t>
            </w:r>
          </w:p>
        </w:tc>
      </w:tr>
      <w:tr>
        <w:trPr>
          <w:trHeight w:val="235"/>
        </w:trPr>
        <w:tc>
          <w:tcPr>
            <w:tcW w:w="5460" w:type="dxa"/>
            <w:vAlign w:val="bottom"/>
            <w:tcBorders>
              <w:left w:val="single" w:sz="8" w:color="auto"/>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Committee</w:t>
            </w:r>
          </w:p>
        </w:tc>
      </w:tr>
      <w:tr>
        <w:trPr>
          <w:trHeight w:val="191"/>
        </w:trPr>
        <w:tc>
          <w:tcPr>
            <w:tcW w:w="546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7"/>
                <w:szCs w:val="17"/>
                <w:color w:val="auto"/>
              </w:rPr>
              <w:t>Independent Board and Committee Meetings</w:t>
            </w:r>
          </w:p>
        </w:tc>
        <w:tc>
          <w:tcPr>
            <w:tcW w:w="5240" w:type="dxa"/>
            <w:vAlign w:val="bottom"/>
            <w:tcBorders>
              <w:right w:val="single" w:sz="8" w:color="auto"/>
            </w:tcBorders>
          </w:tcPr>
          <w:p>
            <w:pPr>
              <w:ind w:left="100"/>
              <w:spacing w:after="0" w:line="190" w:lineRule="exact"/>
              <w:rPr>
                <w:sz w:val="20"/>
                <w:szCs w:val="20"/>
                <w:color w:val="auto"/>
              </w:rPr>
            </w:pPr>
            <w:r>
              <w:rPr>
                <w:rFonts w:ascii="Arial" w:cs="Arial" w:eastAsia="Arial" w:hAnsi="Arial"/>
                <w:sz w:val="17"/>
                <w:szCs w:val="17"/>
                <w:color w:val="auto"/>
              </w:rPr>
              <w:t>The independent Directors hold in-camera sessions at the</w:t>
            </w:r>
          </w:p>
        </w:tc>
      </w:tr>
      <w:tr>
        <w:trPr>
          <w:trHeight w:val="196"/>
        </w:trPr>
        <w:tc>
          <w:tcPr>
            <w:tcW w:w="5460" w:type="dxa"/>
            <w:vAlign w:val="bottom"/>
            <w:tcBorders>
              <w:left w:val="single" w:sz="8" w:color="auto"/>
              <w:right w:val="single" w:sz="8" w:color="auto"/>
            </w:tcBorders>
          </w:tcPr>
          <w:p>
            <w:pPr>
              <w:spacing w:after="0"/>
              <w:rPr>
                <w:sz w:val="17"/>
                <w:szCs w:val="17"/>
                <w:color w:val="auto"/>
              </w:rPr>
            </w:pPr>
          </w:p>
        </w:tc>
        <w:tc>
          <w:tcPr>
            <w:tcW w:w="5240" w:type="dxa"/>
            <w:vAlign w:val="bottom"/>
            <w:tcBorders>
              <w:right w:val="single" w:sz="8" w:color="auto"/>
            </w:tcBorders>
          </w:tcPr>
          <w:p>
            <w:pPr>
              <w:ind w:left="100"/>
              <w:spacing w:after="0"/>
              <w:rPr>
                <w:sz w:val="20"/>
                <w:szCs w:val="20"/>
                <w:color w:val="auto"/>
              </w:rPr>
            </w:pPr>
            <w:r>
              <w:rPr>
                <w:rFonts w:ascii="Arial" w:cs="Arial" w:eastAsia="Arial" w:hAnsi="Arial"/>
                <w:sz w:val="17"/>
                <w:szCs w:val="17"/>
                <w:color w:val="auto"/>
              </w:rPr>
              <w:t>conclusion of each regularly scheduled Board and committee</w:t>
            </w:r>
          </w:p>
        </w:tc>
      </w:tr>
      <w:tr>
        <w:trPr>
          <w:trHeight w:val="235"/>
        </w:trPr>
        <w:tc>
          <w:tcPr>
            <w:tcW w:w="5460" w:type="dxa"/>
            <w:vAlign w:val="bottom"/>
            <w:tcBorders>
              <w:left w:val="single" w:sz="8" w:color="auto"/>
              <w:bottom w:val="single" w:sz="8" w:color="auto"/>
              <w:right w:val="single" w:sz="8" w:color="auto"/>
            </w:tcBorders>
          </w:tcPr>
          <w:p>
            <w:pPr>
              <w:spacing w:after="0"/>
              <w:rPr>
                <w:sz w:val="20"/>
                <w:szCs w:val="20"/>
                <w:color w:val="auto"/>
              </w:rPr>
            </w:pPr>
          </w:p>
        </w:tc>
        <w:tc>
          <w:tcPr>
            <w:tcW w:w="5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meeting</w:t>
            </w:r>
          </w:p>
        </w:tc>
      </w:tr>
      <w:tr>
        <w:trPr>
          <w:trHeight w:val="231"/>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Voting Standard for Board Elections</w:t>
            </w:r>
          </w:p>
        </w:tc>
        <w:tc>
          <w:tcPr>
            <w:tcW w:w="5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Annually by a majority of votes cast</w:t>
            </w:r>
          </w:p>
        </w:tc>
      </w:tr>
      <w:tr>
        <w:trPr>
          <w:trHeight w:val="229"/>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Majority Voting Policy</w:t>
            </w:r>
          </w:p>
        </w:tc>
        <w:tc>
          <w:tcPr>
            <w:tcW w:w="5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Yes</w:t>
            </w:r>
          </w:p>
        </w:tc>
      </w:tr>
      <w:tr>
        <w:trPr>
          <w:trHeight w:val="229"/>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Share Ownership Guidelines</w:t>
            </w:r>
          </w:p>
        </w:tc>
        <w:tc>
          <w:tcPr>
            <w:tcW w:w="5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Yes</w:t>
            </w:r>
          </w:p>
        </w:tc>
      </w:tr>
      <w:tr>
        <w:trPr>
          <w:trHeight w:val="229"/>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New Director Orientation and Continuing Education</w:t>
            </w:r>
          </w:p>
        </w:tc>
        <w:tc>
          <w:tcPr>
            <w:tcW w:w="5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Yes</w:t>
            </w:r>
          </w:p>
        </w:tc>
      </w:tr>
      <w:tr>
        <w:trPr>
          <w:trHeight w:val="229"/>
        </w:trPr>
        <w:tc>
          <w:tcPr>
            <w:tcW w:w="5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Regular Board Assessments</w:t>
            </w:r>
          </w:p>
        </w:tc>
        <w:tc>
          <w:tcPr>
            <w:tcW w:w="52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Yes</w:t>
            </w:r>
          </w:p>
        </w:tc>
      </w:tr>
    </w:tbl>
    <w:p>
      <w:pPr>
        <w:spacing w:after="0" w:line="188" w:lineRule="exact"/>
        <w:rPr>
          <w:sz w:val="20"/>
          <w:szCs w:val="20"/>
          <w:color w:val="auto"/>
        </w:rPr>
      </w:pPr>
    </w:p>
    <w:p>
      <w:pPr>
        <w:jc w:val="both"/>
        <w:ind w:right="20"/>
        <w:spacing w:after="0" w:line="268" w:lineRule="auto"/>
        <w:rPr>
          <w:sz w:val="20"/>
          <w:szCs w:val="20"/>
          <w:color w:val="auto"/>
        </w:rPr>
      </w:pPr>
      <w:r>
        <w:rPr>
          <w:rFonts w:ascii="Arial" w:cs="Arial" w:eastAsia="Arial" w:hAnsi="Arial"/>
          <w:sz w:val="19"/>
          <w:szCs w:val="19"/>
          <w:color w:val="auto"/>
        </w:rPr>
        <w:t>To comply with the various applicable governance standards and to achieve best practices, the Company has adopted comprehensive corporate governance policies and procedures, including:</w:t>
      </w:r>
    </w:p>
    <w:p>
      <w:pPr>
        <w:spacing w:after="0" w:line="141" w:lineRule="exact"/>
        <w:rPr>
          <w:sz w:val="20"/>
          <w:szCs w:val="20"/>
          <w:color w:val="auto"/>
        </w:rPr>
      </w:pPr>
    </w:p>
    <w:p>
      <w:pPr>
        <w:ind w:left="1040" w:hanging="411"/>
        <w:spacing w:after="0"/>
        <w:tabs>
          <w:tab w:leader="none" w:pos="10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Code of Business Conduct and Ethics;</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Charter of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ind w:left="10540"/>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0700"/>
          </w:cols>
          <w:pgMar w:left="600" w:top="261" w:right="599" w:bottom="1440" w:gutter="0" w:footer="0" w:header="0"/>
        </w:sectPr>
      </w:pPr>
    </w:p>
    <w:bookmarkStart w:id="82" w:name="page83"/>
    <w:bookmarkEnd w:id="82"/>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Audit &amp; Risk Management Committee Charter;</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Nominating and Governance Committee Charter;</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Human Resources and Compensation Committee Charter;</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Operations and Capital Projects Committee Charter;</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Position Descriptions for the Chief Executive Officer, Chair of the Board and Committee Chairs;</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Whistleblower Policy;</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Majority Voting Policy;</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Insider Trading Policy;</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Disclosure and Confidential Information Policy;</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Diversity, Equity and Inclusion Policy;</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Share Ownership Guidelines Policy;</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Clawback Policy; and</w:t>
      </w:r>
    </w:p>
    <w:p>
      <w:pPr>
        <w:spacing w:after="0" w:line="200" w:lineRule="exact"/>
        <w:rPr>
          <w:rFonts w:ascii="Arial" w:cs="Arial" w:eastAsia="Arial" w:hAnsi="Arial"/>
          <w:sz w:val="19"/>
          <w:szCs w:val="19"/>
          <w:color w:val="auto"/>
        </w:rPr>
      </w:pPr>
    </w:p>
    <w:p>
      <w:pPr>
        <w:ind w:left="1040" w:hanging="411"/>
        <w:spacing w:after="0"/>
        <w:tabs>
          <w:tab w:leader="none" w:pos="10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Responsible and Ethical Use of AI Policy.</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The Board believes that the Company’s governance practices are in compliance with the CSA Governance Rules.</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Composition of Board of Directors and Independence</w:t>
      </w:r>
    </w:p>
    <w:p>
      <w:pPr>
        <w:spacing w:after="0" w:line="22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Board is currently comprised of 9 Directors, eight of whom are independent Directors. Pursuant to NI 58-101, an independent Director is one who is free from any direct or indirect relationship which could, in the view of the Board, be reasonably expected to interfere with a Director’s independent judgment. The Company has determined that Andy Harshaw (Chair), Mary Anne Bueschkens, Sean Donnelly, James Gouin, Eric S. Rosenfeld, Gale Rubenstein, Sanjay Nakra and Melinda Newman are independent under the Applicable Rules. Rajat Marwah is determined not to be an independent director as he is the Chief Executive Officer of the Company.</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independent Directors hold in-camera sessions at the conclusion of each regularly scheduled Board and committee meeting. The Chair of the Board conducts the in-camera sessions of the Board and the Chair of each committee conducts the in-camera sessions of its committee, as applicable, without management or the other non-independent Directors present.</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Nomination of Directors</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All Director nominees are nominated by the NGC, who make such nominations after considering the mix of skills and experience it believes are necessary to further the Company’s goals. The written charter of the NGC sets out the committee’s responsibilities with respect to nominating Director candidates, which include to: (i) review annually the competencies, skills and personal</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0680"/>
          </w:cols>
          <w:pgMar w:left="600" w:top="262" w:right="619" w:bottom="1440" w:gutter="0" w:footer="0" w:header="0"/>
        </w:sectPr>
      </w:pPr>
    </w:p>
    <w:bookmarkStart w:id="83" w:name="page84"/>
    <w:bookmarkEnd w:id="83"/>
    <w:p>
      <w:pPr>
        <w:jc w:val="both"/>
        <w:spacing w:after="0" w:line="24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qualities of the Board, in light of relevant factors; (ii) seek individuals qualified (in the context of the needs of the Company, any formal criteria established by the Board and any obligations under the Company’s contractual arrangements) to become members of the Board; (iii) review and recommend to the Board, the membership and allocation of Board members to the various committees of the Board; and (iv) consider the level of diversity on the Board.</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NGC will seek prospective candidates who are independent, have recognized functional and industry experience, sound business judgement, high ethical standards, time to devote to the Board and the ability to contribute to the Board’s diversity (with respect to gender, experience, geography, ethnicity and age). The NGC intends to identify qualified candidates when necessary through a number of possible sources, including search firms where appropriate.</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Directors elected at an annual meeting are elected for a term expiring at the close of the subsequent annual meeting and are eligible for re-election. Directors appointed by the Directors between meetings of Shareholders in accordance with the Articles are appointed for a term expiring at the close of the next annual meeting and are eligible for election or re-election, as the case may be.</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For a chart illustrating the relevant skills possessed by the Directors who are proposed for election at the Meeting, see “</w:t>
      </w:r>
      <w:r>
        <w:rPr>
          <w:rFonts w:ascii="Arial" w:cs="Arial" w:eastAsia="Arial" w:hAnsi="Arial"/>
          <w:sz w:val="19"/>
          <w:szCs w:val="19"/>
          <w:i w:val="1"/>
          <w:iCs w:val="1"/>
          <w:color w:val="auto"/>
        </w:rPr>
        <w:t>Matters to be Considered at the Meeting – Election of Directors – Key Skills and Experience</w:t>
      </w:r>
      <w:r>
        <w:rPr>
          <w:rFonts w:ascii="Arial" w:cs="Arial" w:eastAsia="Arial" w:hAnsi="Arial"/>
          <w:sz w:val="19"/>
          <w:szCs w:val="19"/>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Term Limits</w:t>
      </w:r>
    </w:p>
    <w:p>
      <w:pPr>
        <w:spacing w:after="0" w:line="22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Board has not adopted director term limits or other automatic mechanisms of board renewal. Rather than adopting formal term limits, mandatory age-related retirement policies and other mechanisms of board renewal, the NGC will seek to maintain the composition of the Board in a way that provides, in the judgment of the Board, the best mix of skills and experience to provide for our overall stewardship. The NGC also is expected to conduct a regular process for the assessment of the Board (see below under “</w:t>
      </w:r>
      <w:r>
        <w:rPr>
          <w:rFonts w:ascii="Arial" w:cs="Arial" w:eastAsia="Arial" w:hAnsi="Arial"/>
          <w:sz w:val="19"/>
          <w:szCs w:val="19"/>
          <w:b w:val="1"/>
          <w:bCs w:val="1"/>
          <w:color w:val="auto"/>
        </w:rPr>
        <w:t>Board Assessments</w:t>
      </w:r>
      <w:r>
        <w:rPr>
          <w:rFonts w:ascii="Arial" w:cs="Arial" w:eastAsia="Arial" w:hAnsi="Arial"/>
          <w:sz w:val="19"/>
          <w:szCs w:val="19"/>
          <w:color w:val="auto"/>
        </w:rPr>
        <w:t>”), each Board committee and each Director regarding his, her or its effectiveness and performance, and to report evaluation results to the Board.</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Board Assessments</w:t>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NGC conducts a periodic assessment of the performance, effectiveness and contribution of the Board, Board committees and of each individual Director, in a manner it determines to be appropriate. The results of the assessments will be communicated to the Board. This process will be used (i) as an assessment tool; (ii) as a component of the regular review process of Board members’ participation; (iii) to assist with the Board’s succession planning; and (iv) to determine appropriate individuals to stand for re-election to the Board.</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Mandate of the Board</w:t>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mandate of the Company’s Board is one of stewardship and oversight of the Company and its affairs. In fulfilling its mandate, the Board has adopted a written mandate setting out its responsibility for, among other things, (i) participating in the development of and approving a strategic plan for the Company; (ii) supervising the activities and managing the investments and affairs of the Company; (iii) approving major decisions regarding the Company; (iv) defining the roles and responsibilities of management; (v) reviewing and approving the business and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0680"/>
          </w:cols>
          <w:pgMar w:left="600" w:top="262" w:right="619" w:bottom="1440" w:gutter="0" w:footer="0" w:header="0"/>
        </w:sectPr>
      </w:pPr>
    </w:p>
    <w:bookmarkStart w:id="84" w:name="page85"/>
    <w:bookmarkEnd w:id="84"/>
    <w:p>
      <w:pPr>
        <w:jc w:val="both"/>
        <w:spacing w:after="0" w:line="235"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investment objectives to be met by management; (vi) assessing the performance of and overseeing management; (vii) issuing securities of the Company for such consideration as the Board may deem appropriate, subject to applicable law; (viii) reviewing the Company’s debt strategy; (ix) identifying and managing risk exposure; (x) ensuring the integrity and adequacy of the Company’s internal controls and management information systems; (xi) succession planning;</w:t>
      </w:r>
    </w:p>
    <w:p>
      <w:pPr>
        <w:spacing w:after="0" w:line="1" w:lineRule="exact"/>
        <w:rPr>
          <w:sz w:val="20"/>
          <w:szCs w:val="20"/>
          <w:color w:val="auto"/>
        </w:rPr>
      </w:pPr>
    </w:p>
    <w:p>
      <w:pPr>
        <w:jc w:val="both"/>
        <w:spacing w:after="0" w:line="230" w:lineRule="auto"/>
        <w:tabs>
          <w:tab w:leader="none" w:pos="399" w:val="left"/>
        </w:tabs>
        <w:numPr>
          <w:ilvl w:val="0"/>
          <w:numId w:val="55"/>
        </w:numPr>
        <w:rPr>
          <w:rFonts w:ascii="Arial" w:cs="Arial" w:eastAsia="Arial" w:hAnsi="Arial"/>
          <w:sz w:val="19"/>
          <w:szCs w:val="19"/>
          <w:color w:val="auto"/>
        </w:rPr>
      </w:pPr>
      <w:r>
        <w:rPr>
          <w:rFonts w:ascii="Arial" w:cs="Arial" w:eastAsia="Arial" w:hAnsi="Arial"/>
          <w:sz w:val="19"/>
          <w:szCs w:val="19"/>
          <w:color w:val="auto"/>
        </w:rPr>
        <w:t>establishing committees of the Board, where required or prudent, and defining their mandate; (xiii) establishing and maintaining procedures and policies to ascertain Director independence; (xiv) maintaining records and providing reports to Shareholders; (xv) ensuring effective and adequate communication with Shareholders, other stakeholders and the public; and</w:t>
      </w:r>
    </w:p>
    <w:p>
      <w:pPr>
        <w:spacing w:after="0" w:line="249" w:lineRule="auto"/>
        <w:tabs>
          <w:tab w:leader="none" w:pos="431" w:val="left"/>
        </w:tabs>
        <w:numPr>
          <w:ilvl w:val="0"/>
          <w:numId w:val="56"/>
        </w:numPr>
        <w:rPr>
          <w:rFonts w:ascii="Arial" w:cs="Arial" w:eastAsia="Arial" w:hAnsi="Arial"/>
          <w:sz w:val="19"/>
          <w:szCs w:val="19"/>
          <w:color w:val="auto"/>
        </w:rPr>
      </w:pPr>
      <w:r>
        <w:rPr>
          <w:rFonts w:ascii="Arial" w:cs="Arial" w:eastAsia="Arial" w:hAnsi="Arial"/>
          <w:sz w:val="19"/>
          <w:szCs w:val="19"/>
          <w:color w:val="auto"/>
        </w:rPr>
        <w:t>determining the amount and timing of dividends to Shareholders. A copy of the Board’s written mandate is attached to this Information Circular as Schedule A.</w:t>
      </w:r>
    </w:p>
    <w:p>
      <w:pPr>
        <w:spacing w:after="0" w:line="156"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Position Descriptions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Chair of the Board</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Board has adopted a written position description for the Chair of the Board which sets out the individual’s key responsibilities, including, as applicable, duties relating to setting Board meeting agendas, chairing Board and Shareholder meetings, managing in camera sessions, Director development and communicating with Shareholders and regulators.</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Committee Chairs</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Board has adopted a written position description for the Chair of the Audit &amp; Risk Management Committee, the Chair of the HRCC and the Chair of the NGC, each of which sets out such Chair’s key responsibilities, including duties relating to setting committee meeting agendas, chairing committee meetings and working with the respective committee and management to ensure, to the greatest extent possible, the effective functioning of the committee.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Chief Executive Officer</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Board has adopted a written position description and mandate for the Chief Executive Officer, which sets out the key responsibilities of the Chief Executive Officer. The primary functions of the Chief Executive Officer are to lead management of the business and affairs of the Company, to lead the implementation of the resolutions and the policies of the Board, to supervise day to day management of the Company and to communicate with Shareholders and regulators.</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Orientation and Continuing Education</w:t>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Board recognizes that ongoing director education is a key component of effective governance and board performance. Directors are expected to stay informed on evolving best practices, governance trends, and emerging regulatory and industry developments relevant to their oversight responsibilities.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To support this, the Company maintains a corporate membership with the Institute of Corporate Directors (ICD), which provides directors with access to valuable resources and programming. Certain members of the Board currently hold professional designations including ICD.D (Institute of Corporate Directors, Director), C.Dir (Chartered Director) and GCB.D (Global Competent Boards Designation), reflecting their commitment to high standards of governance and continuous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0680"/>
          </w:cols>
          <w:pgMar w:left="600" w:top="262" w:right="619" w:bottom="1440" w:gutter="0" w:footer="0" w:header="0"/>
        </w:sectPr>
      </w:pPr>
    </w:p>
    <w:bookmarkStart w:id="85" w:name="page86"/>
    <w:bookmarkEnd w:id="85"/>
    <w:p>
      <w:pPr>
        <w:jc w:val="both"/>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development. Directors are also encouraged to pursue further learning opportunities beyond the Company’s programs to strengthen their individual and collective contributions to the Board.</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Newly appointed directors participate in a structured onboarding program, which provides foundational knowledge of the Company’s operations, strategic priorities, governance framework, financial reporting, and committee responsibilities. Orientation is tailored to individual needs and supplemented with materials and briefings to support effective engagement from the outset.</w:t>
      </w:r>
    </w:p>
    <w:p>
      <w:pPr>
        <w:spacing w:after="0" w:line="16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Company also supports ongoing development by providing directors with an annual education allowance to participate in governance-focused programs, conferences, and other learning opportunities aligned with the Company’s business and strategic priorities. Educational topics reflect the evolving risk and opportunity landscape and may include AI, climate and sustainability issues, cybersecurity, financial regulation, risk management, and diversity and inclusion.</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Oversight of director development is the responsibility of the NGC, which ensures programs remain responsive to emerging governance challenges and evolving stakeholder expectations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Fiscal 2025, directors attended various courses, seminars and conferences on a variety of topics, including (but not limited to):</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3440" w:type="dxa"/>
            <w:vAlign w:val="bottom"/>
            <w:gridSpan w:val="2"/>
          </w:tcPr>
          <w:p>
            <w:pPr>
              <w:spacing w:after="0"/>
              <w:rPr>
                <w:sz w:val="20"/>
                <w:szCs w:val="20"/>
                <w:color w:val="auto"/>
              </w:rPr>
            </w:pPr>
            <w:r>
              <w:rPr>
                <w:rFonts w:ascii="Arial" w:cs="Arial" w:eastAsia="Arial" w:hAnsi="Arial"/>
                <w:sz w:val="19"/>
                <w:szCs w:val="19"/>
                <w:color w:val="auto"/>
              </w:rPr>
              <w:t>•  Risk Management and Business</w:t>
            </w:r>
          </w:p>
        </w:tc>
        <w:tc>
          <w:tcPr>
            <w:tcW w:w="3720" w:type="dxa"/>
            <w:vAlign w:val="bottom"/>
            <w:gridSpan w:val="2"/>
          </w:tcPr>
          <w:p>
            <w:pPr>
              <w:ind w:left="400"/>
              <w:spacing w:after="0"/>
              <w:rPr>
                <w:sz w:val="20"/>
                <w:szCs w:val="20"/>
                <w:color w:val="auto"/>
              </w:rPr>
            </w:pPr>
            <w:r>
              <w:rPr>
                <w:rFonts w:ascii="Arial" w:cs="Arial" w:eastAsia="Arial" w:hAnsi="Arial"/>
                <w:sz w:val="19"/>
                <w:szCs w:val="19"/>
                <w:color w:val="auto"/>
              </w:rPr>
              <w:t>•  Climate Change, including with</w:t>
            </w:r>
          </w:p>
        </w:tc>
        <w:tc>
          <w:tcPr>
            <w:tcW w:w="400" w:type="dxa"/>
            <w:vAlign w:val="bottom"/>
          </w:tcPr>
          <w:p>
            <w:pPr>
              <w:ind w:left="220"/>
              <w:spacing w:after="0"/>
              <w:rPr>
                <w:sz w:val="20"/>
                <w:szCs w:val="20"/>
                <w:color w:val="auto"/>
              </w:rPr>
            </w:pPr>
            <w:r>
              <w:rPr>
                <w:rFonts w:ascii="Arial" w:cs="Arial" w:eastAsia="Arial" w:hAnsi="Arial"/>
                <w:sz w:val="19"/>
                <w:szCs w:val="19"/>
                <w:color w:val="auto"/>
              </w:rPr>
              <w:t>•</w:t>
            </w:r>
          </w:p>
        </w:tc>
        <w:tc>
          <w:tcPr>
            <w:tcW w:w="2240" w:type="dxa"/>
            <w:vAlign w:val="bottom"/>
          </w:tcPr>
          <w:p>
            <w:pPr>
              <w:ind w:left="120"/>
              <w:spacing w:after="0"/>
              <w:rPr>
                <w:sz w:val="20"/>
                <w:szCs w:val="20"/>
                <w:color w:val="auto"/>
              </w:rPr>
            </w:pPr>
            <w:r>
              <w:rPr>
                <w:rFonts w:ascii="Arial" w:cs="Arial" w:eastAsia="Arial" w:hAnsi="Arial"/>
                <w:sz w:val="19"/>
                <w:szCs w:val="19"/>
                <w:color w:val="auto"/>
              </w:rPr>
              <w:t>Pensions and Benefits</w:t>
            </w:r>
          </w:p>
        </w:tc>
      </w:tr>
      <w:tr>
        <w:trPr>
          <w:trHeight w:val="254"/>
        </w:trPr>
        <w:tc>
          <w:tcPr>
            <w:tcW w:w="180" w:type="dxa"/>
            <w:vAlign w:val="bottom"/>
          </w:tcPr>
          <w:p>
            <w:pPr>
              <w:spacing w:after="0"/>
              <w:rPr>
                <w:sz w:val="22"/>
                <w:szCs w:val="22"/>
                <w:color w:val="auto"/>
              </w:rPr>
            </w:pPr>
          </w:p>
        </w:tc>
        <w:tc>
          <w:tcPr>
            <w:tcW w:w="3260" w:type="dxa"/>
            <w:vAlign w:val="bottom"/>
          </w:tcPr>
          <w:p>
            <w:pPr>
              <w:ind w:left="120"/>
              <w:spacing w:after="0"/>
              <w:rPr>
                <w:sz w:val="20"/>
                <w:szCs w:val="20"/>
                <w:color w:val="auto"/>
              </w:rPr>
            </w:pPr>
            <w:r>
              <w:rPr>
                <w:rFonts w:ascii="Arial" w:cs="Arial" w:eastAsia="Arial" w:hAnsi="Arial"/>
                <w:sz w:val="19"/>
                <w:szCs w:val="19"/>
                <w:color w:val="auto"/>
              </w:rPr>
              <w:t>Continuity</w:t>
            </w:r>
          </w:p>
        </w:tc>
        <w:tc>
          <w:tcPr>
            <w:tcW w:w="580" w:type="dxa"/>
            <w:vAlign w:val="bottom"/>
          </w:tcPr>
          <w:p>
            <w:pPr>
              <w:spacing w:after="0"/>
              <w:rPr>
                <w:sz w:val="22"/>
                <w:szCs w:val="22"/>
                <w:color w:val="auto"/>
              </w:rPr>
            </w:pPr>
          </w:p>
        </w:tc>
        <w:tc>
          <w:tcPr>
            <w:tcW w:w="3140" w:type="dxa"/>
            <w:vAlign w:val="bottom"/>
          </w:tcPr>
          <w:p>
            <w:pPr>
              <w:ind w:left="120"/>
              <w:spacing w:after="0"/>
              <w:rPr>
                <w:sz w:val="20"/>
                <w:szCs w:val="20"/>
                <w:color w:val="auto"/>
              </w:rPr>
            </w:pPr>
            <w:r>
              <w:rPr>
                <w:rFonts w:ascii="Arial" w:cs="Arial" w:eastAsia="Arial" w:hAnsi="Arial"/>
                <w:sz w:val="19"/>
                <w:szCs w:val="19"/>
                <w:color w:val="auto"/>
              </w:rPr>
              <w:t>respect to sustainability reporting</w:t>
            </w:r>
          </w:p>
        </w:tc>
        <w:tc>
          <w:tcPr>
            <w:tcW w:w="400" w:type="dxa"/>
            <w:vAlign w:val="bottom"/>
          </w:tcPr>
          <w:p>
            <w:pPr>
              <w:spacing w:after="0"/>
              <w:rPr>
                <w:sz w:val="22"/>
                <w:szCs w:val="22"/>
                <w:color w:val="auto"/>
              </w:rPr>
            </w:pPr>
          </w:p>
        </w:tc>
        <w:tc>
          <w:tcPr>
            <w:tcW w:w="2240" w:type="dxa"/>
            <w:vAlign w:val="bottom"/>
          </w:tcPr>
          <w:p>
            <w:pPr>
              <w:spacing w:after="0"/>
              <w:rPr>
                <w:sz w:val="22"/>
                <w:szCs w:val="22"/>
                <w:color w:val="auto"/>
              </w:rPr>
            </w:pPr>
          </w:p>
        </w:tc>
      </w:tr>
      <w:tr>
        <w:trPr>
          <w:trHeight w:val="270"/>
        </w:trPr>
        <w:tc>
          <w:tcPr>
            <w:tcW w:w="180" w:type="dxa"/>
            <w:vAlign w:val="bottom"/>
          </w:tcPr>
          <w:p>
            <w:pPr>
              <w:spacing w:after="0"/>
              <w:rPr>
                <w:sz w:val="20"/>
                <w:szCs w:val="20"/>
                <w:color w:val="auto"/>
              </w:rPr>
            </w:pPr>
            <w:r>
              <w:rPr>
                <w:rFonts w:ascii="Arial" w:cs="Arial" w:eastAsia="Arial" w:hAnsi="Arial"/>
                <w:sz w:val="19"/>
                <w:szCs w:val="19"/>
                <w:color w:val="auto"/>
              </w:rPr>
              <w:t>•</w:t>
            </w:r>
          </w:p>
        </w:tc>
        <w:tc>
          <w:tcPr>
            <w:tcW w:w="3260" w:type="dxa"/>
            <w:vAlign w:val="bottom"/>
          </w:tcPr>
          <w:p>
            <w:pPr>
              <w:ind w:left="120"/>
              <w:spacing w:after="0"/>
              <w:rPr>
                <w:sz w:val="20"/>
                <w:szCs w:val="20"/>
                <w:color w:val="auto"/>
              </w:rPr>
            </w:pPr>
            <w:r>
              <w:rPr>
                <w:rFonts w:ascii="Arial" w:cs="Arial" w:eastAsia="Arial" w:hAnsi="Arial"/>
                <w:sz w:val="19"/>
                <w:szCs w:val="19"/>
                <w:color w:val="auto"/>
              </w:rPr>
              <w:t>Corporate Governance</w:t>
            </w:r>
          </w:p>
        </w:tc>
        <w:tc>
          <w:tcPr>
            <w:tcW w:w="3720" w:type="dxa"/>
            <w:vAlign w:val="bottom"/>
            <w:gridSpan w:val="2"/>
          </w:tcPr>
          <w:p>
            <w:pPr>
              <w:ind w:left="400"/>
              <w:spacing w:after="0"/>
              <w:rPr>
                <w:sz w:val="20"/>
                <w:szCs w:val="20"/>
                <w:color w:val="auto"/>
              </w:rPr>
            </w:pPr>
            <w:r>
              <w:rPr>
                <w:rFonts w:ascii="Arial" w:cs="Arial" w:eastAsia="Arial" w:hAnsi="Arial"/>
                <w:sz w:val="19"/>
                <w:szCs w:val="19"/>
                <w:color w:val="auto"/>
              </w:rPr>
              <w:t>•  Equity, Diversity and Inclusion</w:t>
            </w:r>
          </w:p>
        </w:tc>
        <w:tc>
          <w:tcPr>
            <w:tcW w:w="400" w:type="dxa"/>
            <w:vAlign w:val="bottom"/>
          </w:tcPr>
          <w:p>
            <w:pPr>
              <w:ind w:left="220"/>
              <w:spacing w:after="0"/>
              <w:rPr>
                <w:sz w:val="20"/>
                <w:szCs w:val="20"/>
                <w:color w:val="auto"/>
              </w:rPr>
            </w:pPr>
            <w:r>
              <w:rPr>
                <w:rFonts w:ascii="Arial" w:cs="Arial" w:eastAsia="Arial" w:hAnsi="Arial"/>
                <w:sz w:val="19"/>
                <w:szCs w:val="19"/>
                <w:color w:val="auto"/>
              </w:rPr>
              <w:t>•</w:t>
            </w:r>
          </w:p>
        </w:tc>
        <w:tc>
          <w:tcPr>
            <w:tcW w:w="2240" w:type="dxa"/>
            <w:vAlign w:val="bottom"/>
          </w:tcPr>
          <w:p>
            <w:pPr>
              <w:ind w:left="120"/>
              <w:spacing w:after="0"/>
              <w:rPr>
                <w:sz w:val="20"/>
                <w:szCs w:val="20"/>
                <w:color w:val="auto"/>
              </w:rPr>
            </w:pPr>
            <w:r>
              <w:rPr>
                <w:rFonts w:ascii="Arial" w:cs="Arial" w:eastAsia="Arial" w:hAnsi="Arial"/>
                <w:sz w:val="19"/>
                <w:szCs w:val="19"/>
                <w:color w:val="auto"/>
              </w:rPr>
              <w:t>Financial Regulation and</w:t>
            </w:r>
          </w:p>
        </w:tc>
      </w:tr>
      <w:tr>
        <w:trPr>
          <w:trHeight w:val="254"/>
        </w:trPr>
        <w:tc>
          <w:tcPr>
            <w:tcW w:w="1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40" w:type="dxa"/>
            <w:vAlign w:val="bottom"/>
          </w:tcPr>
          <w:p>
            <w:pPr>
              <w:ind w:left="120"/>
              <w:spacing w:after="0"/>
              <w:rPr>
                <w:sz w:val="20"/>
                <w:szCs w:val="20"/>
                <w:color w:val="auto"/>
              </w:rPr>
            </w:pPr>
            <w:r>
              <w:rPr>
                <w:rFonts w:ascii="Arial" w:cs="Arial" w:eastAsia="Arial" w:hAnsi="Arial"/>
                <w:sz w:val="19"/>
                <w:szCs w:val="19"/>
                <w:color w:val="auto"/>
              </w:rPr>
              <w:t>Reporting</w:t>
            </w:r>
          </w:p>
        </w:tc>
      </w:tr>
      <w:tr>
        <w:trPr>
          <w:trHeight w:val="270"/>
        </w:trPr>
        <w:tc>
          <w:tcPr>
            <w:tcW w:w="180" w:type="dxa"/>
            <w:vAlign w:val="bottom"/>
          </w:tcPr>
          <w:p>
            <w:pPr>
              <w:spacing w:after="0"/>
              <w:rPr>
                <w:sz w:val="20"/>
                <w:szCs w:val="20"/>
                <w:color w:val="auto"/>
              </w:rPr>
            </w:pPr>
            <w:r>
              <w:rPr>
                <w:rFonts w:ascii="Arial" w:cs="Arial" w:eastAsia="Arial" w:hAnsi="Arial"/>
                <w:sz w:val="19"/>
                <w:szCs w:val="19"/>
                <w:color w:val="auto"/>
              </w:rPr>
              <w:t>•</w:t>
            </w:r>
          </w:p>
        </w:tc>
        <w:tc>
          <w:tcPr>
            <w:tcW w:w="3260" w:type="dxa"/>
            <w:vAlign w:val="bottom"/>
          </w:tcPr>
          <w:p>
            <w:pPr>
              <w:ind w:left="120"/>
              <w:spacing w:after="0"/>
              <w:rPr>
                <w:sz w:val="20"/>
                <w:szCs w:val="20"/>
                <w:color w:val="auto"/>
              </w:rPr>
            </w:pPr>
            <w:r>
              <w:rPr>
                <w:rFonts w:ascii="Arial" w:cs="Arial" w:eastAsia="Arial" w:hAnsi="Arial"/>
                <w:sz w:val="19"/>
                <w:szCs w:val="19"/>
                <w:color w:val="auto"/>
              </w:rPr>
              <w:t>Executive Compensation</w:t>
            </w:r>
          </w:p>
        </w:tc>
        <w:tc>
          <w:tcPr>
            <w:tcW w:w="580" w:type="dxa"/>
            <w:vAlign w:val="bottom"/>
          </w:tcPr>
          <w:p>
            <w:pPr>
              <w:ind w:left="400"/>
              <w:spacing w:after="0"/>
              <w:rPr>
                <w:sz w:val="20"/>
                <w:szCs w:val="20"/>
                <w:color w:val="auto"/>
              </w:rPr>
            </w:pPr>
            <w:r>
              <w:rPr>
                <w:rFonts w:ascii="Arial" w:cs="Arial" w:eastAsia="Arial" w:hAnsi="Arial"/>
                <w:sz w:val="19"/>
                <w:szCs w:val="19"/>
                <w:color w:val="auto"/>
              </w:rPr>
              <w:t>•</w:t>
            </w:r>
          </w:p>
        </w:tc>
        <w:tc>
          <w:tcPr>
            <w:tcW w:w="3140" w:type="dxa"/>
            <w:vAlign w:val="bottom"/>
          </w:tcPr>
          <w:p>
            <w:pPr>
              <w:ind w:left="120"/>
              <w:spacing w:after="0"/>
              <w:rPr>
                <w:sz w:val="20"/>
                <w:szCs w:val="20"/>
                <w:color w:val="auto"/>
              </w:rPr>
            </w:pPr>
            <w:r>
              <w:rPr>
                <w:rFonts w:ascii="Arial" w:cs="Arial" w:eastAsia="Arial" w:hAnsi="Arial"/>
                <w:sz w:val="19"/>
                <w:szCs w:val="19"/>
                <w:color w:val="auto"/>
              </w:rPr>
              <w:t>Environmental, Social and</w:t>
            </w:r>
          </w:p>
        </w:tc>
        <w:tc>
          <w:tcPr>
            <w:tcW w:w="400" w:type="dxa"/>
            <w:vAlign w:val="bottom"/>
          </w:tcPr>
          <w:p>
            <w:pPr>
              <w:ind w:left="220"/>
              <w:spacing w:after="0"/>
              <w:rPr>
                <w:sz w:val="20"/>
                <w:szCs w:val="20"/>
                <w:color w:val="auto"/>
              </w:rPr>
            </w:pPr>
            <w:r>
              <w:rPr>
                <w:rFonts w:ascii="Arial" w:cs="Arial" w:eastAsia="Arial" w:hAnsi="Arial"/>
                <w:sz w:val="19"/>
                <w:szCs w:val="19"/>
                <w:color w:val="auto"/>
              </w:rPr>
              <w:t>•</w:t>
            </w:r>
          </w:p>
        </w:tc>
        <w:tc>
          <w:tcPr>
            <w:tcW w:w="2240" w:type="dxa"/>
            <w:vAlign w:val="bottom"/>
          </w:tcPr>
          <w:p>
            <w:pPr>
              <w:ind w:left="120"/>
              <w:spacing w:after="0"/>
              <w:rPr>
                <w:sz w:val="20"/>
                <w:szCs w:val="20"/>
                <w:color w:val="auto"/>
              </w:rPr>
            </w:pPr>
            <w:r>
              <w:rPr>
                <w:rFonts w:ascii="Arial" w:cs="Arial" w:eastAsia="Arial" w:hAnsi="Arial"/>
                <w:sz w:val="19"/>
                <w:szCs w:val="19"/>
                <w:color w:val="auto"/>
              </w:rPr>
              <w:t>Technology and Artificial</w:t>
            </w:r>
          </w:p>
        </w:tc>
      </w:tr>
      <w:tr>
        <w:trPr>
          <w:trHeight w:val="254"/>
        </w:trPr>
        <w:tc>
          <w:tcPr>
            <w:tcW w:w="18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140" w:type="dxa"/>
            <w:vAlign w:val="bottom"/>
          </w:tcPr>
          <w:p>
            <w:pPr>
              <w:ind w:left="120"/>
              <w:spacing w:after="0"/>
              <w:rPr>
                <w:sz w:val="20"/>
                <w:szCs w:val="20"/>
                <w:color w:val="auto"/>
              </w:rPr>
            </w:pPr>
            <w:r>
              <w:rPr>
                <w:rFonts w:ascii="Arial" w:cs="Arial" w:eastAsia="Arial" w:hAnsi="Arial"/>
                <w:sz w:val="19"/>
                <w:szCs w:val="19"/>
                <w:color w:val="auto"/>
              </w:rPr>
              <w:t>Governance Issues</w:t>
            </w:r>
          </w:p>
        </w:tc>
        <w:tc>
          <w:tcPr>
            <w:tcW w:w="400" w:type="dxa"/>
            <w:vAlign w:val="bottom"/>
          </w:tcPr>
          <w:p>
            <w:pPr>
              <w:spacing w:after="0"/>
              <w:rPr>
                <w:sz w:val="22"/>
                <w:szCs w:val="22"/>
                <w:color w:val="auto"/>
              </w:rPr>
            </w:pPr>
          </w:p>
        </w:tc>
        <w:tc>
          <w:tcPr>
            <w:tcW w:w="2240" w:type="dxa"/>
            <w:vAlign w:val="bottom"/>
          </w:tcPr>
          <w:p>
            <w:pPr>
              <w:ind w:left="120"/>
              <w:spacing w:after="0"/>
              <w:rPr>
                <w:sz w:val="20"/>
                <w:szCs w:val="20"/>
                <w:color w:val="auto"/>
              </w:rPr>
            </w:pPr>
            <w:r>
              <w:rPr>
                <w:rFonts w:ascii="Arial" w:cs="Arial" w:eastAsia="Arial" w:hAnsi="Arial"/>
                <w:sz w:val="19"/>
                <w:szCs w:val="19"/>
                <w:color w:val="auto"/>
              </w:rPr>
              <w:t>Intelligence</w:t>
            </w:r>
          </w:p>
        </w:tc>
      </w:tr>
      <w:tr>
        <w:trPr>
          <w:trHeight w:val="314"/>
        </w:trPr>
        <w:tc>
          <w:tcPr>
            <w:tcW w:w="180" w:type="dxa"/>
            <w:vAlign w:val="bottom"/>
          </w:tcPr>
          <w:p>
            <w:pPr>
              <w:spacing w:after="0"/>
              <w:rPr>
                <w:sz w:val="20"/>
                <w:szCs w:val="20"/>
                <w:color w:val="auto"/>
              </w:rPr>
            </w:pPr>
            <w:r>
              <w:rPr>
                <w:rFonts w:ascii="Arial" w:cs="Arial" w:eastAsia="Arial" w:hAnsi="Arial"/>
                <w:sz w:val="19"/>
                <w:szCs w:val="19"/>
                <w:color w:val="auto"/>
              </w:rPr>
              <w:t>•</w:t>
            </w:r>
          </w:p>
        </w:tc>
        <w:tc>
          <w:tcPr>
            <w:tcW w:w="3260" w:type="dxa"/>
            <w:vAlign w:val="bottom"/>
          </w:tcPr>
          <w:p>
            <w:pPr>
              <w:ind w:left="120"/>
              <w:spacing w:after="0"/>
              <w:rPr>
                <w:sz w:val="20"/>
                <w:szCs w:val="20"/>
                <w:color w:val="auto"/>
              </w:rPr>
            </w:pPr>
            <w:r>
              <w:rPr>
                <w:rFonts w:ascii="Arial" w:cs="Arial" w:eastAsia="Arial" w:hAnsi="Arial"/>
                <w:sz w:val="19"/>
                <w:szCs w:val="19"/>
                <w:color w:val="auto"/>
              </w:rPr>
              <w:t>Labour and Employment</w:t>
            </w:r>
          </w:p>
        </w:tc>
        <w:tc>
          <w:tcPr>
            <w:tcW w:w="580" w:type="dxa"/>
            <w:vAlign w:val="bottom"/>
          </w:tcPr>
          <w:p>
            <w:pPr>
              <w:ind w:left="400"/>
              <w:spacing w:after="0"/>
              <w:rPr>
                <w:sz w:val="20"/>
                <w:szCs w:val="20"/>
                <w:color w:val="auto"/>
              </w:rPr>
            </w:pPr>
            <w:r>
              <w:rPr>
                <w:rFonts w:ascii="Arial" w:cs="Arial" w:eastAsia="Arial" w:hAnsi="Arial"/>
                <w:sz w:val="19"/>
                <w:szCs w:val="19"/>
                <w:color w:val="auto"/>
              </w:rPr>
              <w:t>•</w:t>
            </w:r>
          </w:p>
        </w:tc>
        <w:tc>
          <w:tcPr>
            <w:tcW w:w="3140" w:type="dxa"/>
            <w:vAlign w:val="bottom"/>
          </w:tcPr>
          <w:p>
            <w:pPr>
              <w:ind w:left="120"/>
              <w:spacing w:after="0"/>
              <w:rPr>
                <w:sz w:val="20"/>
                <w:szCs w:val="20"/>
                <w:color w:val="auto"/>
              </w:rPr>
            </w:pPr>
            <w:r>
              <w:rPr>
                <w:rFonts w:ascii="Arial" w:cs="Arial" w:eastAsia="Arial" w:hAnsi="Arial"/>
                <w:sz w:val="19"/>
                <w:szCs w:val="19"/>
                <w:color w:val="auto"/>
              </w:rPr>
              <w:t>Operational Technology</w:t>
            </w:r>
          </w:p>
        </w:tc>
        <w:tc>
          <w:tcPr>
            <w:tcW w:w="400" w:type="dxa"/>
            <w:vAlign w:val="bottom"/>
          </w:tcPr>
          <w:p>
            <w:pPr>
              <w:ind w:left="220"/>
              <w:spacing w:after="0"/>
              <w:rPr>
                <w:sz w:val="20"/>
                <w:szCs w:val="20"/>
                <w:color w:val="auto"/>
              </w:rPr>
            </w:pPr>
            <w:r>
              <w:rPr>
                <w:rFonts w:ascii="Arial" w:cs="Arial" w:eastAsia="Arial" w:hAnsi="Arial"/>
                <w:sz w:val="19"/>
                <w:szCs w:val="19"/>
                <w:color w:val="auto"/>
              </w:rPr>
              <w:t>•</w:t>
            </w:r>
          </w:p>
        </w:tc>
        <w:tc>
          <w:tcPr>
            <w:tcW w:w="2240" w:type="dxa"/>
            <w:vAlign w:val="bottom"/>
          </w:tcPr>
          <w:p>
            <w:pPr>
              <w:ind w:left="120"/>
              <w:spacing w:after="0"/>
              <w:rPr>
                <w:sz w:val="20"/>
                <w:szCs w:val="20"/>
                <w:color w:val="auto"/>
              </w:rPr>
            </w:pPr>
            <w:r>
              <w:rPr>
                <w:rFonts w:ascii="Arial" w:cs="Arial" w:eastAsia="Arial" w:hAnsi="Arial"/>
                <w:sz w:val="19"/>
                <w:szCs w:val="19"/>
                <w:color w:val="auto"/>
              </w:rPr>
              <w:t>Negotiations</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Ethical Business Conduct</w:t>
      </w: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The Company has adopted a Code of Business Conduct and Ethics (“</w:t>
      </w:r>
      <w:r>
        <w:rPr>
          <w:rFonts w:ascii="Arial" w:cs="Arial" w:eastAsia="Arial" w:hAnsi="Arial"/>
          <w:sz w:val="19"/>
          <w:szCs w:val="19"/>
          <w:b w:val="1"/>
          <w:bCs w:val="1"/>
          <w:color w:val="auto"/>
        </w:rPr>
        <w:t>Code of Business Conduct</w:t>
      </w:r>
      <w:r>
        <w:rPr>
          <w:rFonts w:ascii="Arial" w:cs="Arial" w:eastAsia="Arial" w:hAnsi="Arial"/>
          <w:sz w:val="19"/>
          <w:szCs w:val="19"/>
          <w:color w:val="auto"/>
        </w:rPr>
        <w:t xml:space="preserve">”) that applies to all of our Directors, managers, officers, and employees. The objective of the Code of Business Conduct is to provide guidelines for maintaining the integrity, reputation, honesty, objectivity and impartiality of the Company and its subsidiaries. Among other things, the Code of Business Conduct addresses conflicts of interest, protecting the Company’s assets, confidentiality, fair dealing with security holders, competitors and employees, insider trading, compliance with laws and reporting any illegal or unethical behaviours. As part of the Code of Business Conduct, any person subject to the Code of Business Conduct is required to avoid or fully disclose interests or relationships that are harmful or detrimental to the Company’s best interests or that may give rise to real, potential, or the appearance of, conflicts of interest. The Board will have the ultimate responsibility for the stewardship of the Code of Business Conduct. The Code of Business Conduct is available on the Company’s website at </w:t>
      </w:r>
      <w:r>
        <w:rPr>
          <w:rFonts w:ascii="Arial" w:cs="Arial" w:eastAsia="Arial" w:hAnsi="Arial"/>
          <w:sz w:val="19"/>
          <w:szCs w:val="19"/>
          <w:u w:val="single" w:color="auto"/>
          <w:color w:val="0000FF"/>
        </w:rPr>
        <w:t>www.algoma.com</w:t>
      </w:r>
      <w:r>
        <w:rPr>
          <w:rFonts w:ascii="Arial" w:cs="Arial" w:eastAsia="Arial" w:hAnsi="Arial"/>
          <w:sz w:val="19"/>
          <w:szCs w:val="19"/>
          <w:color w:val="auto"/>
        </w:rPr>
        <w:t>.</w:t>
      </w:r>
    </w:p>
    <w:p>
      <w:pPr>
        <w:spacing w:after="0" w:line="16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order to ensure compliance with the Code of Business Conduct, Company personnel are encouraged to talk to supervisors, managers or other appropriate personnel about observed illegal or unethical behavior and when in doubt about the best course of action in a particular situation. If</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0680"/>
          </w:cols>
          <w:pgMar w:left="600" w:top="262" w:right="619" w:bottom="1440" w:gutter="0" w:footer="0" w:header="0"/>
        </w:sectPr>
      </w:pPr>
    </w:p>
    <w:bookmarkStart w:id="86" w:name="page87"/>
    <w:bookmarkEnd w:id="86"/>
    <w:p>
      <w:pPr>
        <w:jc w:val="both"/>
        <w:spacing w:after="0" w:line="24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required, employees may report violations of the Code of Business Conduct anonymously. It is the policy of the Company not to allow retaliation for reports of misconduct by others made in good faith. It is, at the same time, unacceptable to file a report knowing it is false. In addition, to foster a strong culture of ethical business conduct, the Company has implemented several other policies discussed in further detail below and elsewhere in this Information Circular.</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Whistleblower Policy</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Company has adopted a whistleblower policy (the “</w:t>
      </w:r>
      <w:r>
        <w:rPr>
          <w:rFonts w:ascii="Arial" w:cs="Arial" w:eastAsia="Arial" w:hAnsi="Arial"/>
          <w:sz w:val="19"/>
          <w:szCs w:val="19"/>
          <w:b w:val="1"/>
          <w:bCs w:val="1"/>
          <w:color w:val="auto"/>
        </w:rPr>
        <w:t>Whistleblower Policy</w:t>
      </w:r>
      <w:r>
        <w:rPr>
          <w:rFonts w:ascii="Arial" w:cs="Arial" w:eastAsia="Arial" w:hAnsi="Arial"/>
          <w:sz w:val="19"/>
          <w:szCs w:val="19"/>
          <w:color w:val="auto"/>
        </w:rPr>
        <w:t>”) which sets out established procedures for personnel of the Company to confidentially and anonymously submit concerns to the Chair of the Audit &amp; Risk Management Committee (who is independent of the Company) or to a third-party reporting system regarding any accounting or auditing matter or any other matter which the individual believes to be in violation of the Code of Business Conduct.</w:t>
      </w:r>
    </w:p>
    <w:p>
      <w:pPr>
        <w:spacing w:after="0" w:line="164"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Insider Trading Policy</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The Company’s Insider Trading Policy provides that no one who is subject to the policy and has any knowledge of a material fact or a material change in the affairs of the Company that has not been generally disclosed to the public should purchase or sell any securities of the Company, inform anyone of such material fact or material change (other than in the necessary course of business) or advise anyone to purchase, sell, hold or exchange securities of the Company (or any other securities whose price or value may reasonably be expected to be affected by material changes affecting the Company) until the information has been generally disclosed to the public and sufficient time has elapsed for such information to have been adequately disseminated to the public. For the purpose of implementing such principles, the Insider Trading Policy sets out a number of guidelines, including directives to Directors, officers and employees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Disclosure and Confidential Information Policy</w:t>
      </w:r>
    </w:p>
    <w:p>
      <w:pPr>
        <w:spacing w:after="0" w:line="221"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The Company has adopted a disclosure and confidential information policy (the “</w:t>
      </w:r>
      <w:r>
        <w:rPr>
          <w:rFonts w:ascii="Arial" w:cs="Arial" w:eastAsia="Arial" w:hAnsi="Arial"/>
          <w:sz w:val="19"/>
          <w:szCs w:val="19"/>
          <w:b w:val="1"/>
          <w:bCs w:val="1"/>
          <w:color w:val="auto"/>
        </w:rPr>
        <w:t>Disclosure and Confidential Information</w:t>
      </w:r>
      <w:r>
        <w:rPr>
          <w:rFonts w:ascii="Arial" w:cs="Arial" w:eastAsia="Arial" w:hAnsi="Arial"/>
          <w:sz w:val="19"/>
          <w:szCs w:val="19"/>
          <w:color w:val="auto"/>
        </w:rPr>
        <w:t xml:space="preserve"> </w:t>
      </w:r>
      <w:r>
        <w:rPr>
          <w:rFonts w:ascii="Arial" w:cs="Arial" w:eastAsia="Arial" w:hAnsi="Arial"/>
          <w:sz w:val="19"/>
          <w:szCs w:val="19"/>
          <w:b w:val="1"/>
          <w:bCs w:val="1"/>
          <w:color w:val="auto"/>
        </w:rPr>
        <w:t>Policy</w:t>
      </w:r>
      <w:r>
        <w:rPr>
          <w:rFonts w:ascii="Arial" w:cs="Arial" w:eastAsia="Arial" w:hAnsi="Arial"/>
          <w:sz w:val="19"/>
          <w:szCs w:val="19"/>
          <w:color w:val="auto"/>
        </w:rPr>
        <w:t>”) which provides guidelines on the disclosure of material information and the protection of confidential information. The</w:t>
      </w:r>
      <w:r>
        <w:rPr>
          <w:rFonts w:ascii="Arial" w:cs="Arial" w:eastAsia="Arial" w:hAnsi="Arial"/>
          <w:sz w:val="19"/>
          <w:szCs w:val="19"/>
          <w:b w:val="1"/>
          <w:bCs w:val="1"/>
          <w:color w:val="auto"/>
        </w:rPr>
        <w:t xml:space="preserve"> </w:t>
      </w:r>
      <w:r>
        <w:rPr>
          <w:rFonts w:ascii="Arial" w:cs="Arial" w:eastAsia="Arial" w:hAnsi="Arial"/>
          <w:sz w:val="19"/>
          <w:szCs w:val="19"/>
          <w:color w:val="auto"/>
        </w:rPr>
        <w:t>guidelines include the directive to disclose any material information in respect of the Company, whether favourable or unfavourable, to the public promptly via news release and to not engage in selective disclosure. All written and oral disclosure, including news releases, must be approved, before public disclosure, by the disclosure committee of the Company (or designated members thereof). Any news releases containing material information should also be approved by the Board. The Disclosure and Confidential Information Policy also establishes guidelines with respect to electronic communications, dealings with the investment community and forward-looking information. To prevent the inadvertent disclosure of confidential information, the Disclosure and Confidential Information Policy provides that Company personnel should not discuss the affairs of the Company with, or make information about the Company available to, outsiders and should take specific steps to preserve confidentiality where information is required to be disclosed to third parties.</w:t>
      </w:r>
    </w:p>
    <w:p>
      <w:pPr>
        <w:spacing w:after="0" w:line="173"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Share Ownership Guidelines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To align the interests of the Company’s Directors and executives with those of the Shareholders, the Company has adopted share ownership guidelines. For further information on the share</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0680"/>
          </w:cols>
          <w:pgMar w:left="600" w:top="262" w:right="619" w:bottom="1440" w:gutter="0" w:footer="0" w:header="0"/>
        </w:sectPr>
      </w:pPr>
    </w:p>
    <w:bookmarkStart w:id="87" w:name="page88"/>
    <w:bookmarkEnd w:id="87"/>
    <w:p>
      <w:pPr>
        <w:jc w:val="both"/>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ownership guidelines, please see “</w:t>
      </w:r>
      <w:r>
        <w:rPr>
          <w:rFonts w:ascii="Arial" w:cs="Arial" w:eastAsia="Arial" w:hAnsi="Arial"/>
          <w:sz w:val="19"/>
          <w:szCs w:val="19"/>
          <w:i w:val="1"/>
          <w:iCs w:val="1"/>
          <w:color w:val="auto"/>
        </w:rPr>
        <w:t>Compensation – Compensation Discussion and Analysis</w:t>
      </w:r>
      <w:r>
        <w:rPr>
          <w:rFonts w:ascii="Arial" w:cs="Arial" w:eastAsia="Arial" w:hAnsi="Arial"/>
          <w:sz w:val="19"/>
          <w:szCs w:val="19"/>
          <w:color w:val="auto"/>
        </w:rPr>
        <w:t xml:space="preserve"> – </w:t>
      </w:r>
      <w:r>
        <w:rPr>
          <w:rFonts w:ascii="Arial" w:cs="Arial" w:eastAsia="Arial" w:hAnsi="Arial"/>
          <w:sz w:val="19"/>
          <w:szCs w:val="19"/>
          <w:i w:val="1"/>
          <w:iCs w:val="1"/>
          <w:color w:val="auto"/>
        </w:rPr>
        <w:t>Share Ownership Guidelines</w:t>
      </w:r>
      <w:r>
        <w:rPr>
          <w:rFonts w:ascii="Arial" w:cs="Arial" w:eastAsia="Arial" w:hAnsi="Arial"/>
          <w:sz w:val="19"/>
          <w:szCs w:val="19"/>
          <w:color w:val="auto"/>
        </w:rPr>
        <w:t>” herein.</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Clawback Policy</w:t>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The Company has adopted the Clawback Policy in accordance with Nasdaq Rules, Rule 10D-1 under the Exchange Act and Section 304 of the U.S. Sarbanes-Oxley Act, which applies to our current and former executive officers. Under the Clawback Policy, we are required to recoup the amount of any erroneously awarded compensation on a pre-tax basis within a specified lookback period in the event of any accounting Restatement (as defined in the Clawback Policy) or where an executive officer engages in fraud, criminal misconduct, gross negligence or other intentional and serious misconduct that results in an accounting Restatement, subject to limited impracticability exceptions. Restatements include both a restatement to correct an error that is material to previously issued financial statements or that would result in a material misstatement if the error were corrected in the current period or left uncorrected in the current period.</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amount required to be recovered is the excess of the amount of incentive-based compensation received over the amount that otherwise would have been received had it been determined based on the restated financial measure and excludes base annual salary received by the executive. The Clawback Policy is overseen and administered by the Board. The full text of the Clawback Policy was included as Exhibit 97 to our Annual Report on Form 40-F for Fiscal 2025, filed with the SEC on March 11, 2026.</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Inclusion and Representation</w:t>
      </w:r>
    </w:p>
    <w:p>
      <w:pPr>
        <w:spacing w:after="0" w:line="22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Company is committed to fostering an open and inclusive workplace culture. The Company underscores a commitment to inclusion and recognizes it as an important asset. The Company and its affiliates are firmly committed to providing equal opportunity in all aspects of employment. 25% of the Company’s executive management team self-identify as underrepresented individuals based on national, racial, ethnic, indigenous, cultural, religious or linguistic identity in Canada.</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As of May 2022, the Company adopted a Diversity, Equity and Inclusion Policy, and as of February 2024, the Company adopted a Board Diversity Policy. These policies showcase our commitment to improving the representation within the Company, including on the Board, of people of all genders, ethnicity, sexual identity and race in order that we can better reflect the representation of these groups within our community. The Board believes in the importance of inclusive leadership and values the benefits that a diverse board of directors can bring to the Company, including promoting an inclusive work environment that embraces, values and respects individuals of all characteristics. The Board believes inclusive representation brings a range of perspectives and ideas, helping to mitigate against group think and enhance oversight, decision-making and governance. The Company is committed to fostering an inclusive culture based on merit and free of conscious or unconscious bias.</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We are embedding sustainability practices into our business model, including striving to actively support an inclusive workplace; providing a safe and healthy environment for all employees; and promoting a culture where all of our employees share the foregoing commitments.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Directors are encouraged to pursue education on sustainability and climate change-related matters to continue further developing Board expertise. In the twelve-month period ended December 31, 2024, members of the Board undertook sustainability-related training including taking courses and attending conferences on topics including data, artificial intelligence and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0680"/>
          </w:cols>
          <w:pgMar w:left="600" w:top="262" w:right="619" w:bottom="1440" w:gutter="0" w:footer="0" w:header="0"/>
        </w:sectPr>
      </w:pPr>
    </w:p>
    <w:bookmarkStart w:id="88" w:name="page89"/>
    <w:bookmarkEnd w:id="88"/>
    <w:p>
      <w:pPr>
        <w:jc w:val="both"/>
        <w:spacing w:after="0" w:line="250"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cybersecurity, sustainability reporting and the International Sustainability Standards Board (“</w:t>
      </w:r>
      <w:r>
        <w:rPr>
          <w:rFonts w:ascii="Arial" w:cs="Arial" w:eastAsia="Arial" w:hAnsi="Arial"/>
          <w:sz w:val="19"/>
          <w:szCs w:val="19"/>
          <w:b w:val="1"/>
          <w:bCs w:val="1"/>
          <w:color w:val="auto"/>
        </w:rPr>
        <w:t>ISSB</w:t>
      </w:r>
      <w:r>
        <w:rPr>
          <w:rFonts w:ascii="Arial" w:cs="Arial" w:eastAsia="Arial" w:hAnsi="Arial"/>
          <w:sz w:val="19"/>
          <w:szCs w:val="19"/>
          <w:color w:val="auto"/>
        </w:rPr>
        <w:t>”) standards, climate change, indigenous partnerships and reconciliation, human capital, enterprise risk management, inclusive practices, biodiversity and executive compensation.</w:t>
      </w:r>
    </w:p>
    <w:p>
      <w:pPr>
        <w:spacing w:after="0" w:line="158"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The NGC considers diversity as part of its overall annual evaluation of Director nominees for election or re-election, as well as candidates for management positions, and our executive team takes gender and broader representation into consideration as part of its overall recruitment and selection process in respect of our Board and senior management. Gender is of particular importance to us in ensuring balanced representation within the Board and management. In particular, when assessing Board composition or identifying suitable candidates for appointment or re-election to the Board, the Board will consider candidates using objective criteria having due regard to the benefits of inclusive and well-rounded perspectives and to their qualifications, including skills, knowledge, experience, competencies and attributes the Board identifies as necessary to effectively fulfill its mandate and address existing and emerging business and governance issues, and legal and regulatory requirements. Recommendations concerning Director nominees are, foremost, based on merit and performance, but representation and experience from varied backgrounds is taken into consideration, as it is beneficial that a diversity of backgrounds, views and experiences be present at the Board and management levels.</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level of representation of women has been, and will continue to be, considered by the Company, the Board and the NGC in the making of executive officer appointments. In searches for new executive officers, the NGC will consider the level of female representation and diversity in management as one of several factors used in its search process. This will be achieved through continuously monitoring the level of female representation in senior management positions and, where appropriate, recruiting qualified female candidates as part of our overall recruitment and selection process to fill senior management positions, as the need arises, through vacancies, growth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With a view to enhancing Board diversity, the Board has adopted the following practices:</w:t>
      </w:r>
    </w:p>
    <w:p>
      <w:pPr>
        <w:spacing w:after="0" w:line="227" w:lineRule="exact"/>
        <w:rPr>
          <w:sz w:val="20"/>
          <w:szCs w:val="20"/>
          <w:color w:val="auto"/>
        </w:rPr>
      </w:pPr>
    </w:p>
    <w:p>
      <w:pPr>
        <w:jc w:val="both"/>
        <w:ind w:left="1040" w:hanging="516"/>
        <w:spacing w:after="0" w:line="236" w:lineRule="auto"/>
        <w:tabs>
          <w:tab w:leader="none" w:pos="10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When recruiting new candidates for director, search protocols extend beyond the networks of existing Board members and include the identification of a reasonable proportion of candidates who are women and candidates of other designated groups.</w:t>
      </w:r>
    </w:p>
    <w:p>
      <w:pPr>
        <w:spacing w:after="0" w:line="2" w:lineRule="exact"/>
        <w:rPr>
          <w:rFonts w:ascii="Arial" w:cs="Arial" w:eastAsia="Arial" w:hAnsi="Arial"/>
          <w:sz w:val="19"/>
          <w:szCs w:val="19"/>
          <w:color w:val="auto"/>
        </w:rPr>
      </w:pPr>
    </w:p>
    <w:p>
      <w:pPr>
        <w:ind w:left="1040" w:hanging="516"/>
        <w:spacing w:after="0" w:line="230" w:lineRule="auto"/>
        <w:tabs>
          <w:tab w:leader="none" w:pos="10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Any search firm engaged to help identify candidates for appointment to the Board will be specifically directed to include women candidates and candidates who are members of other designated groups.</w:t>
      </w:r>
    </w:p>
    <w:p>
      <w:pPr>
        <w:ind w:left="1040" w:hanging="516"/>
        <w:spacing w:after="0" w:line="249" w:lineRule="auto"/>
        <w:tabs>
          <w:tab w:leader="none" w:pos="10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 the event the Board maintains an ongoing list of potential director candidates, the Board will ensure that such list includes members of the designated groups and, in particular, includes women candidates.</w:t>
      </w:r>
    </w:p>
    <w:p>
      <w:pPr>
        <w:spacing w:after="0" w:line="15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Board believes that all aspects of diversity are important. The Board also believes that promotion of inclusion is best served through careful consideration of all of the knowledge, experience, skills and backgrounds of each individual candidate for director in light of the needs of the Board without focusing on a single characteristic. Accordingly, it has not adopted specific Board inclusion goals but will seek to maintain a Board in which each gender represents at least 30% of the Board.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0680"/>
          </w:cols>
          <w:pgMar w:left="600" w:top="260" w:right="619" w:bottom="1440" w:gutter="0" w:footer="0" w:header="0"/>
        </w:sectPr>
      </w:pPr>
    </w:p>
    <w:bookmarkStart w:id="89" w:name="page90"/>
    <w:bookmarkEnd w:id="89"/>
    <w:p>
      <w:pPr>
        <w:jc w:val="both"/>
        <w:ind w:right="20"/>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following are the number and proportion, expressed as a percentage, of members of the Board and executive officers who are women:</w:t>
      </w:r>
    </w:p>
    <w:p>
      <w:pPr>
        <w:spacing w:after="0" w:line="168"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060" w:type="dxa"/>
            <w:vAlign w:val="bottom"/>
            <w:tcBorders>
              <w:top w:val="single" w:sz="8" w:color="auto"/>
              <w:left w:val="single" w:sz="8" w:color="auto"/>
              <w:bottom w:val="single" w:sz="8" w:color="auto"/>
              <w:right w:val="single" w:sz="8" w:color="auto"/>
            </w:tcBorders>
            <w:shd w:val="clear" w:color="auto" w:fill="003445"/>
          </w:tcPr>
          <w:p>
            <w:pPr>
              <w:ind w:left="3340"/>
              <w:spacing w:after="0"/>
              <w:rPr>
                <w:sz w:val="20"/>
                <w:szCs w:val="20"/>
                <w:color w:val="auto"/>
              </w:rPr>
            </w:pPr>
            <w:r>
              <w:rPr>
                <w:rFonts w:ascii="Arial" w:cs="Arial" w:eastAsia="Arial" w:hAnsi="Arial"/>
                <w:sz w:val="17"/>
                <w:szCs w:val="17"/>
                <w:b w:val="1"/>
                <w:bCs w:val="1"/>
                <w:color w:val="FFFFFF"/>
              </w:rPr>
              <w:t>Group</w:t>
            </w:r>
          </w:p>
        </w:tc>
        <w:tc>
          <w:tcPr>
            <w:tcW w:w="1820" w:type="dxa"/>
            <w:vAlign w:val="bottom"/>
            <w:tcBorders>
              <w:top w:val="single" w:sz="8" w:color="auto"/>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Women</w:t>
            </w:r>
          </w:p>
        </w:tc>
        <w:tc>
          <w:tcPr>
            <w:tcW w:w="1820" w:type="dxa"/>
            <w:vAlign w:val="bottom"/>
            <w:tcBorders>
              <w:top w:val="single" w:sz="8" w:color="auto"/>
              <w:bottom w:val="single" w:sz="8" w:color="auto"/>
              <w:right w:val="single" w:sz="8" w:color="auto"/>
            </w:tcBorders>
            <w:shd w:val="clear" w:color="auto" w:fill="003445"/>
          </w:tcPr>
          <w:p>
            <w:pPr>
              <w:jc w:val="center"/>
              <w:spacing w:after="0"/>
              <w:rPr>
                <w:sz w:val="20"/>
                <w:szCs w:val="20"/>
                <w:color w:val="auto"/>
              </w:rPr>
            </w:pPr>
            <w:r>
              <w:rPr>
                <w:rFonts w:ascii="Arial" w:cs="Arial" w:eastAsia="Arial" w:hAnsi="Arial"/>
                <w:sz w:val="17"/>
                <w:szCs w:val="17"/>
                <w:b w:val="1"/>
                <w:bCs w:val="1"/>
                <w:color w:val="FFFFFF"/>
              </w:rPr>
              <w:t>Percentage</w:t>
            </w:r>
          </w:p>
        </w:tc>
      </w:tr>
      <w:tr>
        <w:trPr>
          <w:trHeight w:val="226"/>
        </w:trPr>
        <w:tc>
          <w:tcPr>
            <w:tcW w:w="7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Current Board</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33.3%</w:t>
            </w:r>
          </w:p>
        </w:tc>
      </w:tr>
      <w:tr>
        <w:trPr>
          <w:trHeight w:val="229"/>
        </w:trPr>
        <w:tc>
          <w:tcPr>
            <w:tcW w:w="7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Board if all Director Nominees are Elected at the Meeting</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3</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33.3%</w:t>
            </w:r>
          </w:p>
        </w:tc>
      </w:tr>
      <w:tr>
        <w:trPr>
          <w:trHeight w:val="229"/>
        </w:trPr>
        <w:tc>
          <w:tcPr>
            <w:tcW w:w="70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7"/>
                <w:szCs w:val="17"/>
                <w:color w:val="auto"/>
              </w:rPr>
              <w:t>Executive Officers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rPr>
              <w:t>2</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9"/>
              </w:rPr>
              <w:t>22.2%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Conflicts of Interest</w:t>
      </w:r>
    </w:p>
    <w:p>
      <w:pPr>
        <w:spacing w:after="0" w:line="223"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Certain of our Directors and officers are associated with other companies or entities, which may give rise to conflicts of interest. In accordance with the BCBCA, Directors who have a material interest in a contract or transaction, or proposed contract or transaction, that is material to the Company, or in any person with a material interest in such a contract or transaction, are required, subject to certain exceptions, to disclose that interest and abstain from voting on any resolution to approve that contract or transaction. In addition, the Directors are required to act honestly and in good faith with a view to the best interests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Committees of the Board</w:t>
      </w:r>
    </w:p>
    <w:p>
      <w:pPr>
        <w:spacing w:after="0" w:line="223"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The Board has established four standing committees: (i) the Audit &amp; Risk Management Committee; (ii) the Human Resources and Compensation Committee; (iii) the Nominating and Governance Committee; and (iv) the operations and capital projects committee (“</w:t>
      </w:r>
      <w:r>
        <w:rPr>
          <w:rFonts w:ascii="Arial" w:cs="Arial" w:eastAsia="Arial" w:hAnsi="Arial"/>
          <w:sz w:val="19"/>
          <w:szCs w:val="19"/>
          <w:b w:val="1"/>
          <w:bCs w:val="1"/>
          <w:color w:val="auto"/>
        </w:rPr>
        <w:t>Operations and Capital Projects Committee</w:t>
      </w:r>
      <w:r>
        <w:rPr>
          <w:rFonts w:ascii="Arial" w:cs="Arial" w:eastAsia="Arial" w:hAnsi="Arial"/>
          <w:sz w:val="19"/>
          <w:szCs w:val="19"/>
          <w:color w:val="auto"/>
        </w:rPr>
        <w:t>”). The Board may also constitute ad hoc committees from time to time for particular purposes.</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Audit &amp; Risk Management Committee</w:t>
      </w:r>
    </w:p>
    <w:p>
      <w:pPr>
        <w:spacing w:after="0" w:line="207" w:lineRule="exact"/>
        <w:rPr>
          <w:sz w:val="20"/>
          <w:szCs w:val="20"/>
          <w:color w:val="auto"/>
        </w:rPr>
      </w:pPr>
    </w:p>
    <w:p>
      <w:pPr>
        <w:jc w:val="both"/>
        <w:ind w:right="20"/>
        <w:spacing w:after="0" w:line="238" w:lineRule="auto"/>
        <w:rPr>
          <w:sz w:val="20"/>
          <w:szCs w:val="20"/>
          <w:color w:val="auto"/>
        </w:rPr>
      </w:pPr>
      <w:r>
        <w:rPr>
          <w:rFonts w:ascii="Arial" w:cs="Arial" w:eastAsia="Arial" w:hAnsi="Arial"/>
          <w:sz w:val="19"/>
          <w:szCs w:val="19"/>
          <w:color w:val="auto"/>
        </w:rPr>
        <w:t>Our Audit &amp; Risk Management Committee consists of a minimum of three and a maximum of five Directors. Our Audit &amp; Risk Management Committee currently consists of Messrs. Harshaw, Gouin and Donnelly and Ms. Newman. Mr. Gouin serves as the chair of the committee. The Board has determined that each member of the Audit &amp; Risk Management Committee is independent within the meaning of the Nasdaq corporate governance rules, National Instrument 52-110 – Audit Committees (“</w:t>
      </w:r>
      <w:r>
        <w:rPr>
          <w:rFonts w:ascii="Arial" w:cs="Arial" w:eastAsia="Arial" w:hAnsi="Arial"/>
          <w:sz w:val="19"/>
          <w:szCs w:val="19"/>
          <w:b w:val="1"/>
          <w:bCs w:val="1"/>
          <w:color w:val="auto"/>
        </w:rPr>
        <w:t>NI 52-110</w:t>
      </w:r>
      <w:r>
        <w:rPr>
          <w:rFonts w:ascii="Arial" w:cs="Arial" w:eastAsia="Arial" w:hAnsi="Arial"/>
          <w:sz w:val="19"/>
          <w:szCs w:val="19"/>
          <w:color w:val="auto"/>
        </w:rPr>
        <w:t>”) and the Exchange Act, and free from any relationship that, in the view of the Board, could be reasonably expected to interfere with the exercise of his independent judgment as a member of the committee.</w:t>
      </w:r>
    </w:p>
    <w:p>
      <w:pPr>
        <w:spacing w:after="0" w:line="167" w:lineRule="exact"/>
        <w:rPr>
          <w:sz w:val="20"/>
          <w:szCs w:val="20"/>
          <w:color w:val="auto"/>
        </w:rPr>
      </w:pPr>
    </w:p>
    <w:p>
      <w:pPr>
        <w:jc w:val="both"/>
        <w:ind w:right="20"/>
        <w:spacing w:after="0" w:line="236" w:lineRule="auto"/>
        <w:rPr>
          <w:sz w:val="20"/>
          <w:szCs w:val="20"/>
          <w:color w:val="auto"/>
        </w:rPr>
      </w:pPr>
      <w:r>
        <w:rPr>
          <w:rFonts w:ascii="Arial" w:cs="Arial" w:eastAsia="Arial" w:hAnsi="Arial"/>
          <w:sz w:val="19"/>
          <w:szCs w:val="19"/>
          <w:color w:val="auto"/>
        </w:rPr>
        <w:t>Each member of the Audit &amp; Risk Management Committee has direct experience relevant to the performance of his responsibilities as an Audit &amp; Risk Management Committee member. All members of our Audit &amp; Risk Management Committee are financially literate (which is defined as the ability to read and understand a set of financial statements that present a breadth and level of complexity of accounting issues that are generally comparable to the breadth and complexity of the issues that can reasonably be expected to be raised by Algoma’s financial statements). In addition, one member of the Audit &amp; Risk Management Committee is required to have accounting or related financial management expertise, qualifying as an audit committee financial expert as defined by the rules of the SEC rules, which our board of directors has determined is Mr. Gouin and Ms. Newman. For additional details regarding the relevant education and experience of each</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0700"/>
          </w:cols>
          <w:pgMar w:left="600" w:top="262" w:right="599" w:bottom="1440" w:gutter="0" w:footer="0" w:header="0"/>
        </w:sectPr>
      </w:pPr>
    </w:p>
    <w:bookmarkStart w:id="90" w:name="page91"/>
    <w:bookmarkEnd w:id="90"/>
    <w:p>
      <w:pPr>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member of the Audit &amp; Risk Management Committee, see “</w:t>
      </w:r>
      <w:r>
        <w:rPr>
          <w:rFonts w:ascii="Arial" w:cs="Arial" w:eastAsia="Arial" w:hAnsi="Arial"/>
          <w:sz w:val="19"/>
          <w:szCs w:val="19"/>
          <w:i w:val="1"/>
          <w:iCs w:val="1"/>
          <w:color w:val="auto"/>
        </w:rPr>
        <w:t>Matters to be Considered at the Meeting – 2.</w:t>
      </w:r>
      <w:r>
        <w:rPr>
          <w:rFonts w:ascii="Arial" w:cs="Arial" w:eastAsia="Arial" w:hAnsi="Arial"/>
          <w:sz w:val="19"/>
          <w:szCs w:val="19"/>
          <w:color w:val="auto"/>
        </w:rPr>
        <w:t xml:space="preserve">  </w:t>
      </w:r>
      <w:r>
        <w:rPr>
          <w:rFonts w:ascii="Arial" w:cs="Arial" w:eastAsia="Arial" w:hAnsi="Arial"/>
          <w:sz w:val="19"/>
          <w:szCs w:val="19"/>
          <w:i w:val="1"/>
          <w:iCs w:val="1"/>
          <w:color w:val="auto"/>
        </w:rPr>
        <w:t>Election of</w:t>
      </w:r>
      <w:r>
        <w:rPr>
          <w:rFonts w:ascii="Arial" w:cs="Arial" w:eastAsia="Arial" w:hAnsi="Arial"/>
          <w:sz w:val="19"/>
          <w:szCs w:val="19"/>
          <w:color w:val="auto"/>
        </w:rPr>
        <w:t xml:space="preserve"> Directors </w:t>
      </w:r>
      <w:r>
        <w:rPr>
          <w:rFonts w:ascii="Arial" w:cs="Arial" w:eastAsia="Arial" w:hAnsi="Arial"/>
          <w:sz w:val="19"/>
          <w:szCs w:val="19"/>
          <w:i w:val="1"/>
          <w:iCs w:val="1"/>
          <w:color w:val="auto"/>
        </w:rPr>
        <w:t>– About the Nominees</w:t>
      </w:r>
      <w:r>
        <w:rPr>
          <w:rFonts w:ascii="Arial" w:cs="Arial" w:eastAsia="Arial" w:hAnsi="Arial"/>
          <w:sz w:val="19"/>
          <w:szCs w:val="19"/>
          <w:color w:val="auto"/>
        </w:rPr>
        <w:t>”.</w:t>
      </w:r>
    </w:p>
    <w:p>
      <w:pPr>
        <w:spacing w:after="0" w:line="141"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Board has adopted a written charter for the Audit &amp; Risk Management Committee, which sets out the Audit &amp; Risk Management Committee’s responsibilities. These responsibilities include (but are not limited to):</w:t>
      </w:r>
    </w:p>
    <w:p>
      <w:pPr>
        <w:spacing w:after="0" w:line="141" w:lineRule="exact"/>
        <w:rPr>
          <w:sz w:val="20"/>
          <w:szCs w:val="20"/>
          <w:color w:val="auto"/>
        </w:rPr>
      </w:pPr>
    </w:p>
    <w:p>
      <w:pPr>
        <w:jc w:val="both"/>
        <w:ind w:left="1040" w:hanging="411"/>
        <w:spacing w:after="0" w:line="249" w:lineRule="auto"/>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reviewing, approving and recommending for Board approval Algoma’s financial statements, including any certification, report, opinion or review rendered by the external auditor, the annual information form, and the related management’s discussion and analysis and press release;</w:t>
      </w:r>
    </w:p>
    <w:p>
      <w:pPr>
        <w:spacing w:after="0" w:line="158"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receiving periodically management reports assessing the adequacy and effectiveness of Algoma’s disclosure controls and procedures;</w:t>
      </w:r>
    </w:p>
    <w:p>
      <w:pPr>
        <w:spacing w:after="0" w:line="140" w:lineRule="exact"/>
        <w:rPr>
          <w:rFonts w:ascii="Arial" w:cs="Arial" w:eastAsia="Arial" w:hAnsi="Arial"/>
          <w:sz w:val="19"/>
          <w:szCs w:val="19"/>
          <w:color w:val="auto"/>
        </w:rPr>
      </w:pPr>
    </w:p>
    <w:p>
      <w:pPr>
        <w:jc w:val="both"/>
        <w:ind w:left="1040" w:hanging="411"/>
        <w:spacing w:after="0" w:line="252" w:lineRule="auto"/>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reviewing and making recommendations to the Board in respect of the mandate of Algoma’s disclosure committee and reviewing the disclosure committee’s quarterly reports pertaining to its activities for the previous quarter;</w:t>
      </w:r>
    </w:p>
    <w:p>
      <w:pPr>
        <w:spacing w:after="0" w:line="379"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preparing all disclosure and reports as may be required to be prepared by the committee by any applicable law, regulation, rule or listing standard;</w:t>
      </w:r>
    </w:p>
    <w:p>
      <w:pPr>
        <w:spacing w:after="0" w:line="140" w:lineRule="exact"/>
        <w:rPr>
          <w:rFonts w:ascii="Arial" w:cs="Arial" w:eastAsia="Arial" w:hAnsi="Arial"/>
          <w:sz w:val="19"/>
          <w:szCs w:val="19"/>
          <w:color w:val="auto"/>
        </w:rPr>
      </w:pPr>
    </w:p>
    <w:p>
      <w:pPr>
        <w:jc w:val="both"/>
        <w:ind w:left="1040" w:hanging="411"/>
        <w:spacing w:after="0" w:line="243" w:lineRule="auto"/>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reviewing material prepared by management regarding Algoma’s financial strategy considering current and future capital and operating plans and budgets, Algoma’s capital structure, including debt and equity components, current and expected financial leverage, interest rate and foreign currency exposures and in the committee’s discretion, making recommendations to the Board;</w:t>
      </w:r>
    </w:p>
    <w:p>
      <w:pPr>
        <w:spacing w:after="0" w:line="163"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reviewing management’s process to identify, monitor and manage the significant risks associated with the activities of Algoma, as well as the steps taken by management to report such risks;</w:t>
      </w:r>
    </w:p>
    <w:p>
      <w:pPr>
        <w:spacing w:after="0" w:line="140"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reviewing the effectiveness of the internal control systems for monitoring compliance with applicable laws and regulations;</w:t>
      </w:r>
    </w:p>
    <w:p>
      <w:pPr>
        <w:spacing w:after="0" w:line="140" w:lineRule="exact"/>
        <w:rPr>
          <w:rFonts w:ascii="Arial" w:cs="Arial" w:eastAsia="Arial" w:hAnsi="Arial"/>
          <w:sz w:val="19"/>
          <w:szCs w:val="19"/>
          <w:color w:val="auto"/>
        </w:rPr>
      </w:pPr>
    </w:p>
    <w:p>
      <w:pPr>
        <w:jc w:val="both"/>
        <w:ind w:left="1040" w:hanging="411"/>
        <w:spacing w:after="0" w:line="239" w:lineRule="auto"/>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assessing the qualifications and independence of the external auditor and being directly responsible for the appointment, compensation, retention and oversight of the work of any registered public accounting firm engaged (including resolution of disagreements between management of Algoma and the auditor regarding financial reporting) for the purpose of preparing or issuing an audit report or performing other audit, review or attest services for Algoma;</w:t>
      </w:r>
    </w:p>
    <w:p>
      <w:pPr>
        <w:spacing w:after="0" w:line="169" w:lineRule="exact"/>
        <w:rPr>
          <w:rFonts w:ascii="Arial" w:cs="Arial" w:eastAsia="Arial" w:hAnsi="Arial"/>
          <w:sz w:val="19"/>
          <w:szCs w:val="19"/>
          <w:color w:val="auto"/>
        </w:rPr>
      </w:pPr>
    </w:p>
    <w:p>
      <w:pPr>
        <w:jc w:val="both"/>
        <w:ind w:left="1040" w:hanging="411"/>
        <w:spacing w:after="0" w:line="239" w:lineRule="auto"/>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obtaining and reviewing a report, at least annually, from the external auditor describing (a) the external auditor’s internal quality-control procedures and (b) any material issues raised by the most recent internal quality-control review, or peer review, of the external auditor’s firm, or by any inquiry or investigation by governmental or professional authorities, within the preceding five years respecting one or more independent audits carried out by the firm and any steps taken to deal with such issues;</w:t>
      </w:r>
    </w:p>
    <w:p>
      <w:pPr>
        <w:spacing w:after="0" w:line="169" w:lineRule="exact"/>
        <w:rPr>
          <w:rFonts w:ascii="Arial" w:cs="Arial" w:eastAsia="Arial" w:hAnsi="Arial"/>
          <w:sz w:val="19"/>
          <w:szCs w:val="19"/>
          <w:color w:val="auto"/>
        </w:rPr>
      </w:pPr>
    </w:p>
    <w:p>
      <w:pPr>
        <w:ind w:left="1040" w:hanging="411"/>
        <w:spacing w:after="0"/>
        <w:tabs>
          <w:tab w:leader="none" w:pos="10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reviewing the scope, plan and results of the external auditor’s audit and reviews,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0680"/>
          </w:cols>
          <w:pgMar w:left="600" w:top="262" w:right="619" w:bottom="1440" w:gutter="0" w:footer="0" w:header="0"/>
        </w:sectPr>
      </w:pPr>
    </w:p>
    <w:bookmarkStart w:id="91" w:name="page92"/>
    <w:bookmarkEnd w:id="91"/>
    <w:p>
      <w:pPr>
        <w:jc w:val="both"/>
        <w:ind w:left="1060"/>
        <w:spacing w:after="0" w:line="24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including the auditor’s engagement letter, the post-audit management letter, if any, and the form of the audit report, and reviewing the scope and plan of the work to be done by the internal audit group and the responsibilities, budget, audit plan, activities, organizational structure and staffing of the internal audit group as needed;</w:t>
      </w:r>
    </w:p>
    <w:p>
      <w:pPr>
        <w:spacing w:after="0" w:line="163" w:lineRule="exact"/>
        <w:rPr>
          <w:sz w:val="20"/>
          <w:szCs w:val="20"/>
          <w:color w:val="auto"/>
        </w:rPr>
      </w:pPr>
    </w:p>
    <w:p>
      <w:pPr>
        <w:ind w:left="1040" w:hanging="411"/>
        <w:spacing w:after="0"/>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setting clear policies for audit partner rotation in compliance with applicable laws and regulations;</w:t>
      </w:r>
    </w:p>
    <w:p>
      <w:pPr>
        <w:spacing w:after="0" w:line="200"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identifying and informing the Board of matters that may significantly impact on the financial condition or affairs of the business, including irregularities in Algoma’s business administration, and, where applicable, suggesting corrective measures to the Board;</w:t>
      </w:r>
    </w:p>
    <w:p>
      <w:pPr>
        <w:spacing w:after="0" w:line="158"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reviewing the quality and integrity of Algoma’s financial reporting processes, both internal and external, in consultation with the external auditor;</w:t>
      </w:r>
    </w:p>
    <w:p>
      <w:pPr>
        <w:spacing w:after="0" w:line="140" w:lineRule="exact"/>
        <w:rPr>
          <w:rFonts w:ascii="Arial" w:cs="Arial" w:eastAsia="Arial" w:hAnsi="Arial"/>
          <w:sz w:val="19"/>
          <w:szCs w:val="19"/>
          <w:color w:val="auto"/>
        </w:rPr>
      </w:pPr>
    </w:p>
    <w:p>
      <w:pPr>
        <w:jc w:val="both"/>
        <w:ind w:left="1040" w:hanging="411"/>
        <w:spacing w:after="0" w:line="243" w:lineRule="auto"/>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developing and recommending to the Board for approval policies and procedures for the review, approval or ratification of related party transactions, overseeing the implementation of and compliance with the such policies regarding related party transactions and reviewing and approving all related party transactions required to be disclosed pursuant to applicable rules prior to us entering into such transactions;</w:t>
      </w:r>
    </w:p>
    <w:p>
      <w:pPr>
        <w:spacing w:after="0" w:line="162" w:lineRule="exact"/>
        <w:rPr>
          <w:rFonts w:ascii="Arial" w:cs="Arial" w:eastAsia="Arial" w:hAnsi="Arial"/>
          <w:sz w:val="19"/>
          <w:szCs w:val="19"/>
          <w:color w:val="auto"/>
        </w:rPr>
      </w:pPr>
    </w:p>
    <w:p>
      <w:pPr>
        <w:jc w:val="both"/>
        <w:ind w:left="1040" w:hanging="411"/>
        <w:spacing w:after="0" w:line="238" w:lineRule="auto"/>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reviewing with management, the external auditors, and our legal advisors, as appropriate, any legal, regulatory or compliance matters as the committee or the Board deems necessary or appropriate, including any correspondence with regulators or government agencies and any employee complaints or published reports that raise material issues regarding our financial statements or accounting policies and any significant changes in accounting standards or rules promulgated by applicable accounting boards, the SEC or other regulatory authorities;</w:t>
      </w:r>
    </w:p>
    <w:p>
      <w:pPr>
        <w:spacing w:after="0" w:line="165" w:lineRule="exact"/>
        <w:rPr>
          <w:rFonts w:ascii="Arial" w:cs="Arial" w:eastAsia="Arial" w:hAnsi="Arial"/>
          <w:sz w:val="19"/>
          <w:szCs w:val="19"/>
          <w:color w:val="auto"/>
        </w:rPr>
      </w:pPr>
    </w:p>
    <w:p>
      <w:pPr>
        <w:jc w:val="both"/>
        <w:ind w:left="1040" w:hanging="411"/>
        <w:spacing w:after="0" w:line="250" w:lineRule="auto"/>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overseeing the Company’s enterprise risk management (“</w:t>
      </w:r>
      <w:r>
        <w:rPr>
          <w:rFonts w:ascii="Arial" w:cs="Arial" w:eastAsia="Arial" w:hAnsi="Arial"/>
          <w:sz w:val="19"/>
          <w:szCs w:val="19"/>
          <w:b w:val="1"/>
          <w:bCs w:val="1"/>
          <w:color w:val="auto"/>
        </w:rPr>
        <w:t>ERM</w:t>
      </w:r>
      <w:r>
        <w:rPr>
          <w:rFonts w:ascii="Arial" w:cs="Arial" w:eastAsia="Arial" w:hAnsi="Arial"/>
          <w:sz w:val="19"/>
          <w:szCs w:val="19"/>
          <w:color w:val="auto"/>
        </w:rPr>
        <w:t>”) program to assist the Board in providing oversight of the ERM activities of the Company and its subsidiaries and to advise the Board with respect to the effectiveness of the ERM framework of the Company;</w:t>
      </w:r>
    </w:p>
    <w:p>
      <w:pPr>
        <w:spacing w:after="0" w:line="157"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receiving periodically management reports on potential emerging risks to the business and how these may interrelate with or compound known risks;</w:t>
      </w:r>
    </w:p>
    <w:p>
      <w:pPr>
        <w:spacing w:after="0" w:line="140"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reviewing and evaluating the Company’s overall process for the identification and evaluation of principal business and operational risks and the prevention and/or mitigation thereof;</w:t>
      </w:r>
    </w:p>
    <w:p>
      <w:pPr>
        <w:spacing w:after="0" w:line="140" w:lineRule="exact"/>
        <w:rPr>
          <w:rFonts w:ascii="Arial" w:cs="Arial" w:eastAsia="Arial" w:hAnsi="Arial"/>
          <w:sz w:val="19"/>
          <w:szCs w:val="19"/>
          <w:color w:val="auto"/>
        </w:rPr>
      </w:pPr>
    </w:p>
    <w:p>
      <w:pPr>
        <w:jc w:val="both"/>
        <w:ind w:left="1040" w:hanging="411"/>
        <w:spacing w:after="0" w:line="243" w:lineRule="auto"/>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reviewing all project proposals and contracts that: (i) are not included in the approved business plan of Algoma; and are anticipated to have a value, in the aggregate, greater than $10,000,000 or as otherwise specified in a policy of the committee; or (ii) determined by the Board or management to warrant additional risk review due to complexity and/or increased probability of risk to the Company;</w:t>
      </w:r>
    </w:p>
    <w:p>
      <w:pPr>
        <w:spacing w:after="0" w:line="162"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establishing and overseeing the effectiveness of procedures for the receipt, retention and treatment of complaints received by Algoma relating to accounting, auditing matters, internal accounting controls or the management of our business under</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0680"/>
          </w:cols>
          <w:pgMar w:left="600" w:top="262" w:right="619" w:bottom="1440" w:gutter="0" w:footer="0" w:header="0"/>
        </w:sectPr>
      </w:pPr>
    </w:p>
    <w:bookmarkStart w:id="92" w:name="page93"/>
    <w:bookmarkEnd w:id="92"/>
    <w:p>
      <w:pPr>
        <w:ind w:left="1060"/>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Algoma’s whistleblower policy, including the confidential, anonymous submission by employees of Algoma of concerns regarding questionable accounting or auditing matters; and</w:t>
      </w:r>
    </w:p>
    <w:p>
      <w:pPr>
        <w:spacing w:after="0" w:line="141" w:lineRule="exact"/>
        <w:rPr>
          <w:sz w:val="20"/>
          <w:szCs w:val="20"/>
          <w:color w:val="auto"/>
        </w:rPr>
      </w:pPr>
    </w:p>
    <w:p>
      <w:pPr>
        <w:ind w:left="1040" w:hanging="411"/>
        <w:spacing w:after="0"/>
        <w:tabs>
          <w:tab w:leader="none" w:pos="10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performing any other activities as the committee or the Board deems necessary or appropriate.</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Human Resources and Compensation Committee</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We maintain a Human Resources and Compensation Committee consisting of at least three independent Directors. The HRCC currently consists of five directors, each of whom is independent within the meaning of the Applicable Rules, and each of whom satisfies any additional compensation committee membership requirements of the Applicable Rules. The members of our HRCC are currently Messrs. Gouin, Nakra and Rosenfeld and Mses. Bueschkens and Rubenstein. In affirmatively determining the independence of any director who serves on the HRCC, the Board considered all factors specifically relevant to determining whether a director has a relationship to Algoma which is material to that director’s ability to be independent from management in connection with the duties of a committee member, including, but not limited to: (i) the source of compensation of such director, including any consulting, advisory or other compensatory fee paid by Algoma to such director; and (ii) whether such director is affiliated with Algoma, a subsidiary of Algoma or an affiliate of a subsidiary of Algoma. Mr. Rosenfeld serves as the chair of the committee.</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Each member of the HRCC has direct experience relevant to their responsibilities in executive compensation. Our Board has adopted a HRCC charter setting forth the responsibilities of the committee, which are consistent with the Applicable Rules and include (but are not limited to):</w:t>
      </w:r>
    </w:p>
    <w:p>
      <w:pPr>
        <w:spacing w:after="0" w:line="158" w:lineRule="exact"/>
        <w:rPr>
          <w:sz w:val="20"/>
          <w:szCs w:val="20"/>
          <w:color w:val="auto"/>
        </w:rPr>
      </w:pPr>
    </w:p>
    <w:p>
      <w:pPr>
        <w:ind w:left="1040" w:hanging="411"/>
        <w:spacing w:after="0"/>
        <w:tabs>
          <w:tab w:leader="none" w:pos="10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reviewing and making recommendations to the Board with respect to the compensation of directors of Algoma;</w:t>
      </w:r>
    </w:p>
    <w:p>
      <w:pPr>
        <w:spacing w:after="0" w:line="200"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considering recommendations from the Chief Executive Officer concerning the hiring and termination of senior executives, and ensuring that the Chief Executive Officer engages senior management with the necessary skills, knowledge, and experience to manage Algoma’s affairs in a sound and responsible manner;</w:t>
      </w:r>
    </w:p>
    <w:p>
      <w:pPr>
        <w:spacing w:after="0" w:line="158"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reviewing and making recommendations to the Board with respect to the corporate goals and objectives relevant to the compensation of the Chief Executive Officer;</w:t>
      </w:r>
    </w:p>
    <w:p>
      <w:pPr>
        <w:spacing w:after="0" w:line="140"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evaluating the Chief Executive Officer’s performance in light of those goals and objectives and reviewing and approving the Chief Executive Officer’s position description;</w:t>
      </w:r>
    </w:p>
    <w:p>
      <w:pPr>
        <w:spacing w:after="0" w:line="140" w:lineRule="exact"/>
        <w:rPr>
          <w:rFonts w:ascii="Arial" w:cs="Arial" w:eastAsia="Arial" w:hAnsi="Arial"/>
          <w:sz w:val="19"/>
          <w:szCs w:val="19"/>
          <w:color w:val="auto"/>
        </w:rPr>
      </w:pPr>
    </w:p>
    <w:p>
      <w:pPr>
        <w:jc w:val="both"/>
        <w:ind w:left="1040" w:hanging="411"/>
        <w:spacing w:after="0" w:line="239" w:lineRule="auto"/>
        <w:tabs>
          <w:tab w:leader="none" w:pos="10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reviewing and making recommendations to the Board with respect to the compensation of the Chief Executive Officer and, based on the recommendation of the Chief Executive Officer, the other executive officers of the Company (including, but not limited to, members of the executive management group), including salary, incentive compensation plans, equity-based plans, the terms of any employment agreements, severance arrangements and change of control arrangements or provisions, and any special or supplemental benefits;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0680"/>
          </w:cols>
          <w:pgMar w:left="600" w:top="262" w:right="619" w:bottom="1440" w:gutter="0" w:footer="0" w:header="0"/>
        </w:sectPr>
      </w:pPr>
    </w:p>
    <w:bookmarkStart w:id="93" w:name="page94"/>
    <w:bookmarkEnd w:id="93"/>
    <w:p>
      <w:pPr>
        <w:ind w:left="1040" w:hanging="411"/>
        <w:spacing w:after="0"/>
        <w:tabs>
          <w:tab w:leader="none" w:pos="1040" w:val="left"/>
        </w:tabs>
        <w:numPr>
          <w:ilvl w:val="0"/>
          <w:numId w:val="6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recommending awards under the incentive compensation and equity-based compensation plans of Algoma;</w:t>
      </w:r>
    </w:p>
    <w:p>
      <w:pPr>
        <w:spacing w:after="0" w:line="200"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from time to time, as appropriate, reviewing Algoma’s policies on salary administration, pay and employment equity, basic incentive and total cash compensation, retirement benefits, and long-term incentives and recommending changes to the Board if appropriate; and</w:t>
      </w:r>
    </w:p>
    <w:p>
      <w:pPr>
        <w:spacing w:after="0" w:line="158"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periodically review, with the Board, the succession plans relating to the position of the Chief Executive Officer and other senior positions.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For additional details regarding the HRCC, see “</w:t>
      </w:r>
      <w:r>
        <w:rPr>
          <w:rFonts w:ascii="Arial" w:cs="Arial" w:eastAsia="Arial" w:hAnsi="Arial"/>
          <w:sz w:val="19"/>
          <w:szCs w:val="19"/>
          <w:i w:val="1"/>
          <w:iCs w:val="1"/>
          <w:color w:val="auto"/>
        </w:rPr>
        <w:t>Compensation – Compensation Governance – Human Resources and</w:t>
      </w:r>
      <w:r>
        <w:rPr>
          <w:rFonts w:ascii="Arial" w:cs="Arial" w:eastAsia="Arial" w:hAnsi="Arial"/>
          <w:sz w:val="19"/>
          <w:szCs w:val="19"/>
          <w:color w:val="auto"/>
        </w:rPr>
        <w:t xml:space="preserve"> </w:t>
      </w:r>
      <w:r>
        <w:rPr>
          <w:rFonts w:ascii="Arial" w:cs="Arial" w:eastAsia="Arial" w:hAnsi="Arial"/>
          <w:sz w:val="19"/>
          <w:szCs w:val="19"/>
          <w:i w:val="1"/>
          <w:iCs w:val="1"/>
          <w:color w:val="auto"/>
        </w:rPr>
        <w:t>Compensation Committee</w:t>
      </w:r>
      <w:r>
        <w:rPr>
          <w:rFonts w:ascii="Arial" w:cs="Arial" w:eastAsia="Arial" w:hAnsi="Arial"/>
          <w:sz w:val="19"/>
          <w:szCs w:val="19"/>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Nominating and Governance Committee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We maintain a Nominating and Governance Committee consisting of at least three independent Directors.</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Our NGC currently consists of four directors, each of whom is independent within the meaning of the Applicable Rules, and each of whom satisfies any additional NGC membership requirements of the Applicable Rules. The members of our NGC are Messrs. Rosenfeld and Nakra, and Mses. Rubenstein and Bueschkens. Ms. Bueschkens serves as the chair of the committee.</w:t>
      </w:r>
    </w:p>
    <w:p>
      <w:pPr>
        <w:spacing w:after="0" w:line="384"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Our Board has adopted a Nominating and Governance Committee charter setting forth the responsibilities of the committee, which are consistent with the Applicable Rules and include (but are not limited to):</w:t>
      </w:r>
    </w:p>
    <w:p>
      <w:pPr>
        <w:spacing w:after="0" w:line="141" w:lineRule="exact"/>
        <w:rPr>
          <w:sz w:val="20"/>
          <w:szCs w:val="20"/>
          <w:color w:val="auto"/>
        </w:rPr>
      </w:pPr>
    </w:p>
    <w:p>
      <w:pPr>
        <w:ind w:left="1040" w:hanging="411"/>
        <w:spacing w:after="0"/>
        <w:tabs>
          <w:tab w:leader="none" w:pos="10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reporting to the chair of the Board with an assessment of the Board’s and management’s performance;</w:t>
      </w:r>
    </w:p>
    <w:p>
      <w:pPr>
        <w:spacing w:after="0" w:line="200"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seeking individuals qualified (in the context of the needs of Algoma, any formal criteria established by the board and any obligations under Algoma’s contractual arrangements) to become members of the Board for recommendation to the Board;</w:t>
      </w:r>
    </w:p>
    <w:p>
      <w:pPr>
        <w:spacing w:after="0" w:line="158" w:lineRule="exact"/>
        <w:rPr>
          <w:rFonts w:ascii="Arial" w:cs="Arial" w:eastAsia="Arial" w:hAnsi="Arial"/>
          <w:sz w:val="19"/>
          <w:szCs w:val="19"/>
          <w:color w:val="auto"/>
        </w:rPr>
      </w:pPr>
    </w:p>
    <w:p>
      <w:pPr>
        <w:jc w:val="both"/>
        <w:ind w:left="1040" w:hanging="411"/>
        <w:spacing w:after="0" w:line="238" w:lineRule="auto"/>
        <w:tabs>
          <w:tab w:leader="none" w:pos="10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reviewing the competencies, skills and personal qualities required of board members, as a whole, in light of relevant factors, including (i) the objective of adding value to Algoma in light of the opportunities and risks facing Algoma and Algoma’s strategies; (ii) the need to ensure, to the greatest extent possible, that a majority of the Board is comprised of individuals who meet the independence requirements of the applicable regulatory, stock exchange and securities law requirements or other guidelines; and (iii) any policies of the Board with respect to Board member diversity, tenure, retirement and succession and board member commitments;</w:t>
      </w:r>
    </w:p>
    <w:p>
      <w:pPr>
        <w:spacing w:after="0" w:line="167"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approve and monitor compliance with any share ownership guidelines of the Company that are applicable to executive officers or directors;</w:t>
      </w:r>
    </w:p>
    <w:p>
      <w:pPr>
        <w:spacing w:after="0" w:line="140" w:lineRule="exact"/>
        <w:rPr>
          <w:rFonts w:ascii="Arial" w:cs="Arial" w:eastAsia="Arial" w:hAnsi="Arial"/>
          <w:sz w:val="19"/>
          <w:szCs w:val="19"/>
          <w:color w:val="auto"/>
        </w:rPr>
      </w:pPr>
    </w:p>
    <w:p>
      <w:pPr>
        <w:ind w:left="1040" w:hanging="411"/>
        <w:spacing w:after="0" w:line="268" w:lineRule="auto"/>
        <w:tabs>
          <w:tab w:leader="none" w:pos="10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reviewing the appropriateness of the governance practices of Algoma and recommending any proposed changes to the Board for approval; and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0680"/>
          </w:cols>
          <w:pgMar w:left="600" w:top="262" w:right="619" w:bottom="1440" w:gutter="0" w:footer="0" w:header="0"/>
        </w:sectPr>
      </w:pPr>
    </w:p>
    <w:bookmarkStart w:id="94" w:name="page95"/>
    <w:bookmarkEnd w:id="94"/>
    <w:p>
      <w:pPr>
        <w:jc w:val="both"/>
        <w:ind w:left="1040" w:hanging="411"/>
        <w:spacing w:after="0" w:line="249" w:lineRule="auto"/>
        <w:tabs>
          <w:tab w:leader="none" w:pos="1040" w:val="left"/>
        </w:tabs>
        <w:numPr>
          <w:ilvl w:val="0"/>
          <w:numId w:val="6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make recommendations concerning the oversight of emerging sustainability issues, including climate change factors, affecting the Company and liaise, as appropriate with other Committees of the Board regarding administering the sustainability program of the Company and related best practices.</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Operations and Capital Projects Committee</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We maintain an Operations and Capital Projects Committee consisting of at least three individuals, at least one of whom is a director of Algoma. Our Operations and Capital Projects Committee currently consists of Messrs. Donnelly and Harshaw, and Ms. Newman. Mr. Harshaw serves as the chair of the committee. The Board has adopted an Operations and Capital Projects Committee charter setting forth the responsibilities of the committee, which include (but are not limited to):</w:t>
      </w:r>
    </w:p>
    <w:p>
      <w:pPr>
        <w:spacing w:after="0" w:line="163" w:lineRule="exact"/>
        <w:rPr>
          <w:sz w:val="20"/>
          <w:szCs w:val="20"/>
          <w:color w:val="auto"/>
        </w:rPr>
      </w:pPr>
    </w:p>
    <w:p>
      <w:pPr>
        <w:ind w:left="1040" w:hanging="411"/>
        <w:spacing w:after="0" w:line="268" w:lineRule="auto"/>
        <w:tabs>
          <w:tab w:leader="none" w:pos="10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developing, implementing and monitoring the Company’s policies, practices and procedures regarding the operations strategies, and management of major projects;</w:t>
      </w:r>
    </w:p>
    <w:p>
      <w:pPr>
        <w:spacing w:after="0" w:line="140"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reviewing the planning and execution of major projects, throughout the project lifecycle, including the planning, construction, approval, and implementations phases of the major projects as well as other applicable responsibilities as determined by the committee;</w:t>
      </w:r>
    </w:p>
    <w:p>
      <w:pPr>
        <w:spacing w:after="0" w:line="158" w:lineRule="exact"/>
        <w:rPr>
          <w:rFonts w:ascii="Arial" w:cs="Arial" w:eastAsia="Arial" w:hAnsi="Arial"/>
          <w:sz w:val="19"/>
          <w:szCs w:val="19"/>
          <w:color w:val="auto"/>
        </w:rPr>
      </w:pPr>
    </w:p>
    <w:p>
      <w:pPr>
        <w:jc w:val="both"/>
        <w:ind w:left="1040" w:hanging="411"/>
        <w:spacing w:after="0" w:line="239" w:lineRule="auto"/>
        <w:tabs>
          <w:tab w:leader="none" w:pos="10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reviewing and, if appropriate, recommending the Board approval of, all project proposals and contracts that (i) are not included in the approved business plan of Algoma; and are anticipated to have a value, in the aggregate, greater than $10,000,000, or as otherwise specified in a policy of the committee; or (ii) determined by the Board or management to warrant additional risk review due to complexity and/or increased probability of risk to the Company;</w:t>
      </w:r>
    </w:p>
    <w:p>
      <w:pPr>
        <w:spacing w:after="0" w:line="169"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reviewing and making recommendations to the Board with respect to (i) material changes to the scope, budget and schedule proposed by management with respect to major projects and (ii) other approvals related to the execution of major projects, as required from time to time; and</w:t>
      </w:r>
    </w:p>
    <w:p>
      <w:pPr>
        <w:spacing w:after="0" w:line="158" w:lineRule="exact"/>
        <w:rPr>
          <w:rFonts w:ascii="Arial" w:cs="Arial" w:eastAsia="Arial" w:hAnsi="Arial"/>
          <w:sz w:val="19"/>
          <w:szCs w:val="19"/>
          <w:color w:val="auto"/>
        </w:rPr>
      </w:pPr>
    </w:p>
    <w:p>
      <w:pPr>
        <w:jc w:val="both"/>
        <w:ind w:left="1040" w:hanging="411"/>
        <w:spacing w:after="0" w:line="249" w:lineRule="auto"/>
        <w:tabs>
          <w:tab w:leader="none" w:pos="10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retaining qualified advisors, independent of Company management, to monitor and report to the committee on the progress and performance of the major projects against approved execution plans, including scopes, budgets and schedules.</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Board Interlocks</w:t>
      </w:r>
    </w:p>
    <w:p>
      <w:pPr>
        <w:spacing w:after="0" w:line="22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While the Board has not adopted a formal policy with respect to Board interlocks, the mandate of the Board of Directors provides that each member of the Board should, when considering membership on another board or committee, make every effort to ensure that such membership will not impair the member’s time and availability for his or her commitment to the Company, and that directors should advise the Chair of the Board and the Chief Executive Officer before accepting membership on other public company boards or any audit committee or other significant committee assignment on any other board. Currently, the following directors of the Company serve on boards of other public companies –</w:t>
      </w:r>
    </w:p>
    <w:p>
      <w:pPr>
        <w:spacing w:after="0" w:line="23" w:lineRule="exact"/>
        <w:rPr>
          <w:sz w:val="20"/>
          <w:szCs w:val="20"/>
          <w:color w:val="auto"/>
        </w:rPr>
      </w:pPr>
    </w:p>
    <w:p>
      <w:pPr>
        <w:ind w:left="1040" w:hanging="411"/>
        <w:spacing w:after="0"/>
        <w:tabs>
          <w:tab w:leader="none" w:pos="10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Mr. Donnelley serves on the boards of Alectra Inc. and Stella-Jones Inc.</w:t>
      </w:r>
    </w:p>
    <w:p>
      <w:pPr>
        <w:spacing w:after="0" w:line="56" w:lineRule="exact"/>
        <w:rPr>
          <w:rFonts w:ascii="Arial" w:cs="Arial" w:eastAsia="Arial" w:hAnsi="Arial"/>
          <w:sz w:val="19"/>
          <w:szCs w:val="19"/>
          <w:color w:val="auto"/>
        </w:rPr>
      </w:pPr>
    </w:p>
    <w:p>
      <w:pPr>
        <w:ind w:left="1040" w:hanging="411"/>
        <w:spacing w:after="0"/>
        <w:tabs>
          <w:tab w:leader="none" w:pos="10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Mr. Gouin serves on the board of Enerflex Inc.</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0680"/>
          </w:cols>
          <w:pgMar w:left="600" w:top="262" w:right="619" w:bottom="1440" w:gutter="0" w:footer="0" w:header="0"/>
        </w:sectPr>
      </w:pPr>
    </w:p>
    <w:bookmarkStart w:id="95" w:name="page96"/>
    <w:bookmarkEnd w:id="95"/>
    <w:p>
      <w:pPr>
        <w:ind w:left="1040" w:hanging="411"/>
        <w:spacing w:after="0"/>
        <w:tabs>
          <w:tab w:leader="none" w:pos="1040" w:val="left"/>
        </w:tabs>
        <w:numPr>
          <w:ilvl w:val="0"/>
          <w:numId w:val="67"/>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Mr. Nakra serves on the boards of Canadian General Investments, Limited and C&amp;C Group PLC</w:t>
      </w:r>
    </w:p>
    <w:p>
      <w:pPr>
        <w:spacing w:after="0" w:line="35" w:lineRule="exact"/>
        <w:rPr>
          <w:rFonts w:ascii="Arial" w:cs="Arial" w:eastAsia="Arial" w:hAnsi="Arial"/>
          <w:sz w:val="19"/>
          <w:szCs w:val="19"/>
          <w:color w:val="auto"/>
        </w:rPr>
      </w:pPr>
    </w:p>
    <w:p>
      <w:pPr>
        <w:ind w:left="1040" w:hanging="411"/>
        <w:spacing w:after="0"/>
        <w:tabs>
          <w:tab w:leader="none" w:pos="10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Ms. Newman serves on the boards of FRMO Corporation and RENN Fund, Inc.</w:t>
      </w:r>
    </w:p>
    <w:p>
      <w:pPr>
        <w:spacing w:after="0" w:line="30" w:lineRule="exact"/>
        <w:rPr>
          <w:rFonts w:ascii="Arial" w:cs="Arial" w:eastAsia="Arial" w:hAnsi="Arial"/>
          <w:sz w:val="19"/>
          <w:szCs w:val="19"/>
          <w:color w:val="auto"/>
        </w:rPr>
      </w:pPr>
    </w:p>
    <w:p>
      <w:pPr>
        <w:ind w:left="1040" w:hanging="411"/>
        <w:spacing w:after="0"/>
        <w:tabs>
          <w:tab w:leader="none" w:pos="10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Mr. Rosenfeld serves on the boards of Aecon Group Inc. and Pangaea Logistics Solutions ,</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Board intends to consider interlocking memberships on a case-by-case basis and will consider recommendations from the NGC with respect thereto.</w:t>
      </w:r>
    </w:p>
    <w:p>
      <w:pPr>
        <w:spacing w:after="0" w:line="140"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Succession Planning</w:t>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Board is responsible for providing guidance and oversight on succession management processes for the Chief Executive Officer and other key executives. As part of their respective mandates, the Human Resources and Compensation Committee intends to periodically review, with the Board, the succession plans relating to the position of the Chief Executive Officer and other senior positions. In addition, management is regularly asked to work with the Board to assess and enhance talent within the organization with the goal of investing time and resources in the managerial capabilities of its existing and future leaders.</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Sustainability</w:t>
      </w:r>
    </w:p>
    <w:p>
      <w:pPr>
        <w:spacing w:after="0" w:line="223"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The Company understands that sustainability matters are becoming increasingly valued by its various stakeholders. The Company continues to focus on these matters, including climate change issues, as a key strategic objective across the business, committed to contributing to the transition to a low carbon economy, supporting Canada in achieving commitments under the Paris Agreement, and in decarbonizing the Company’s operations to support customers with their own sustainability and climate change objectives, as the Company transitions to electric arc steelmaking. The Company is embedding sustainability, including climate change mitigation practices, into its business model, which include: (i) complying with all applicable environmental laws and regulations; (ii) assessing sustainability-related risks and capturing value-added opportunities; (iii) actively supporting diversity and inclusion; (iv) aiming to provide a safe and healthy environment for all employees; and (v) promoting a culture where all of the Company’s employees share the foregoing commitments, Sustainability risks have also been integrated into the Company’s risk management policies and processes to allow the Company to identify, manage and monitor sustainability and climate-related risks.</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NGC is responsible for overseeing Algoma’s sustainability initiatives and coordinating with other committees of the Board regarding administering the Company’s sustainability program. In this capacity, the NGC oversees and review with management and the Board the emerging sustainability issues, including climate change factors, affecting the Company, reviews and discusses with management the Company’s overall sustainability strategy, and reviews and monitors key enterprise-wide sustainability metrics, targets, key performance indicators and related goals and the progress towards achieving targets and benchmarks.</w:t>
      </w:r>
    </w:p>
    <w:p>
      <w:pPr>
        <w:spacing w:after="0" w:line="165"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On April 6, 2023, we released our ESG Position Statement (the “</w:t>
      </w:r>
      <w:r>
        <w:rPr>
          <w:rFonts w:ascii="Arial" w:cs="Arial" w:eastAsia="Arial" w:hAnsi="Arial"/>
          <w:sz w:val="19"/>
          <w:szCs w:val="19"/>
          <w:b w:val="1"/>
          <w:bCs w:val="1"/>
          <w:color w:val="auto"/>
        </w:rPr>
        <w:t>ESG Position Statement</w:t>
      </w:r>
      <w:r>
        <w:rPr>
          <w:rFonts w:ascii="Arial" w:cs="Arial" w:eastAsia="Arial" w:hAnsi="Arial"/>
          <w:sz w:val="19"/>
          <w:szCs w:val="19"/>
          <w:color w:val="auto"/>
        </w:rPr>
        <w:t>”). The ESG Position Statement describes the foundational role that Algoma’s sustainability strategy plays in the Company’s transformation journey to EAF steelmaking and overall corporate strategy. The ESG Position Statement outlines our commitments, framework, which include our guiding sustainability principles. At Algoma, we recognize that sustainability factors present a spectrum of risks and opportunities to both our business and stakeholders, such as our investors, customers, suppliers, employees, governments, and the communities in which we operate. We are committed</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0680"/>
          </w:cols>
          <w:pgMar w:left="600" w:top="262" w:right="619" w:bottom="1440" w:gutter="0" w:footer="0" w:header="0"/>
        </w:sectPr>
      </w:pPr>
    </w:p>
    <w:bookmarkStart w:id="96" w:name="page97"/>
    <w:bookmarkEnd w:id="96"/>
    <w:p>
      <w:pPr>
        <w:jc w:val="both"/>
        <w:spacing w:after="0" w:line="243"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to conducting our business in a manner that ensures reasonable and responsible consideration is given to sustainability factors. Transparency and accountability to our investors and other stakeholders are critical to ensuring our approach drives meaningful results. Sustainability risks have also been integrated into the Company’s risk management policies and processes to allow the Company to identify, manage and monitor sustainability and climate-related risks.</w:t>
      </w:r>
    </w:p>
    <w:p>
      <w:pPr>
        <w:spacing w:after="0" w:line="16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ESG Position Statement also outlines our support of the objectives of the Paris Agreement and the Canadian Steel Producers Association, including our shared aspirational goal to achieve net-zero CO</w:t>
      </w:r>
      <w:r>
        <w:rPr>
          <w:rFonts w:ascii="Arial" w:cs="Arial" w:eastAsia="Arial" w:hAnsi="Arial"/>
          <w:sz w:val="14"/>
          <w:szCs w:val="14"/>
          <w:color w:val="auto"/>
        </w:rPr>
        <w:t>2</w:t>
      </w:r>
      <w:r>
        <w:rPr>
          <w:rFonts w:ascii="Arial" w:cs="Arial" w:eastAsia="Arial" w:hAnsi="Arial"/>
          <w:sz w:val="19"/>
          <w:szCs w:val="19"/>
          <w:color w:val="auto"/>
        </w:rPr>
        <w:t xml:space="preserve"> emissions by 2050. Notably, in 2022, Algoma announced that it had commenced construction on the EAF project, which will allow Algoma to transition to electric arc steelmaking. The EAF transformation is projected to deliver three million tonnes of annual CO</w:t>
      </w:r>
      <w:r>
        <w:rPr>
          <w:rFonts w:ascii="Arial" w:cs="Arial" w:eastAsia="Arial" w:hAnsi="Arial"/>
          <w:sz w:val="14"/>
          <w:szCs w:val="14"/>
          <w:color w:val="auto"/>
        </w:rPr>
        <w:t>2</w:t>
      </w:r>
      <w:r>
        <w:rPr>
          <w:rFonts w:ascii="Arial" w:cs="Arial" w:eastAsia="Arial" w:hAnsi="Arial"/>
          <w:sz w:val="19"/>
          <w:szCs w:val="19"/>
          <w:color w:val="auto"/>
        </w:rPr>
        <w:t xml:space="preserve"> reduction, and is expected to dramatically shrink Algoma’s environmental footprint. We undertake continuous innovation in our products and steelmaking processes with an aim to further minimizing our impact on the environment.</w:t>
      </w:r>
    </w:p>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 June, 2025, Algoma published its third Sustainability Report, which summarizes our performance during the nine-month transition period from April 1, 2024 to December 31, 2024, aligning with our 2024 financial reporting period, which now corresponds to a calendar year to reflect a consistent approach to our industry peer reporting. Algoma intends to publish its 2025 Sustainability Report, covering the 12 months financial year ended December 31, 2025, in June 2026.</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At Algoma, we firmly acknowledge that sustainability factors encompass a broad spectrum of risks and opportunities, impacting not only our organization but also our valued stakeholders, including investors, customers, suppliers, employees, governments, and the communities where we operate. Our commitment is to conduct our business activities with careful and conscientious consideration of these sustainability factors that drive performance, reduce risk and develop a culture of organizational excellence.</w:t>
      </w:r>
    </w:p>
    <w:p>
      <w:pPr>
        <w:spacing w:after="0" w:line="170"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Transparency and accountability are integral to our sustainability journey. Our reporting aligns with the Sustainability Accounting Standards Board and adheres to the recommendations of the Task Force on Climate-related Financial Disclosures to the greatest extent feasible. We are actively engaged in ongoing efforts to further harmonize our practices with these frameworks. Our Sustainability report will provide, comprehensive insights into our strategy, outlining our approach to mitigating sustainability risks, and underscores our commitment to harnessing sustainability opportunities. The sustainability disclosure landscape continues to evolve, particularly with the establishment of the ISSB and its issuance of the IFRS Sustainability Standards. Additionally, in 2024, the Canadian Sustainability Standards Board released its Canadian Sustainability Disclosure Standards. Algoma is committed to monitoring these developments, assessing the implications for our reporting, and adapting as needed to meet investor and stakeholder expectations and regulatory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Cyber Security</w:t>
      </w:r>
    </w:p>
    <w:p>
      <w:pPr>
        <w:spacing w:after="0" w:line="22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Audit &amp; Risk Management Committee oversees the Company’s cybersecurity policies and procedures and has oversight regarding the effective implementation thereof. Cybersecurity is a key focus area of Algoma’s Enterprise Risk Management efforts. The Company has robust policies and procedures in place to identify and mitigate the risk of unauthorized activity, including a full-time Certified Information Systems Security Professional on staff, a Security Information and Event Management system which is monitored by a Security Operations Centre and other</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0680"/>
          </w:cols>
          <w:pgMar w:left="600" w:top="262" w:right="619" w:bottom="1440" w:gutter="0" w:footer="0" w:header="0"/>
        </w:sectPr>
      </w:pPr>
    </w:p>
    <w:bookmarkStart w:id="97" w:name="page98"/>
    <w:bookmarkEnd w:id="97"/>
    <w:p>
      <w:pPr>
        <w:jc w:val="both"/>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industry standard network monitoring and prevention tools. The Company also carries cyber insurance as part of its risk mitigation approach.</w:t>
      </w:r>
    </w:p>
    <w:p>
      <w:pPr>
        <w:spacing w:after="0" w:line="14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Company has established an Artificial Intelligence (“AI”) Committee which includes the development of a Responsible and Ethical Use of AI Policy to guide employee use of AI technologies. As we expand the use of AI, we are aligning our governance approach with the NIST Risk Management Framework (“RMF”) playbook for AI, with oversight provided by the Chief Financial Officer.</w:t>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Shareholder Engagement</w:t>
      </w:r>
    </w:p>
    <w:p>
      <w:pPr>
        <w:spacing w:after="0" w:line="22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 xml:space="preserve">Management welcomes frequent dialogue with shareholders. Management is committed to ensuring that if items of significant concern are raised by shareholders, these items are brought to the attention of the Board. In addition, management regularly engages with the investment community through: annual and quarterly reports, news releases, our website disclosure and regulatory documents filed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quarterly conference calls to review financial and operating results open to all investors, the investment community, analysts and media; attendance at investor-focused conferences; and are available to meet or set up calls, as requested, with shareholders and potential shareholders.</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Shareholders are welcome to contact the Company’s senior management team to discuss matters relating to the Company, and may also communicate directly with the independent members of the Board through the Chair by writing to: Mr. Andrew Harshaw, Chair of the Board, Algoma Steel Group Inc., 105 West Street, Sault Ste. Marie, Ontario P6A 7B4.</w:t>
      </w:r>
    </w:p>
    <w:p>
      <w:pPr>
        <w:spacing w:after="0" w:line="157"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Risk Oversight</w:t>
      </w:r>
    </w:p>
    <w:p>
      <w:pPr>
        <w:spacing w:after="0" w:line="223"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 xml:space="preserve">The Board is responsible for identifying the principal risks of the Company’s business and ensuring these risks are being appropriately managed. The Board periodically discusses with management guidelines and policies with respect to risk assessment, risk management, and major strategic, financial and operational risk exposures, and the steps management has taken to monitor and control any exposure resulting from such risks. The Board relies on the Chief Executive Officer; Chief Financial Officer; Chief Commercial Officer, Chief Human Resources Officer, Vice President – Strategy and Chief Legal Officer; Vice President – Strategic Transformation; Senior Vice President, Production and Vice President – Maintenance and Operating Services to supervise day-to-day risk management, and management reports periodically to the Audit &amp; Risk Management Committee and Board on risk management matters. A discussion of the primary risks facing the Company’s business is included in the Annual Information Form available on the Company’s profile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filed as part of the Company’s annual report on Form 40-F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0680"/>
          </w:cols>
          <w:pgMar w:left="600" w:top="262" w:right="619" w:bottom="1440" w:gutter="0" w:footer="0" w:header="0"/>
        </w:sectPr>
      </w:pPr>
    </w:p>
    <w:bookmarkStart w:id="98" w:name="page99"/>
    <w:bookmarkEnd w:id="98"/>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Equity Incentive Plans</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Omnibus Incentive Plan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material features of the Omnibus Incentive Plan are summarized below. The following discussion is qualified entirely by the full text of the Omnibus Incentive Plan.</w:t>
      </w:r>
    </w:p>
    <w:p>
      <w:pPr>
        <w:spacing w:after="0" w:line="13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Shares Subject to the Omnibus Incentive Plan</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The Omnibus Incentive Plan is a “fixed” plan in that, subject to the adjustment provisions provided for therein (including a subdivision or consolidation of Shares), the aggregate maximum number of Shares that may be issued upon the settlement of awards granted under the Omnibus Incentive Plan shall not exceed 8,849,266 Shares, representing approximately 10% of the Company’s issued and outstanding Shares as at the date of closing of the Merger (the “</w:t>
      </w:r>
      <w:r>
        <w:rPr>
          <w:rFonts w:ascii="Arial" w:cs="Arial" w:eastAsia="Arial" w:hAnsi="Arial"/>
          <w:sz w:val="19"/>
          <w:szCs w:val="19"/>
          <w:b w:val="1"/>
          <w:bCs w:val="1"/>
          <w:color w:val="auto"/>
        </w:rPr>
        <w:t>Reserved Shares</w:t>
      </w:r>
      <w:r>
        <w:rPr>
          <w:rFonts w:ascii="Arial" w:cs="Arial" w:eastAsia="Arial" w:hAnsi="Arial"/>
          <w:sz w:val="19"/>
          <w:szCs w:val="19"/>
          <w:color w:val="auto"/>
        </w:rPr>
        <w:t>”).</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To the extent any awards under the Omnibus Incentive Plan are terminated or cancelled for any reason prior to exercise in full, the Shares subject to such awards (or any portion(s) thereof) shall be added back to the number of Shares reserved for issuance under the Omnibus Incentive Plan.</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Insider Participation Limit</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Omnibus Incentive Plan provides that the aggregate number of Shares (a) issuable to insiders at any time (under all of the Company’s security-based compensation arrangements) cannot exceed 5% of the Company’s issued and outstanding Shares and (b) issued to insiders within any one-year period (under all of the Company’s security-based compensation arrangements) cannot exceed 5% of the Company’s issued and outstanding Shares.</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Furthermore, the Omnibus Incentive Plan provides that within any one financial year of the Company, the aggregate fair market value on the date of grant of all awards granted to any one non-employee director under all of the Company’s security-based compensation arrangements shall not exceed $150,000 (with no more than $100,000 in options), provided that such limits shall not apply to (i) awards taken in lieu of any cash retainer or other Director fees, or (ii) a one-time initial grant to a non-employee director upon such director joining the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Administration of the Omnibus Incentive Plan</w:t>
      </w:r>
    </w:p>
    <w:p>
      <w:pPr>
        <w:spacing w:after="0" w:line="207"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The Plan Administrator (as defined in the Omnibus Incentive Plan) is determined by the Board, and is currently the HRCC. The Omnibus Incentive Plan may in the future be administered by the Board itself or delegated to a committee of the Board. The Plan Administrator will determine which Directors, officers, consultants and employees are eligible to receive awards under the Omnibus Incentive Plan, the time or times at which awards may be granted, the conditions under which awards may be granted or forfeited to the Company, the number of Shares to be covered by any award, the exercise price of any award, whether restrictions or limitations are to be imposed on the Shares issuable pursuant to grants of any award, and the nature of any such restrictions or limitations, any acceleration of exercisability or vesting, or waiver of termination regarding any award, based on such factors as the Plan Administrator may determine.</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In addition, the Plan Administrator shall interpret the Omnibus Incentive Plan and may adopt administrative rules, regulations, procedures and guidelines governing the Omnibus Incentive Plan or any awards granted under the Omnibus Incentive Plan as it deems appropriate.</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0680"/>
          </w:cols>
          <w:pgMar w:left="600" w:top="255" w:right="619" w:bottom="1440" w:gutter="0" w:footer="0" w:header="0"/>
        </w:sectPr>
      </w:pPr>
    </w:p>
    <w:bookmarkStart w:id="99" w:name="page100"/>
    <w:bookmarkEnd w:id="99"/>
    <w:p>
      <w:pPr>
        <w:spacing w:after="0"/>
        <w:rPr>
          <w:sz w:val="20"/>
          <w:szCs w:val="20"/>
          <w:color w:val="auto"/>
        </w:rPr>
      </w:pPr>
      <w:r>
        <w:rPr>
          <w:rFonts w:ascii="Arial" w:cs="Arial" w:eastAsia="Arial" w:hAnsi="Arial"/>
          <w:sz w:val="21"/>
          <w:szCs w:val="21"/>
          <w:b w:val="1"/>
          <w:bCs w:val="1"/>
          <w:i w:val="1"/>
          <w:iCs w:val="1"/>
          <w:color w:val="2E9947"/>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Eligibility</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All Directors, officers, consultants and employees are eligible to participate in the Omnibus Incentive Plan. The extent to which any such individual is entitled to receive a grant of an award pursuant to the Omnibus Incentive Plan will be determined in the discretion of the Plan Administrator.</w:t>
      </w:r>
    </w:p>
    <w:p>
      <w:pPr>
        <w:spacing w:after="0" w:line="15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Types of Awards</w:t>
      </w:r>
    </w:p>
    <w:p>
      <w:pPr>
        <w:spacing w:after="0" w:line="207"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Awards of options, RSUs, PSUs and DSUs may be made under the Omnibus Incentive Plan. All of the awards described below will be subject to the conditions, limitations, restrictions, exercise price, vesting, settlement and forfeiture provisions determined by the Plan Administrator, in its sole discretion, subject to such limitations provided in the Omnibus Incentive Plan, and will generally be evidenced by an award agreement. In addition, subject to the limitations provided in the Omnibus Incentive Plan and in accordance with applicable law, the Plan Administrator may accelerate or defer the vesting or payment of awards, cancel or modify outstanding awards, and waive any condition imposed with respect to awards or Shares issued pursuant to awards.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Options</w:t>
      </w:r>
    </w:p>
    <w:p>
      <w:pPr>
        <w:spacing w:after="0" w:line="203"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An option entitles a holder thereof to purchase a prescribed number of treasury Shares at an exercise price set at the time of the grant. The Plan Administrator will establish the exercise price at the time each option is granted, which exercise price must in all cases be not less than the Market Price (as defined in the Omnibus Incentive Plan) on the date of grant. Subject to any accelerated termination as set forth in the Omnibus Incentive Plan, each option expires on its respective expiry date. The Plan Administrator will have the authority to determine the vesting terms applicable to grants of options. Once an option becomes vested, it shall remain vested and shall be exercisable until expiration or termination of the option, unless otherwise specified by the Plan Administrator, or as otherwise set forth in any written employment agreement, award agreement or other written agreement between the Company or a subsidiary of the Company and the participant. The Plan Administrator will have the right to accelerate the date upon which any option becomes exercisable. The Plan Administrator may provide at the time of granting an option that the exercise of that option is subject to restrictions, in addition to those specified in the Omnibus Incentive Plan, such as vesting conditions relating to the attainment of specified performance goals.</w:t>
      </w:r>
    </w:p>
    <w:p>
      <w:pPr>
        <w:spacing w:after="0" w:line="172"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Unless otherwise specified by the Plan Administrator at the time of granting an option and set forth in the particular award agreement, an exercise notice must be accompanied by payment of the exercise price. A participant may, in lieu of exercising an option pursuant to an exercise notice, elect to surrender such option to the Company (a “</w:t>
      </w:r>
      <w:r>
        <w:rPr>
          <w:rFonts w:ascii="Arial" w:cs="Arial" w:eastAsia="Arial" w:hAnsi="Arial"/>
          <w:sz w:val="19"/>
          <w:szCs w:val="19"/>
          <w:b w:val="1"/>
          <w:bCs w:val="1"/>
          <w:color w:val="auto"/>
        </w:rPr>
        <w:t>Cashless Exercise</w:t>
      </w:r>
      <w:r>
        <w:rPr>
          <w:rFonts w:ascii="Arial" w:cs="Arial" w:eastAsia="Arial" w:hAnsi="Arial"/>
          <w:sz w:val="19"/>
          <w:szCs w:val="19"/>
          <w:color w:val="auto"/>
        </w:rPr>
        <w:t>”) in consideration for an amount from the Company equal to (i) the Market Price of the Shares issuable on the exercise of such option (or portion thereof) as of the date such option (or portion thereof) is exercised, less (ii) the aggregate exercise price of the option (or portion thereof) surrendered relating to such Shares (the “</w:t>
      </w:r>
      <w:r>
        <w:rPr>
          <w:rFonts w:ascii="Arial" w:cs="Arial" w:eastAsia="Arial" w:hAnsi="Arial"/>
          <w:sz w:val="19"/>
          <w:szCs w:val="19"/>
          <w:b w:val="1"/>
          <w:bCs w:val="1"/>
          <w:color w:val="auto"/>
        </w:rPr>
        <w:t>In-the-Money Amount</w:t>
      </w:r>
      <w:r>
        <w:rPr>
          <w:rFonts w:ascii="Arial" w:cs="Arial" w:eastAsia="Arial" w:hAnsi="Arial"/>
          <w:sz w:val="19"/>
          <w:szCs w:val="19"/>
          <w:color w:val="auto"/>
        </w:rPr>
        <w:t>”) by written notice to the Company indicating the number of options such participant wishes to exercise using the Cashless Exercise, and such other information that the Company may require. Subject to the provisions of the Omnibus Incentive Plan, the Company will satisfy payment of the In-the-Money Amount by delivering to the participant such number of Shares having an aggregate fair market value equal to the In-the-Money Amount. Any options surrendered in connection with a Cashless Exercise will not be added back to the number of Shares reserved for issuance under the Omnibus Incentive Plan.</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0680"/>
          </w:cols>
          <w:pgMar w:left="600" w:top="259" w:right="619" w:bottom="1440" w:gutter="0" w:footer="0" w:header="0"/>
        </w:sectPr>
      </w:pPr>
    </w:p>
    <w:bookmarkStart w:id="100" w:name="page101"/>
    <w:bookmarkEnd w:id="100"/>
    <w:p>
      <w:pPr>
        <w:spacing w:after="0"/>
        <w:rPr>
          <w:sz w:val="20"/>
          <w:szCs w:val="20"/>
          <w:color w:val="auto"/>
        </w:rPr>
      </w:pPr>
      <w:r>
        <w:rPr>
          <w:rFonts w:ascii="Arial" w:cs="Arial" w:eastAsia="Arial" w:hAnsi="Arial"/>
          <w:sz w:val="19"/>
          <w:szCs w:val="19"/>
          <w:b w:val="1"/>
          <w:bCs w:val="1"/>
          <w:u w:val="single" w:color="auto"/>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Restricted Share Units</w:t>
      </w:r>
    </w:p>
    <w:p>
      <w:pPr>
        <w:spacing w:after="0" w:line="20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 RSU is a unit equivalent in value to a Share credited by means of a bookkeeping entry in the books of the Company which entitles the holder to receive one Share (or the value thereof) for each RSU after a specified vesting period. The Plan Administrator may, from time to time, subject to the provisions of the Omnibus Incentive Plan and such other terms and conditions as the Plan Administrator may prescribe, grant RSUs to any participant in respect of a bonus or similar payment in respect of services rendered by the applicable participant in a taxation year (the “</w:t>
      </w:r>
      <w:r>
        <w:rPr>
          <w:rFonts w:ascii="Arial" w:cs="Arial" w:eastAsia="Arial" w:hAnsi="Arial"/>
          <w:sz w:val="19"/>
          <w:szCs w:val="19"/>
          <w:b w:val="1"/>
          <w:bCs w:val="1"/>
          <w:color w:val="auto"/>
        </w:rPr>
        <w:t>RSU Service Year</w:t>
      </w:r>
      <w:r>
        <w:rPr>
          <w:rFonts w:ascii="Arial" w:cs="Arial" w:eastAsia="Arial" w:hAnsi="Arial"/>
          <w:sz w:val="19"/>
          <w:szCs w:val="19"/>
          <w:color w:val="auto"/>
        </w:rPr>
        <w:t>”).</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number of RSUs (including fractional RSUs) granted at any particular time under the Omnibus Incentive Plan will be calculated by dividing (a) the amount of any bonus or similar payment that is to be paid in RSUs (including the elected amount, as applicable), as determined by the Plan Administrator, by (b) the greater of (i) the Market Price of a Share on the date of grant and (ii) such amount as determined by the Plan Administrator in its sole discretion. The Plan Administrator shall have the authority to determine any vesting terms applicable to the grant of RSUs, provided that the terms comply with Section 409A of the United States Internal Revenue Code of 1986 (the “</w:t>
      </w:r>
      <w:r>
        <w:rPr>
          <w:rFonts w:ascii="Arial" w:cs="Arial" w:eastAsia="Arial" w:hAnsi="Arial"/>
          <w:sz w:val="19"/>
          <w:szCs w:val="19"/>
          <w:b w:val="1"/>
          <w:bCs w:val="1"/>
          <w:color w:val="auto"/>
        </w:rPr>
        <w:t>Code</w:t>
      </w:r>
      <w:r>
        <w:rPr>
          <w:rFonts w:ascii="Arial" w:cs="Arial" w:eastAsia="Arial" w:hAnsi="Arial"/>
          <w:sz w:val="19"/>
          <w:szCs w:val="19"/>
          <w:color w:val="auto"/>
        </w:rPr>
        <w:t>”), to the extent applicable.</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Upon settlement, holders will receive (a) one fully paid and non-assessable Share in respect of each vested RSU, (b) a cash payment or (c) a combination of Shares and cash, in each case as determined by the Plan Administrator. Any such cash payments made by the Company shall be calculated by multiplying the number of RSUs to be redeemed for cash by the Market Price per Share as at the settlement date. Subject to the provisions of the Omnibus Incentive Plan and except as otherwise provided in an award agreement, no settlement date for any RSU shall occur, and no Share shall be issued or cash payment shall be made in respect of any RSU any later than the final business day of the third calendar year following the applicable RSU Service Year.</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Performance Share Units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A PSU is a unit equivalent in value to a Share credited by means of a bookkeeping entry in the books of the Company which entitles the holder to receive one Share (or the value thereof) for each PSU after specific performance-based vesting criteria determined by the Plan Administrator, in its sole discretion, have been satisfied. The performance goals to be achieved during any performance period, the length of any performance period, the amount of any PSUs granted, the termination of a participant’s employment and the amount of any payment or transfer to be made pursuant to any PSU will be determined by the Plan Administrator and by the other terms and conditions of any PSU, all as set forth in the applicable award agreement. The Plan Administrator may, from time to time, subject to the provisions of the Omnibus Incentive Plan and such other terms and conditions as the Plan Administrator may prescribe, grant PSUs to any participant in respect of a bonus or similar payment in respect of services rendered by the applicable participant in a taxation year (the “</w:t>
      </w:r>
      <w:r>
        <w:rPr>
          <w:rFonts w:ascii="Arial" w:cs="Arial" w:eastAsia="Arial" w:hAnsi="Arial"/>
          <w:sz w:val="19"/>
          <w:szCs w:val="19"/>
          <w:b w:val="1"/>
          <w:bCs w:val="1"/>
          <w:color w:val="auto"/>
        </w:rPr>
        <w:t>PSU Service Year</w:t>
      </w:r>
      <w:r>
        <w:rPr>
          <w:rFonts w:ascii="Arial" w:cs="Arial" w:eastAsia="Arial" w:hAnsi="Arial"/>
          <w:sz w:val="19"/>
          <w:szCs w:val="19"/>
          <w:color w:val="auto"/>
        </w:rPr>
        <w:t>”).</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Plan Administrator has the authority to determine any vesting terms applicable to the grant of PSUs. Upon settlement, holders will receive (a) one fully paid and non-assessable Share in respect of each vested PSU, (b) a cash payment, or (c) a combination of Shares and cash, in each case as determined by the Plan Administrator in its discretion. Any such cash payments made by the Company to a participant shall be calculated by multiplying the number of PSUs to be redeemed for cash by the Market Price per Share as at the settlement date. Subject to the provisions of the Omnibus Incentive Plan and except as otherwise provided in an award agreement, no settlement date for any PSU shall occur, and no Share shall be issued or cash</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0680"/>
          </w:cols>
          <w:pgMar w:left="600" w:top="260" w:right="619" w:bottom="1440" w:gutter="0" w:footer="0" w:header="0"/>
        </w:sectPr>
      </w:pPr>
    </w:p>
    <w:bookmarkStart w:id="101" w:name="page102"/>
    <w:bookmarkEnd w:id="101"/>
    <w:p>
      <w:pPr>
        <w:jc w:val="both"/>
        <w:spacing w:after="0" w:line="26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payment shall be made in respect of any PSU any later than the final business day of the third calendar year following the applicable PSU Service Year.</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003445"/>
        </w:rPr>
        <w:t>Deferred Share Units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 DSU is a unit equivalent in value to a Share credited by means of a bookkeeping entry in the books of the Company which entitles the holder to receive one Share, the cash value thereof, or a combination of Shares and cash (as determined by the Plan Administrator in its sole discretion) for each DSU on a future date. The Board may fix from time to time a portion of the total compensation (including annual retainer) paid by the Company to a director in a calendar year for service on the Board (the “</w:t>
      </w:r>
      <w:r>
        <w:rPr>
          <w:rFonts w:ascii="Arial" w:cs="Arial" w:eastAsia="Arial" w:hAnsi="Arial"/>
          <w:sz w:val="19"/>
          <w:szCs w:val="19"/>
          <w:b w:val="1"/>
          <w:bCs w:val="1"/>
          <w:color w:val="auto"/>
        </w:rPr>
        <w:t>Director Fees</w:t>
      </w:r>
      <w:r>
        <w:rPr>
          <w:rFonts w:ascii="Arial" w:cs="Arial" w:eastAsia="Arial" w:hAnsi="Arial"/>
          <w:sz w:val="19"/>
          <w:szCs w:val="19"/>
          <w:color w:val="auto"/>
        </w:rPr>
        <w:t>”) that is to be payable in the form of DSUs. In addition, each director will be given, subject to the provisions of the Omnibus Incentive Plan, the right to elect to receive a portion of the cash Director Fees owing to them in the form of DSUs.</w:t>
      </w:r>
    </w:p>
    <w:p>
      <w:pPr>
        <w:spacing w:after="0" w:line="166"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Except as otherwise determined by the Plan Administrator, DSUs shall vest immediately upon grant. The number of DSUs (including fractional DSUs) granted at any particular time will be calculated by dividing (a) the amount of any Director Fees that are to be paid in DSUs (including any elected amount), as determined by the Plan Administrator, by (b) the Market Price of a Share on the date of grant. Upon settlement, holders will receive (a) one fully paid and non-assessable Share in respect of each vested DSU, (b) a cash payment, or (c) a combination of Shares and cash as contemplated by (a) and (b) above, as determined by the Plan Administrator in its sole discretion. Any cash payments made under the Omnibus Incentive Plan by the Company to a participant in respect of DSUs to be redeemed for cash shall be calculated by multiplying the number of DSUs to be redeemed for cash by the Market Price per Share as at the settlement date. Subject to the provisions of the Omnibus Incentive Plan and except as otherwise provided in an award agreement, the settlement date shall be no earlier than the date on which the participant ceases to be a director (and, if such participant is also a non-director employee of the Company or one of its subsidiaries, the date on which the participant ceases to be such an employee) and no later than the last business day of the immediately following calendar year.</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Dividend Equivalents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RSUs, PSUs and DSUs shall be credited with dividend equivalents in the form of additional RSUs, PSUs and DSUs, as applicable. Dividend equivalents shall vest in proportion to, and settle in the same manner as, the awards to which they relate. Such dividend equivalents shall be computed by dividing: (a) the amount obtained by multiplying the amount of the dividend declared and paid per Share by the number of RSUs, PSUs and DSUs, as applicable, held by the participant on the record date for the payment of such dividend, by (b) the Market Price at the close of the first business day immediately following the dividend record date, with fractions computed to three decimal places.</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Black-out Periods</w:t>
      </w:r>
    </w:p>
    <w:p>
      <w:pPr>
        <w:spacing w:after="0" w:line="20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If an award expires during, or within five business days after, a routine or special trading black-out period imposed by the Company to restrict trades in the Company’s securities, then, notwithstanding any other provision of the Omnibus Incentive Plan, unless the delayed expiration would result in negative tax consequences to the holder of the award, the award shall expire five business days after the trading black- out period is lifted by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0680"/>
          </w:cols>
          <w:pgMar w:left="600" w:top="262" w:right="619" w:bottom="1440" w:gutter="0" w:footer="0" w:header="0"/>
        </w:sectPr>
      </w:pPr>
    </w:p>
    <w:bookmarkStart w:id="102" w:name="page103"/>
    <w:bookmarkEnd w:id="102"/>
    <w:p>
      <w:pPr>
        <w:spacing w:after="0"/>
        <w:rPr>
          <w:sz w:val="20"/>
          <w:szCs w:val="20"/>
          <w:color w:val="auto"/>
        </w:rPr>
      </w:pPr>
      <w:r>
        <w:rPr>
          <w:rFonts w:ascii="Arial" w:cs="Arial" w:eastAsia="Arial" w:hAnsi="Arial"/>
          <w:sz w:val="21"/>
          <w:szCs w:val="21"/>
          <w:b w:val="1"/>
          <w:bCs w:val="1"/>
          <w:i w:val="1"/>
          <w:iCs w:val="1"/>
          <w:color w:val="2E9947"/>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Term</w:t>
      </w:r>
    </w:p>
    <w:p>
      <w:pPr>
        <w:spacing w:after="0" w:line="207"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While the Omnibus Incentive Plan will not stipulate a specific term for awards granted thereunder, shareholder approval shall be required to permit an award to be exercisable beyond 10 years from its date of grant, except where an expiry date would have fallen within a blackout period of the Company. All awards must vest and settle in accordance with the provisions of the Omnibus Incentive Plan and any applicable award agreement, which award agreement may include an expiry date for a specific award.</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Termination of Employment or Services</w:t>
      </w:r>
    </w:p>
    <w:p>
      <w:pPr>
        <w:spacing w:after="0" w:line="207" w:lineRule="exact"/>
        <w:rPr>
          <w:sz w:val="20"/>
          <w:szCs w:val="20"/>
          <w:color w:val="auto"/>
        </w:rPr>
      </w:pPr>
    </w:p>
    <w:p>
      <w:pPr>
        <w:jc w:val="both"/>
        <w:ind w:right="20"/>
        <w:spacing w:after="0" w:line="239" w:lineRule="auto"/>
        <w:rPr>
          <w:sz w:val="20"/>
          <w:szCs w:val="20"/>
          <w:color w:val="auto"/>
        </w:rPr>
      </w:pPr>
      <w:r>
        <w:rPr>
          <w:rFonts w:ascii="Arial" w:cs="Arial" w:eastAsia="Arial" w:hAnsi="Arial"/>
          <w:sz w:val="19"/>
          <w:szCs w:val="19"/>
          <w:color w:val="auto"/>
        </w:rPr>
        <w:t>The following table describes the impact of certain events upon the participants under the Omnibus Incentive Plan, including termination with cause, termination without cause, resignation, death or disability, subject, in each case, to the terms of a participant’s applicable employment agreement, award agreement or other written agreement and subject to applicable employment standards legislation or regulations applicable to the participant’s employment or other engagement with the Company or any of its subsidiaries:</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580" w:type="dxa"/>
            <w:vAlign w:val="bottom"/>
            <w:tcBorders>
              <w:left w:val="single" w:sz="8" w:color="auto"/>
              <w:bottom w:val="single" w:sz="8" w:color="auto"/>
              <w:right w:val="single" w:sz="8" w:color="auto"/>
            </w:tcBorders>
            <w:shd w:val="clear" w:color="auto" w:fill="003445"/>
          </w:tcPr>
          <w:p>
            <w:pPr>
              <w:ind w:left="1100"/>
              <w:spacing w:after="0"/>
              <w:rPr>
                <w:sz w:val="20"/>
                <w:szCs w:val="20"/>
                <w:color w:val="auto"/>
              </w:rPr>
            </w:pPr>
            <w:r>
              <w:rPr>
                <w:rFonts w:ascii="Arial" w:cs="Arial" w:eastAsia="Arial" w:hAnsi="Arial"/>
                <w:sz w:val="19"/>
                <w:szCs w:val="19"/>
                <w:b w:val="1"/>
                <w:bCs w:val="1"/>
                <w:color w:val="FFFFFF"/>
              </w:rPr>
              <w:t>Event</w:t>
            </w:r>
          </w:p>
        </w:tc>
        <w:tc>
          <w:tcPr>
            <w:tcW w:w="8120" w:type="dxa"/>
            <w:vAlign w:val="bottom"/>
            <w:tcBorders>
              <w:bottom w:val="single" w:sz="8" w:color="auto"/>
              <w:right w:val="single" w:sz="8" w:color="auto"/>
            </w:tcBorders>
            <w:shd w:val="clear" w:color="auto" w:fill="003445"/>
          </w:tcPr>
          <w:p>
            <w:pPr>
              <w:ind w:left="3600"/>
              <w:spacing w:after="0"/>
              <w:rPr>
                <w:sz w:val="20"/>
                <w:szCs w:val="20"/>
                <w:color w:val="auto"/>
              </w:rPr>
            </w:pPr>
            <w:r>
              <w:rPr>
                <w:rFonts w:ascii="Arial" w:cs="Arial" w:eastAsia="Arial" w:hAnsi="Arial"/>
                <w:sz w:val="19"/>
                <w:szCs w:val="19"/>
                <w:b w:val="1"/>
                <w:bCs w:val="1"/>
                <w:color w:val="FFFFFF"/>
              </w:rPr>
              <w:t>Provisions</w:t>
            </w:r>
          </w:p>
        </w:tc>
        <w:tc>
          <w:tcPr>
            <w:tcW w:w="0" w:type="dxa"/>
            <w:vAlign w:val="bottom"/>
          </w:tcPr>
          <w:p>
            <w:pPr>
              <w:spacing w:after="0"/>
              <w:rPr>
                <w:sz w:val="1"/>
                <w:szCs w:val="1"/>
                <w:color w:val="auto"/>
              </w:rPr>
            </w:pPr>
          </w:p>
        </w:tc>
      </w:tr>
      <w:tr>
        <w:trPr>
          <w:trHeight w:val="181"/>
        </w:trPr>
        <w:tc>
          <w:tcPr>
            <w:tcW w:w="2580" w:type="dxa"/>
            <w:vAlign w:val="bottom"/>
            <w:tcBorders>
              <w:left w:val="single" w:sz="8" w:color="auto"/>
              <w:right w:val="single" w:sz="8" w:color="auto"/>
            </w:tcBorders>
          </w:tcPr>
          <w:p>
            <w:pPr>
              <w:ind w:left="160"/>
              <w:spacing w:after="0" w:line="182" w:lineRule="exact"/>
              <w:rPr>
                <w:sz w:val="20"/>
                <w:szCs w:val="20"/>
                <w:color w:val="auto"/>
              </w:rPr>
            </w:pPr>
            <w:r>
              <w:rPr>
                <w:rFonts w:ascii="Arial" w:cs="Arial" w:eastAsia="Arial" w:hAnsi="Arial"/>
                <w:sz w:val="19"/>
                <w:szCs w:val="19"/>
                <w:b w:val="1"/>
                <w:bCs w:val="1"/>
                <w:color w:val="auto"/>
              </w:rPr>
              <w:t>Termination with Cause</w:t>
            </w:r>
          </w:p>
        </w:tc>
        <w:tc>
          <w:tcPr>
            <w:tcW w:w="81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9"/>
                <w:szCs w:val="19"/>
                <w:color w:val="auto"/>
              </w:rPr>
              <w:t>•  Any unvested awards held that have not been exercised, settled or surrendered as of the</w:t>
            </w:r>
          </w:p>
        </w:tc>
        <w:tc>
          <w:tcPr>
            <w:tcW w:w="0" w:type="dxa"/>
            <w:vAlign w:val="bottom"/>
          </w:tcPr>
          <w:p>
            <w:pPr>
              <w:spacing w:after="0"/>
              <w:rPr>
                <w:sz w:val="1"/>
                <w:szCs w:val="1"/>
                <w:color w:val="auto"/>
              </w:rPr>
            </w:pPr>
          </w:p>
        </w:tc>
      </w:tr>
      <w:tr>
        <w:trPr>
          <w:trHeight w:val="100"/>
        </w:trPr>
        <w:tc>
          <w:tcPr>
            <w:tcW w:w="2580" w:type="dxa"/>
            <w:vAlign w:val="bottom"/>
            <w:tcBorders>
              <w:left w:val="single" w:sz="8" w:color="auto"/>
              <w:bottom w:val="single" w:sz="8" w:color="auto"/>
              <w:right w:val="single" w:sz="8" w:color="auto"/>
            </w:tcBorders>
          </w:tcPr>
          <w:p>
            <w:pPr>
              <w:spacing w:after="0"/>
              <w:rPr>
                <w:sz w:val="8"/>
                <w:szCs w:val="8"/>
                <w:color w:val="auto"/>
              </w:rPr>
            </w:pPr>
          </w:p>
        </w:tc>
        <w:tc>
          <w:tcPr>
            <w:tcW w:w="8120" w:type="dxa"/>
            <w:vAlign w:val="bottom"/>
            <w:tcBorders>
              <w:right w:val="single" w:sz="8" w:color="auto"/>
            </w:tcBorders>
            <w:vMerge w:val="restart"/>
          </w:tcPr>
          <w:p>
            <w:pPr>
              <w:ind w:left="400"/>
              <w:spacing w:after="0" w:line="210" w:lineRule="exact"/>
              <w:rPr>
                <w:sz w:val="20"/>
                <w:szCs w:val="20"/>
                <w:color w:val="auto"/>
              </w:rPr>
            </w:pPr>
            <w:r>
              <w:rPr>
                <w:rFonts w:ascii="Arial" w:cs="Arial" w:eastAsia="Arial" w:hAnsi="Arial"/>
                <w:sz w:val="19"/>
                <w:szCs w:val="19"/>
                <w:color w:val="auto"/>
              </w:rPr>
              <w:t>Termination Date (as defined in the Omnibus Incentive Plan) shall be forfeited and</w:t>
            </w:r>
          </w:p>
        </w:tc>
        <w:tc>
          <w:tcPr>
            <w:tcW w:w="0" w:type="dxa"/>
            <w:vAlign w:val="bottom"/>
          </w:tcPr>
          <w:p>
            <w:pPr>
              <w:spacing w:after="0"/>
              <w:rPr>
                <w:sz w:val="1"/>
                <w:szCs w:val="1"/>
                <w:color w:val="auto"/>
              </w:rPr>
            </w:pPr>
          </w:p>
        </w:tc>
      </w:tr>
      <w:tr>
        <w:trPr>
          <w:trHeight w:val="89"/>
        </w:trPr>
        <w:tc>
          <w:tcPr>
            <w:tcW w:w="2580" w:type="dxa"/>
            <w:vAlign w:val="bottom"/>
            <w:tcBorders>
              <w:left w:val="single" w:sz="8" w:color="auto"/>
              <w:right w:val="single" w:sz="8" w:color="auto"/>
            </w:tcBorders>
            <w:vMerge w:val="restart"/>
          </w:tcPr>
          <w:p>
            <w:pPr>
              <w:ind w:left="160"/>
              <w:spacing w:after="0" w:line="179" w:lineRule="exact"/>
              <w:rPr>
                <w:sz w:val="20"/>
                <w:szCs w:val="20"/>
                <w:color w:val="auto"/>
              </w:rPr>
            </w:pPr>
            <w:r>
              <w:rPr>
                <w:rFonts w:ascii="Arial" w:cs="Arial" w:eastAsia="Arial" w:hAnsi="Arial"/>
                <w:sz w:val="19"/>
                <w:szCs w:val="19"/>
                <w:b w:val="1"/>
                <w:bCs w:val="1"/>
                <w:color w:val="auto"/>
              </w:rPr>
              <w:t>Termination without</w:t>
            </w:r>
          </w:p>
        </w:tc>
        <w:tc>
          <w:tcPr>
            <w:tcW w:w="8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580" w:type="dxa"/>
            <w:vAlign w:val="bottom"/>
            <w:tcBorders>
              <w:left w:val="single" w:sz="8" w:color="auto"/>
              <w:right w:val="single" w:sz="8" w:color="auto"/>
            </w:tcBorders>
            <w:vMerge w:val="continue"/>
          </w:tcPr>
          <w:p>
            <w:pPr>
              <w:spacing w:after="0"/>
              <w:rPr>
                <w:sz w:val="7"/>
                <w:szCs w:val="7"/>
                <w:color w:val="auto"/>
              </w:rPr>
            </w:pPr>
          </w:p>
        </w:tc>
        <w:tc>
          <w:tcPr>
            <w:tcW w:w="8120" w:type="dxa"/>
            <w:vAlign w:val="bottom"/>
            <w:tcBorders>
              <w:right w:val="single" w:sz="8" w:color="auto"/>
            </w:tcBorders>
            <w:vMerge w:val="restart"/>
          </w:tcPr>
          <w:p>
            <w:pPr>
              <w:ind w:left="400"/>
              <w:spacing w:after="0"/>
              <w:rPr>
                <w:sz w:val="20"/>
                <w:szCs w:val="20"/>
                <w:color w:val="auto"/>
              </w:rPr>
            </w:pPr>
            <w:r>
              <w:rPr>
                <w:rFonts w:ascii="Arial" w:cs="Arial" w:eastAsia="Arial" w:hAnsi="Arial"/>
                <w:sz w:val="19"/>
                <w:szCs w:val="19"/>
                <w:color w:val="auto"/>
              </w:rPr>
              <w:t>cancelled.</w:t>
            </w:r>
          </w:p>
        </w:tc>
        <w:tc>
          <w:tcPr>
            <w:tcW w:w="0" w:type="dxa"/>
            <w:vAlign w:val="bottom"/>
          </w:tcPr>
          <w:p>
            <w:pPr>
              <w:spacing w:after="0"/>
              <w:rPr>
                <w:sz w:val="1"/>
                <w:szCs w:val="1"/>
                <w:color w:val="auto"/>
              </w:rPr>
            </w:pPr>
          </w:p>
        </w:tc>
      </w:tr>
      <w:tr>
        <w:trPr>
          <w:trHeight w:val="159"/>
        </w:trPr>
        <w:tc>
          <w:tcPr>
            <w:tcW w:w="25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Cause</w:t>
            </w:r>
          </w:p>
        </w:tc>
        <w:tc>
          <w:tcPr>
            <w:tcW w:w="81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580" w:type="dxa"/>
            <w:vAlign w:val="bottom"/>
            <w:tcBorders>
              <w:left w:val="single" w:sz="8" w:color="auto"/>
              <w:right w:val="single" w:sz="8" w:color="auto"/>
            </w:tcBorders>
            <w:vMerge w:val="continue"/>
          </w:tcPr>
          <w:p>
            <w:pPr>
              <w:spacing w:after="0"/>
              <w:rPr>
                <w:sz w:val="9"/>
                <w:szCs w:val="9"/>
                <w:color w:val="auto"/>
              </w:rPr>
            </w:pPr>
          </w:p>
        </w:tc>
        <w:tc>
          <w:tcPr>
            <w:tcW w:w="8120" w:type="dxa"/>
            <w:vAlign w:val="bottom"/>
            <w:tcBorders>
              <w:right w:val="single" w:sz="8" w:color="auto"/>
            </w:tcBorders>
            <w:vMerge w:val="restart"/>
          </w:tcPr>
          <w:p>
            <w:pPr>
              <w:ind w:left="100"/>
              <w:spacing w:after="0" w:line="210" w:lineRule="exact"/>
              <w:rPr>
                <w:sz w:val="20"/>
                <w:szCs w:val="20"/>
                <w:color w:val="auto"/>
              </w:rPr>
            </w:pPr>
            <w:r>
              <w:rPr>
                <w:rFonts w:ascii="Arial" w:cs="Arial" w:eastAsia="Arial" w:hAnsi="Arial"/>
                <w:sz w:val="19"/>
                <w:szCs w:val="19"/>
                <w:color w:val="auto"/>
              </w:rPr>
              <w:t>•  Any vested awards may be exercised, settled or surrendered to the Company by the</w:t>
            </w:r>
          </w:p>
        </w:tc>
        <w:tc>
          <w:tcPr>
            <w:tcW w:w="0" w:type="dxa"/>
            <w:vAlign w:val="bottom"/>
          </w:tcPr>
          <w:p>
            <w:pPr>
              <w:spacing w:after="0"/>
              <w:rPr>
                <w:sz w:val="1"/>
                <w:szCs w:val="1"/>
                <w:color w:val="auto"/>
              </w:rPr>
            </w:pPr>
          </w:p>
        </w:tc>
      </w:tr>
      <w:tr>
        <w:trPr>
          <w:trHeight w:val="46"/>
        </w:trPr>
        <w:tc>
          <w:tcPr>
            <w:tcW w:w="2580" w:type="dxa"/>
            <w:vAlign w:val="bottom"/>
            <w:tcBorders>
              <w:left w:val="single" w:sz="8" w:color="auto"/>
              <w:bottom w:val="single" w:sz="8" w:color="auto"/>
              <w:right w:val="single" w:sz="8" w:color="auto"/>
            </w:tcBorders>
          </w:tcPr>
          <w:p>
            <w:pPr>
              <w:spacing w:after="0"/>
              <w:rPr>
                <w:sz w:val="3"/>
                <w:szCs w:val="3"/>
                <w:color w:val="auto"/>
              </w:rPr>
            </w:pPr>
          </w:p>
        </w:tc>
        <w:tc>
          <w:tcPr>
            <w:tcW w:w="812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5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Resignation</w:t>
            </w:r>
          </w:p>
        </w:tc>
        <w:tc>
          <w:tcPr>
            <w:tcW w:w="81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tcBorders>
              <w:left w:val="single" w:sz="8" w:color="auto"/>
              <w:right w:val="single" w:sz="8" w:color="auto"/>
            </w:tcBorders>
            <w:vMerge w:val="continue"/>
          </w:tcPr>
          <w:p>
            <w:pPr>
              <w:spacing w:after="0"/>
              <w:rPr>
                <w:sz w:val="18"/>
                <w:szCs w:val="18"/>
                <w:color w:val="auto"/>
              </w:rPr>
            </w:pPr>
          </w:p>
        </w:tc>
        <w:tc>
          <w:tcPr>
            <w:tcW w:w="8120" w:type="dxa"/>
            <w:vAlign w:val="bottom"/>
            <w:tcBorders>
              <w:right w:val="single" w:sz="8" w:color="auto"/>
            </w:tcBorders>
          </w:tcPr>
          <w:p>
            <w:pPr>
              <w:ind w:left="400"/>
              <w:spacing w:after="0" w:line="210" w:lineRule="exact"/>
              <w:rPr>
                <w:sz w:val="20"/>
                <w:szCs w:val="20"/>
                <w:color w:val="auto"/>
              </w:rPr>
            </w:pPr>
            <w:r>
              <w:rPr>
                <w:rFonts w:ascii="Arial" w:cs="Arial" w:eastAsia="Arial" w:hAnsi="Arial"/>
                <w:sz w:val="19"/>
                <w:szCs w:val="19"/>
                <w:color w:val="auto"/>
              </w:rPr>
              <w:t>participant at any time during the period that terminates on the earlier of: (a) the expiry</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400"/>
              <w:spacing w:after="0" w:line="210" w:lineRule="exact"/>
              <w:rPr>
                <w:sz w:val="20"/>
                <w:szCs w:val="20"/>
                <w:color w:val="auto"/>
              </w:rPr>
            </w:pPr>
            <w:r>
              <w:rPr>
                <w:rFonts w:ascii="Arial" w:cs="Arial" w:eastAsia="Arial" w:hAnsi="Arial"/>
                <w:sz w:val="19"/>
                <w:szCs w:val="19"/>
                <w:color w:val="auto"/>
              </w:rPr>
              <w:t>date of such award; and (b) the date that is 90 days after the Termination Date, with any</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400"/>
              <w:spacing w:after="0" w:line="210" w:lineRule="exact"/>
              <w:rPr>
                <w:sz w:val="20"/>
                <w:szCs w:val="20"/>
                <w:color w:val="auto"/>
              </w:rPr>
            </w:pPr>
            <w:r>
              <w:rPr>
                <w:rFonts w:ascii="Arial" w:cs="Arial" w:eastAsia="Arial" w:hAnsi="Arial"/>
                <w:sz w:val="19"/>
                <w:szCs w:val="19"/>
                <w:color w:val="auto"/>
              </w:rPr>
              <w:t>award that has not been exercised, settled or surrendered at the end of such period being</w:t>
            </w:r>
          </w:p>
        </w:tc>
        <w:tc>
          <w:tcPr>
            <w:tcW w:w="0" w:type="dxa"/>
            <w:vAlign w:val="bottom"/>
          </w:tcPr>
          <w:p>
            <w:pPr>
              <w:spacing w:after="0"/>
              <w:rPr>
                <w:sz w:val="1"/>
                <w:szCs w:val="1"/>
                <w:color w:val="auto"/>
              </w:rPr>
            </w:pPr>
          </w:p>
        </w:tc>
      </w:tr>
      <w:tr>
        <w:trPr>
          <w:trHeight w:val="254"/>
        </w:trPr>
        <w:tc>
          <w:tcPr>
            <w:tcW w:w="2580" w:type="dxa"/>
            <w:vAlign w:val="bottom"/>
            <w:tcBorders>
              <w:left w:val="single" w:sz="8" w:color="auto"/>
              <w:right w:val="single" w:sz="8" w:color="auto"/>
            </w:tcBorders>
          </w:tcPr>
          <w:p>
            <w:pPr>
              <w:spacing w:after="0"/>
              <w:rPr>
                <w:sz w:val="22"/>
                <w:szCs w:val="22"/>
                <w:color w:val="auto"/>
              </w:rPr>
            </w:pPr>
          </w:p>
        </w:tc>
        <w:tc>
          <w:tcPr>
            <w:tcW w:w="8120" w:type="dxa"/>
            <w:vAlign w:val="bottom"/>
            <w:tcBorders>
              <w:right w:val="single" w:sz="8" w:color="auto"/>
            </w:tcBorders>
          </w:tcPr>
          <w:p>
            <w:pPr>
              <w:ind w:left="400"/>
              <w:spacing w:after="0"/>
              <w:rPr>
                <w:sz w:val="20"/>
                <w:szCs w:val="20"/>
                <w:color w:val="auto"/>
              </w:rPr>
            </w:pPr>
            <w:r>
              <w:rPr>
                <w:rFonts w:ascii="Arial" w:cs="Arial" w:eastAsia="Arial" w:hAnsi="Arial"/>
                <w:sz w:val="19"/>
                <w:szCs w:val="19"/>
                <w:color w:val="auto"/>
              </w:rPr>
              <w:t>immediately forfeited and cancelled.</w:t>
            </w:r>
          </w:p>
        </w:tc>
        <w:tc>
          <w:tcPr>
            <w:tcW w:w="0" w:type="dxa"/>
            <w:vAlign w:val="bottom"/>
          </w:tcPr>
          <w:p>
            <w:pPr>
              <w:spacing w:after="0"/>
              <w:rPr>
                <w:sz w:val="1"/>
                <w:szCs w:val="1"/>
                <w:color w:val="auto"/>
              </w:rPr>
            </w:pPr>
          </w:p>
        </w:tc>
      </w:tr>
      <w:tr>
        <w:trPr>
          <w:trHeight w:val="30"/>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580" w:type="dxa"/>
            <w:vAlign w:val="bottom"/>
            <w:tcBorders>
              <w:left w:val="single" w:sz="8" w:color="auto"/>
              <w:right w:val="single" w:sz="8" w:color="auto"/>
            </w:tcBorders>
          </w:tcPr>
          <w:p>
            <w:pPr>
              <w:ind w:left="160"/>
              <w:spacing w:after="0" w:line="182" w:lineRule="exact"/>
              <w:rPr>
                <w:sz w:val="20"/>
                <w:szCs w:val="20"/>
                <w:color w:val="auto"/>
              </w:rPr>
            </w:pPr>
            <w:r>
              <w:rPr>
                <w:rFonts w:ascii="Arial" w:cs="Arial" w:eastAsia="Arial" w:hAnsi="Arial"/>
                <w:sz w:val="19"/>
                <w:szCs w:val="19"/>
                <w:b w:val="1"/>
                <w:bCs w:val="1"/>
                <w:color w:val="auto"/>
              </w:rPr>
              <w:t>Death</w:t>
            </w:r>
          </w:p>
        </w:tc>
        <w:tc>
          <w:tcPr>
            <w:tcW w:w="81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9"/>
                <w:szCs w:val="19"/>
                <w:color w:val="auto"/>
              </w:rPr>
              <w:t>•  Any award held by the participant that has not vested as of the date of the death of such</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400"/>
              <w:spacing w:after="0" w:line="210" w:lineRule="exact"/>
              <w:rPr>
                <w:sz w:val="20"/>
                <w:szCs w:val="20"/>
                <w:color w:val="auto"/>
              </w:rPr>
            </w:pPr>
            <w:r>
              <w:rPr>
                <w:rFonts w:ascii="Arial" w:cs="Arial" w:eastAsia="Arial" w:hAnsi="Arial"/>
                <w:sz w:val="19"/>
                <w:szCs w:val="19"/>
                <w:color w:val="auto"/>
              </w:rPr>
              <w:t>participant shall vest on such date and may be exercised, settled or surrendered to the</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400"/>
              <w:spacing w:after="0" w:line="210" w:lineRule="exact"/>
              <w:rPr>
                <w:sz w:val="20"/>
                <w:szCs w:val="20"/>
                <w:color w:val="auto"/>
              </w:rPr>
            </w:pPr>
            <w:r>
              <w:rPr>
                <w:rFonts w:ascii="Arial" w:cs="Arial" w:eastAsia="Arial" w:hAnsi="Arial"/>
                <w:sz w:val="19"/>
                <w:szCs w:val="19"/>
                <w:color w:val="auto"/>
              </w:rPr>
              <w:t>Company by the participant’s legal representative at any time during the period that</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400"/>
              <w:spacing w:after="0" w:line="210" w:lineRule="exact"/>
              <w:rPr>
                <w:sz w:val="20"/>
                <w:szCs w:val="20"/>
                <w:color w:val="auto"/>
              </w:rPr>
            </w:pPr>
            <w:r>
              <w:rPr>
                <w:rFonts w:ascii="Arial" w:cs="Arial" w:eastAsia="Arial" w:hAnsi="Arial"/>
                <w:sz w:val="19"/>
                <w:szCs w:val="19"/>
                <w:color w:val="auto"/>
              </w:rPr>
              <w:t>terminates on the earlier of: (a) the expiry date of such award; and (b) the first anniversary</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400"/>
              <w:spacing w:after="0" w:line="210" w:lineRule="exact"/>
              <w:rPr>
                <w:sz w:val="20"/>
                <w:szCs w:val="20"/>
                <w:color w:val="auto"/>
              </w:rPr>
            </w:pPr>
            <w:r>
              <w:rPr>
                <w:rFonts w:ascii="Arial" w:cs="Arial" w:eastAsia="Arial" w:hAnsi="Arial"/>
                <w:sz w:val="19"/>
                <w:szCs w:val="19"/>
                <w:color w:val="auto"/>
              </w:rPr>
              <w:t>of the date of the death of such participant, with any award that has not been exercised,</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400"/>
              <w:spacing w:after="0" w:line="210" w:lineRule="exact"/>
              <w:rPr>
                <w:sz w:val="20"/>
                <w:szCs w:val="20"/>
                <w:color w:val="auto"/>
              </w:rPr>
            </w:pPr>
            <w:r>
              <w:rPr>
                <w:rFonts w:ascii="Arial" w:cs="Arial" w:eastAsia="Arial" w:hAnsi="Arial"/>
                <w:sz w:val="19"/>
                <w:szCs w:val="19"/>
                <w:color w:val="auto"/>
              </w:rPr>
              <w:t>settled or surrendered at the end of such period being immediately forfeited and</w:t>
            </w:r>
          </w:p>
        </w:tc>
        <w:tc>
          <w:tcPr>
            <w:tcW w:w="0" w:type="dxa"/>
            <w:vAlign w:val="bottom"/>
          </w:tcPr>
          <w:p>
            <w:pPr>
              <w:spacing w:after="0"/>
              <w:rPr>
                <w:sz w:val="1"/>
                <w:szCs w:val="1"/>
                <w:color w:val="auto"/>
              </w:rPr>
            </w:pPr>
          </w:p>
        </w:tc>
      </w:tr>
      <w:tr>
        <w:trPr>
          <w:trHeight w:val="254"/>
        </w:trPr>
        <w:tc>
          <w:tcPr>
            <w:tcW w:w="2580" w:type="dxa"/>
            <w:vAlign w:val="bottom"/>
            <w:tcBorders>
              <w:left w:val="single" w:sz="8" w:color="auto"/>
              <w:right w:val="single" w:sz="8" w:color="auto"/>
            </w:tcBorders>
          </w:tcPr>
          <w:p>
            <w:pPr>
              <w:spacing w:after="0"/>
              <w:rPr>
                <w:sz w:val="22"/>
                <w:szCs w:val="22"/>
                <w:color w:val="auto"/>
              </w:rPr>
            </w:pPr>
          </w:p>
        </w:tc>
        <w:tc>
          <w:tcPr>
            <w:tcW w:w="8120" w:type="dxa"/>
            <w:vAlign w:val="bottom"/>
            <w:tcBorders>
              <w:right w:val="single" w:sz="8" w:color="auto"/>
            </w:tcBorders>
          </w:tcPr>
          <w:p>
            <w:pPr>
              <w:ind w:left="400"/>
              <w:spacing w:after="0"/>
              <w:rPr>
                <w:sz w:val="20"/>
                <w:szCs w:val="20"/>
                <w:color w:val="auto"/>
              </w:rPr>
            </w:pPr>
            <w:r>
              <w:rPr>
                <w:rFonts w:ascii="Arial" w:cs="Arial" w:eastAsia="Arial" w:hAnsi="Arial"/>
                <w:sz w:val="19"/>
                <w:szCs w:val="19"/>
                <w:color w:val="auto"/>
              </w:rPr>
              <w:t>cancelled.</w:t>
            </w:r>
          </w:p>
        </w:tc>
        <w:tc>
          <w:tcPr>
            <w:tcW w:w="0" w:type="dxa"/>
            <w:vAlign w:val="bottom"/>
          </w:tcPr>
          <w:p>
            <w:pPr>
              <w:spacing w:after="0"/>
              <w:rPr>
                <w:sz w:val="1"/>
                <w:szCs w:val="1"/>
                <w:color w:val="auto"/>
              </w:rPr>
            </w:pPr>
          </w:p>
        </w:tc>
      </w:tr>
      <w:tr>
        <w:trPr>
          <w:trHeight w:val="30"/>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580" w:type="dxa"/>
            <w:vAlign w:val="bottom"/>
            <w:tcBorders>
              <w:left w:val="single" w:sz="8" w:color="auto"/>
              <w:right w:val="single" w:sz="8" w:color="auto"/>
            </w:tcBorders>
          </w:tcPr>
          <w:p>
            <w:pPr>
              <w:ind w:left="160"/>
              <w:spacing w:after="0" w:line="182" w:lineRule="exact"/>
              <w:rPr>
                <w:sz w:val="20"/>
                <w:szCs w:val="20"/>
                <w:color w:val="auto"/>
              </w:rPr>
            </w:pPr>
            <w:r>
              <w:rPr>
                <w:rFonts w:ascii="Arial" w:cs="Arial" w:eastAsia="Arial" w:hAnsi="Arial"/>
                <w:sz w:val="19"/>
                <w:szCs w:val="19"/>
                <w:b w:val="1"/>
                <w:bCs w:val="1"/>
                <w:color w:val="auto"/>
              </w:rPr>
              <w:t>Disability</w:t>
            </w:r>
          </w:p>
        </w:tc>
        <w:tc>
          <w:tcPr>
            <w:tcW w:w="8120" w:type="dxa"/>
            <w:vAlign w:val="bottom"/>
            <w:tcBorders>
              <w:right w:val="single" w:sz="8" w:color="auto"/>
            </w:tcBorders>
          </w:tcPr>
          <w:p>
            <w:pPr>
              <w:ind w:left="100"/>
              <w:spacing w:after="0" w:line="182" w:lineRule="exact"/>
              <w:rPr>
                <w:sz w:val="20"/>
                <w:szCs w:val="20"/>
                <w:color w:val="auto"/>
              </w:rPr>
            </w:pPr>
            <w:r>
              <w:rPr>
                <w:rFonts w:ascii="Arial" w:cs="Arial" w:eastAsia="Arial" w:hAnsi="Arial"/>
                <w:sz w:val="19"/>
                <w:szCs w:val="19"/>
                <w:color w:val="auto"/>
              </w:rPr>
              <w:t>•  Any award held by the participant that has not vested as of the date of the Disability (as</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400"/>
              <w:spacing w:after="0" w:line="210" w:lineRule="exact"/>
              <w:rPr>
                <w:sz w:val="20"/>
                <w:szCs w:val="20"/>
                <w:color w:val="auto"/>
              </w:rPr>
            </w:pPr>
            <w:r>
              <w:rPr>
                <w:rFonts w:ascii="Arial" w:cs="Arial" w:eastAsia="Arial" w:hAnsi="Arial"/>
                <w:sz w:val="19"/>
                <w:szCs w:val="19"/>
                <w:color w:val="auto"/>
              </w:rPr>
              <w:t>defined in the Omnibus Incentive Plan) of such participant shall vest on such date and</w:t>
            </w:r>
          </w:p>
        </w:tc>
        <w:tc>
          <w:tcPr>
            <w:tcW w:w="0" w:type="dxa"/>
            <w:vAlign w:val="bottom"/>
          </w:tcPr>
          <w:p>
            <w:pPr>
              <w:spacing w:after="0"/>
              <w:rPr>
                <w:sz w:val="1"/>
                <w:szCs w:val="1"/>
                <w:color w:val="auto"/>
              </w:rPr>
            </w:pPr>
          </w:p>
        </w:tc>
      </w:tr>
      <w:tr>
        <w:trPr>
          <w:trHeight w:val="210"/>
        </w:trPr>
        <w:tc>
          <w:tcPr>
            <w:tcW w:w="2580" w:type="dxa"/>
            <w:vAlign w:val="bottom"/>
            <w:tcBorders>
              <w:left w:val="single" w:sz="8" w:color="auto"/>
              <w:right w:val="single" w:sz="8" w:color="auto"/>
            </w:tcBorders>
          </w:tcPr>
          <w:p>
            <w:pPr>
              <w:spacing w:after="0"/>
              <w:rPr>
                <w:sz w:val="18"/>
                <w:szCs w:val="18"/>
                <w:color w:val="auto"/>
              </w:rPr>
            </w:pPr>
          </w:p>
        </w:tc>
        <w:tc>
          <w:tcPr>
            <w:tcW w:w="8120" w:type="dxa"/>
            <w:vAlign w:val="bottom"/>
            <w:tcBorders>
              <w:right w:val="single" w:sz="8" w:color="auto"/>
            </w:tcBorders>
          </w:tcPr>
          <w:p>
            <w:pPr>
              <w:ind w:left="400"/>
              <w:spacing w:after="0" w:line="210" w:lineRule="exact"/>
              <w:rPr>
                <w:sz w:val="20"/>
                <w:szCs w:val="20"/>
                <w:color w:val="auto"/>
              </w:rPr>
            </w:pPr>
            <w:r>
              <w:rPr>
                <w:rFonts w:ascii="Arial" w:cs="Arial" w:eastAsia="Arial" w:hAnsi="Arial"/>
                <w:sz w:val="19"/>
                <w:szCs w:val="19"/>
                <w:color w:val="auto"/>
              </w:rPr>
              <w:t>may be exercised or surrendered to the Company by the participant at any time until the</w:t>
            </w:r>
          </w:p>
        </w:tc>
        <w:tc>
          <w:tcPr>
            <w:tcW w:w="0" w:type="dxa"/>
            <w:vAlign w:val="bottom"/>
          </w:tcPr>
          <w:p>
            <w:pPr>
              <w:spacing w:after="0"/>
              <w:rPr>
                <w:sz w:val="1"/>
                <w:szCs w:val="1"/>
                <w:color w:val="auto"/>
              </w:rPr>
            </w:pPr>
          </w:p>
        </w:tc>
      </w:tr>
      <w:tr>
        <w:trPr>
          <w:trHeight w:val="254"/>
        </w:trPr>
        <w:tc>
          <w:tcPr>
            <w:tcW w:w="2580" w:type="dxa"/>
            <w:vAlign w:val="bottom"/>
            <w:tcBorders>
              <w:left w:val="single" w:sz="8" w:color="auto"/>
              <w:right w:val="single" w:sz="8" w:color="auto"/>
            </w:tcBorders>
          </w:tcPr>
          <w:p>
            <w:pPr>
              <w:spacing w:after="0"/>
              <w:rPr>
                <w:sz w:val="22"/>
                <w:szCs w:val="22"/>
                <w:color w:val="auto"/>
              </w:rPr>
            </w:pPr>
          </w:p>
        </w:tc>
        <w:tc>
          <w:tcPr>
            <w:tcW w:w="8120" w:type="dxa"/>
            <w:vAlign w:val="bottom"/>
            <w:tcBorders>
              <w:right w:val="single" w:sz="8" w:color="auto"/>
            </w:tcBorders>
          </w:tcPr>
          <w:p>
            <w:pPr>
              <w:ind w:left="400"/>
              <w:spacing w:after="0"/>
              <w:rPr>
                <w:sz w:val="20"/>
                <w:szCs w:val="20"/>
                <w:color w:val="auto"/>
              </w:rPr>
            </w:pPr>
            <w:r>
              <w:rPr>
                <w:rFonts w:ascii="Arial" w:cs="Arial" w:eastAsia="Arial" w:hAnsi="Arial"/>
                <w:sz w:val="19"/>
                <w:szCs w:val="19"/>
                <w:color w:val="auto"/>
              </w:rPr>
              <w:t>expiry date of such award.</w:t>
            </w:r>
          </w:p>
        </w:tc>
        <w:tc>
          <w:tcPr>
            <w:tcW w:w="0" w:type="dxa"/>
            <w:vAlign w:val="bottom"/>
          </w:tcPr>
          <w:p>
            <w:pPr>
              <w:spacing w:after="0"/>
              <w:rPr>
                <w:sz w:val="1"/>
                <w:szCs w:val="1"/>
                <w:color w:val="auto"/>
              </w:rPr>
            </w:pPr>
          </w:p>
        </w:tc>
      </w:tr>
      <w:tr>
        <w:trPr>
          <w:trHeight w:val="30"/>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107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tc>
        <w:tc>
          <w:tcPr>
            <w:tcW w:w="0" w:type="dxa"/>
            <w:vAlign w:val="bottom"/>
          </w:tcPr>
          <w:p>
            <w:pPr>
              <w:spacing w:after="0"/>
              <w:rPr>
                <w:sz w:val="1"/>
                <w:szCs w:val="1"/>
                <w:color w:val="auto"/>
              </w:rPr>
            </w:pPr>
          </w:p>
        </w:tc>
      </w:tr>
      <w:tr>
        <w:trPr>
          <w:trHeight w:val="184"/>
        </w:trPr>
        <w:tc>
          <w:tcPr>
            <w:tcW w:w="2580" w:type="dxa"/>
            <w:vAlign w:val="bottom"/>
          </w:tcPr>
          <w:p>
            <w:pPr>
              <w:spacing w:after="0"/>
              <w:rPr>
                <w:sz w:val="16"/>
                <w:szCs w:val="16"/>
                <w:color w:val="auto"/>
              </w:rPr>
            </w:pPr>
          </w:p>
        </w:tc>
        <w:tc>
          <w:tcPr>
            <w:tcW w:w="8120" w:type="dxa"/>
            <w:vAlign w:val="bottom"/>
          </w:tcPr>
          <w:p>
            <w:pPr>
              <w:ind w:left="7960"/>
              <w:spacing w:after="0"/>
              <w:rPr>
                <w:sz w:val="20"/>
                <w:szCs w:val="20"/>
                <w:color w:val="auto"/>
              </w:rPr>
            </w:pPr>
            <w:r>
              <w:rPr>
                <w:rFonts w:ascii="Arial" w:cs="Arial" w:eastAsia="Arial" w:hAnsi="Arial"/>
                <w:sz w:val="14"/>
                <w:szCs w:val="14"/>
                <w:color w:val="auto"/>
                <w:w w:val="76"/>
              </w:rPr>
              <w:t>94</w:t>
            </w:r>
          </w:p>
        </w:tc>
        <w:tc>
          <w:tcPr>
            <w:tcW w:w="0" w:type="dxa"/>
            <w:vAlign w:val="bottom"/>
          </w:tcPr>
          <w:p>
            <w:pPr>
              <w:spacing w:after="0"/>
              <w:rPr>
                <w:sz w:val="1"/>
                <w:szCs w:val="1"/>
                <w:color w:val="auto"/>
              </w:rPr>
            </w:pPr>
          </w:p>
        </w:tc>
      </w:tr>
    </w:tbl>
    <w:p>
      <w:pPr>
        <w:sectPr>
          <w:pgSz w:w="11900" w:h="16838" w:orient="portrait"/>
          <w:cols w:equalWidth="0" w:num="1">
            <w:col w:w="10700"/>
          </w:cols>
          <w:pgMar w:left="600" w:top="259" w:right="599" w:bottom="1440" w:gutter="0" w:footer="0" w:header="0"/>
        </w:sectPr>
      </w:pPr>
    </w:p>
    <w:bookmarkStart w:id="103" w:name="page104"/>
    <w:bookmarkEnd w:id="103"/>
    <w:p>
      <w:pPr>
        <w:spacing w:after="0"/>
        <w:rPr>
          <w:sz w:val="20"/>
          <w:szCs w:val="20"/>
          <w:color w:val="auto"/>
        </w:rPr>
      </w:pPr>
      <w:r>
        <w:rPr>
          <w:rFonts w:ascii="Arial" w:cs="Arial" w:eastAsia="Arial" w:hAnsi="Arial"/>
          <w:sz w:val="21"/>
          <w:szCs w:val="21"/>
          <w:b w:val="1"/>
          <w:bCs w:val="1"/>
          <w:i w:val="1"/>
          <w:iCs w:val="1"/>
          <w:color w:val="2E9947"/>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Change in Control</w:t>
      </w: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Under the Omnibus Incentive Plan, except as may be set forth in an employment agreement, award agreement or other written agreement between the Company or a subsidiary of the Company and a participant:</w:t>
      </w:r>
    </w:p>
    <w:p>
      <w:pPr>
        <w:spacing w:after="0" w:line="167" w:lineRule="exact"/>
        <w:rPr>
          <w:sz w:val="20"/>
          <w:szCs w:val="20"/>
          <w:color w:val="auto"/>
        </w:rPr>
      </w:pPr>
    </w:p>
    <w:p>
      <w:pPr>
        <w:jc w:val="both"/>
        <w:ind w:left="1040" w:hanging="516"/>
        <w:spacing w:after="0" w:line="249" w:lineRule="auto"/>
        <w:tabs>
          <w:tab w:leader="none" w:pos="10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within 12 months following the completion of a transaction resulting in a Change in Control (as defined below), a participant’s employment is terminated without Cause (as defined in the Omnibus Incentive Plan), without any action by the Plan Administrator:</w:t>
      </w:r>
    </w:p>
    <w:p>
      <w:pPr>
        <w:spacing w:after="0" w:line="184" w:lineRule="exact"/>
        <w:rPr>
          <w:rFonts w:ascii="Arial" w:cs="Arial" w:eastAsia="Arial" w:hAnsi="Arial"/>
          <w:sz w:val="19"/>
          <w:szCs w:val="19"/>
          <w:color w:val="auto"/>
        </w:rPr>
      </w:pPr>
    </w:p>
    <w:p>
      <w:pPr>
        <w:ind w:left="1480" w:hanging="419"/>
        <w:spacing w:after="0" w:line="268" w:lineRule="auto"/>
        <w:tabs>
          <w:tab w:leader="none" w:pos="14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any unvested awards held by the participant that have not been exercised, settled or surrendered as of the Termination Date shall immediately vest; and</w:t>
      </w:r>
    </w:p>
    <w:p>
      <w:pPr>
        <w:spacing w:after="0" w:line="166" w:lineRule="exact"/>
        <w:rPr>
          <w:rFonts w:ascii="Arial" w:cs="Arial" w:eastAsia="Arial" w:hAnsi="Arial"/>
          <w:sz w:val="19"/>
          <w:szCs w:val="19"/>
          <w:color w:val="auto"/>
        </w:rPr>
      </w:pPr>
    </w:p>
    <w:p>
      <w:pPr>
        <w:jc w:val="both"/>
        <w:ind w:left="1480" w:hanging="419"/>
        <w:spacing w:after="0" w:line="243" w:lineRule="auto"/>
        <w:tabs>
          <w:tab w:leader="none" w:pos="14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any vested awards may be exercised, settled or surrendered to the Company by the participant at any time during the period that terminates on the earlier of: (A) the expiry date of such award; and (B) the date that is 90 days after the Termination Date, with any award that has not been exercised, settled or surrendered at the end of such period being immediately forfeited and cancelled.</w:t>
      </w:r>
    </w:p>
    <w:p>
      <w:pPr>
        <w:spacing w:after="0" w:line="189" w:lineRule="exact"/>
        <w:rPr>
          <w:rFonts w:ascii="Arial" w:cs="Arial" w:eastAsia="Arial" w:hAnsi="Arial"/>
          <w:sz w:val="19"/>
          <w:szCs w:val="19"/>
          <w:color w:val="auto"/>
        </w:rPr>
      </w:pPr>
    </w:p>
    <w:p>
      <w:pPr>
        <w:jc w:val="both"/>
        <w:ind w:left="1040" w:hanging="516"/>
        <w:spacing w:after="0"/>
        <w:tabs>
          <w:tab w:leader="none" w:pos="10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Unless otherwise determined by the Plan Administrator, if, as a result of a Change in Control, the Shares will cease trading on Nasdaq, the TSX and any other exchange on which the Shares are or may be listed from time to time (the “</w:t>
      </w:r>
      <w:r>
        <w:rPr>
          <w:rFonts w:ascii="Arial" w:cs="Arial" w:eastAsia="Arial" w:hAnsi="Arial"/>
          <w:sz w:val="19"/>
          <w:szCs w:val="19"/>
          <w:b w:val="1"/>
          <w:bCs w:val="1"/>
          <w:color w:val="auto"/>
        </w:rPr>
        <w:t>Exchanges</w:t>
      </w:r>
      <w:r>
        <w:rPr>
          <w:rFonts w:ascii="Arial" w:cs="Arial" w:eastAsia="Arial" w:hAnsi="Arial"/>
          <w:sz w:val="19"/>
          <w:szCs w:val="19"/>
          <w:color w:val="auto"/>
        </w:rPr>
        <w:t>”), the Company may terminate all of the awards, other than an option held by a participant that is a resident of Canada for the purposes of the Tax Act, granted under the Omnibus Incentive Plan at the time of, and subject to the completion of, the Change in Control transaction by paying to each holder an amount equal to the fair market value of their respective award (as determined by the Plan Administrator, acting reasonably) at or within a reasonable period of time following completion of such Change in Control transaction.</w:t>
      </w:r>
    </w:p>
    <w:p>
      <w:pPr>
        <w:spacing w:after="0" w:line="355"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Subject to certain exceptions, a “</w:t>
      </w:r>
      <w:r>
        <w:rPr>
          <w:rFonts w:ascii="Arial" w:cs="Arial" w:eastAsia="Arial" w:hAnsi="Arial"/>
          <w:sz w:val="19"/>
          <w:szCs w:val="19"/>
          <w:b w:val="1"/>
          <w:bCs w:val="1"/>
          <w:color w:val="auto"/>
        </w:rPr>
        <w:t>Change in Control</w:t>
      </w:r>
      <w:r>
        <w:rPr>
          <w:rFonts w:ascii="Arial" w:cs="Arial" w:eastAsia="Arial" w:hAnsi="Arial"/>
          <w:sz w:val="19"/>
          <w:szCs w:val="19"/>
          <w:color w:val="auto"/>
        </w:rPr>
        <w:t>” includes (a) any transaction pursuant to which a person or group acquires more than 50% of the outstanding Shares, (b) the sale of all or substantially all of the Company’s assets, (c) the dissolution or liquidation of the Company, (d) the acquisition of the Company via consolidation, merger, exchange of securities, purchase of assets, amalgamation, statutory arrangement or otherwise, or (e) individuals who comprise the Board at the last annual meeting of shareholders (the “</w:t>
      </w:r>
      <w:r>
        <w:rPr>
          <w:rFonts w:ascii="Arial" w:cs="Arial" w:eastAsia="Arial" w:hAnsi="Arial"/>
          <w:sz w:val="19"/>
          <w:szCs w:val="19"/>
          <w:b w:val="1"/>
          <w:bCs w:val="1"/>
          <w:color w:val="auto"/>
        </w:rPr>
        <w:t>Incumbent Board</w:t>
      </w:r>
      <w:r>
        <w:rPr>
          <w:rFonts w:ascii="Arial" w:cs="Arial" w:eastAsia="Arial" w:hAnsi="Arial"/>
          <w:sz w:val="19"/>
          <w:szCs w:val="19"/>
          <w:color w:val="auto"/>
        </w:rPr>
        <w:t>”) cease to constitute at least a majority of the Board, unless the election, or nomination for election by the shareholders, of any new director was approved by a vote of at least a majority of the Incumbent Board, in which case such new director shall be considered as a member of the Incumbent Board.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Non-Transferability of Awards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Unless otherwise provided by the Plan Administrator, and except to the extent that certain rights may pass to a beneficiary or legal representative upon the death of a participant by will or as required by law, no assignment or transfer of awards granted under the Omnibus Incentive Plan, whether voluntary, involuntary, by operation of law or otherwise, shall be permitted.</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0680"/>
          </w:cols>
          <w:pgMar w:left="600" w:top="259" w:right="619" w:bottom="1440" w:gutter="0" w:footer="0" w:header="0"/>
        </w:sectPr>
      </w:pPr>
    </w:p>
    <w:bookmarkStart w:id="104" w:name="page105"/>
    <w:bookmarkEnd w:id="104"/>
    <w:p>
      <w:pPr>
        <w:spacing w:after="0"/>
        <w:rPr>
          <w:sz w:val="20"/>
          <w:szCs w:val="20"/>
          <w:color w:val="auto"/>
        </w:rPr>
      </w:pPr>
      <w:r>
        <w:rPr>
          <w:rFonts w:ascii="Arial" w:cs="Arial" w:eastAsia="Arial" w:hAnsi="Arial"/>
          <w:sz w:val="21"/>
          <w:szCs w:val="21"/>
          <w:b w:val="1"/>
          <w:bCs w:val="1"/>
          <w:i w:val="1"/>
          <w:iCs w:val="1"/>
          <w:color w:val="2E9947"/>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Amendments to the Omnibus Incentive Plan</w:t>
      </w: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 xml:space="preserve">The Plan Administrator may from time to time, without notice and without approval of the holders of voting shares, amend, modify, change, suspend or terminate the Omnibus Incentive Plan or any awards granted pursuant thereto as it, in its discretion, determines appropriate, provided that (a) no such amendment, modification, change, suspension or termination of the Omnibus Incentive Plan or any award granted pursuant thereto may materially impair any rights of a participant or materially increase any obligations of a participant under the Omnibus Incentive Plan without the consent of such participant, unless the Plan Administrator determines such adjustment is required or desirable in order to comply with any applicable securities laws or stock exchange requirements, and (b) any amendment that would cause an award held by a U.S. Taxpayer (as such term is defined in the Omnibus Incentive Plan) to be subject to the additional tax penalty under Section 409A(1)(b)(i) (II) of the Code, as amended, shall be null and void </w:t>
      </w:r>
      <w:r>
        <w:rPr>
          <w:rFonts w:ascii="Arial" w:cs="Arial" w:eastAsia="Arial" w:hAnsi="Arial"/>
          <w:sz w:val="19"/>
          <w:szCs w:val="19"/>
          <w:i w:val="1"/>
          <w:iCs w:val="1"/>
          <w:color w:val="auto"/>
        </w:rPr>
        <w:t>ab initio</w:t>
      </w:r>
      <w:r>
        <w:rPr>
          <w:rFonts w:ascii="Arial" w:cs="Arial" w:eastAsia="Arial" w:hAnsi="Arial"/>
          <w:sz w:val="19"/>
          <w:szCs w:val="19"/>
          <w:color w:val="auto"/>
        </w:rPr>
        <w:t>.</w:t>
      </w:r>
    </w:p>
    <w:p>
      <w:pPr>
        <w:spacing w:after="0" w:line="17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Notwithstanding the above, and subject to the rules of the Exchanges (which may require approval of disinterested shareholders), the approval of shareholders is required to effect any of the following amendments to the Omnibus Incentive Plan:</w:t>
      </w:r>
    </w:p>
    <w:p>
      <w:pPr>
        <w:spacing w:after="0" w:line="184" w:lineRule="exact"/>
        <w:rPr>
          <w:sz w:val="20"/>
          <w:szCs w:val="20"/>
          <w:color w:val="auto"/>
        </w:rPr>
      </w:pPr>
    </w:p>
    <w:p>
      <w:pPr>
        <w:jc w:val="both"/>
        <w:ind w:left="1040" w:hanging="516"/>
        <w:spacing w:after="0" w:line="249" w:lineRule="auto"/>
        <w:tabs>
          <w:tab w:leader="none" w:pos="10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increasing the number of Shares reserved for issuance under the Omnibus Incentive Plan, except pursuant to the provisions in the Omnibus Incentive Plan which permit the Plan Administrator to make equitable adjustments in the event of transactions affecting the Company or its capital;</w:t>
      </w:r>
    </w:p>
    <w:p>
      <w:pPr>
        <w:spacing w:after="0" w:line="184" w:lineRule="exact"/>
        <w:rPr>
          <w:rFonts w:ascii="Arial" w:cs="Arial" w:eastAsia="Arial" w:hAnsi="Arial"/>
          <w:sz w:val="19"/>
          <w:szCs w:val="19"/>
          <w:color w:val="auto"/>
        </w:rPr>
      </w:pPr>
    </w:p>
    <w:p>
      <w:pPr>
        <w:ind w:left="1040" w:hanging="516"/>
        <w:spacing w:after="0"/>
        <w:tabs>
          <w:tab w:leader="none" w:pos="10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increasing or removing the 5% limits on Shares issuable or issued to insiders;</w:t>
      </w:r>
    </w:p>
    <w:p>
      <w:pPr>
        <w:spacing w:after="0" w:line="226" w:lineRule="exact"/>
        <w:rPr>
          <w:rFonts w:ascii="Arial" w:cs="Arial" w:eastAsia="Arial" w:hAnsi="Arial"/>
          <w:sz w:val="19"/>
          <w:szCs w:val="19"/>
          <w:color w:val="auto"/>
        </w:rPr>
      </w:pPr>
    </w:p>
    <w:p>
      <w:pPr>
        <w:jc w:val="both"/>
        <w:ind w:left="1040" w:hanging="516"/>
        <w:spacing w:after="0" w:line="239" w:lineRule="auto"/>
        <w:tabs>
          <w:tab w:leader="none" w:pos="10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reducing the exercise price of an option award (for this purpose, a cancellation or termination of an award of a participant prior to its expiry date for the purpose of reissuing an award to the same participant with a lower exercise price shall be treated as an amendment to reduce the exercise price of an award) except pursuant to the provisions in the Omnibus Incentive Plan which permit the Plan Administrator to make equitable adjustments in the event of transactions affecting the Company or its capital;</w:t>
      </w:r>
    </w:p>
    <w:p>
      <w:pPr>
        <w:spacing w:after="0" w:line="195" w:lineRule="exact"/>
        <w:rPr>
          <w:rFonts w:ascii="Arial" w:cs="Arial" w:eastAsia="Arial" w:hAnsi="Arial"/>
          <w:sz w:val="19"/>
          <w:szCs w:val="19"/>
          <w:color w:val="auto"/>
        </w:rPr>
      </w:pPr>
    </w:p>
    <w:p>
      <w:pPr>
        <w:jc w:val="both"/>
        <w:ind w:left="1040" w:hanging="516"/>
        <w:spacing w:after="0" w:line="249" w:lineRule="auto"/>
        <w:tabs>
          <w:tab w:leader="none" w:pos="10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extending the term of an option award beyond the original expiry date (except where an expiry date would have fallen within a blackout period applicable to the participant or within five business days following the expiry of such a blackout period);</w:t>
      </w:r>
    </w:p>
    <w:p>
      <w:pPr>
        <w:spacing w:after="0" w:line="184" w:lineRule="exact"/>
        <w:rPr>
          <w:rFonts w:ascii="Arial" w:cs="Arial" w:eastAsia="Arial" w:hAnsi="Arial"/>
          <w:sz w:val="19"/>
          <w:szCs w:val="19"/>
          <w:color w:val="auto"/>
        </w:rPr>
      </w:pPr>
    </w:p>
    <w:p>
      <w:pPr>
        <w:ind w:left="1040" w:hanging="516"/>
        <w:spacing w:after="0" w:line="268" w:lineRule="auto"/>
        <w:tabs>
          <w:tab w:leader="none" w:pos="10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permitting an option award to be exercisable beyond 10 years from its date of grant (except where an expiry date would have fallen within a blackout period);</w:t>
      </w:r>
    </w:p>
    <w:p>
      <w:pPr>
        <w:spacing w:after="0" w:line="166" w:lineRule="exact"/>
        <w:rPr>
          <w:rFonts w:ascii="Arial" w:cs="Arial" w:eastAsia="Arial" w:hAnsi="Arial"/>
          <w:sz w:val="19"/>
          <w:szCs w:val="19"/>
          <w:color w:val="auto"/>
        </w:rPr>
      </w:pPr>
    </w:p>
    <w:p>
      <w:pPr>
        <w:ind w:left="1040" w:hanging="516"/>
        <w:spacing w:after="0"/>
        <w:tabs>
          <w:tab w:leader="none" w:pos="10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increasing or removing the limits on the participation of non-employee directors;</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permitting awards to be transferred to a person;</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changing the eligible participants; and</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deleting or otherwise limiting the amendments which require approval of the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0680"/>
          </w:cols>
          <w:pgMar w:left="600" w:top="259" w:right="619" w:bottom="1440" w:gutter="0" w:footer="0" w:header="0"/>
        </w:sectPr>
      </w:pPr>
    </w:p>
    <w:bookmarkStart w:id="105" w:name="page106"/>
    <w:bookmarkEnd w:id="105"/>
    <w:p>
      <w:pPr>
        <w:jc w:val="both"/>
        <w:spacing w:after="0" w:line="23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Except for the items listed above, amendments to the Omnibus Incentive Plan will not require shareholder approval. Such amendments include (but are not limited to): (a) amending the general vesting provisions of an award, (b) amending the provisions for early termination of awards in connection with a termination of employment or service, (c) adding covenants of the Company for the protection of the participants, (d) amendments that are desirable as a result of changes in law in any jurisdiction where a participant resides, and (e) curing or correcting any ambiguity or defect or inconsistent provision or clerical omission or mistake or manifest error.</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2E9947"/>
        </w:rPr>
        <w:t>Anti-Hedging Policy</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Participants are restricted from purchasing financial instruments such as prepaid variable forward contracts, equity swaps, collars, or units of exchange funds that are designed to hedge or offset a decrease in market value of awards granted to them.</w:t>
      </w:r>
    </w:p>
    <w:p>
      <w:pPr>
        <w:spacing w:after="0" w:line="378" w:lineRule="exact"/>
        <w:rPr>
          <w:sz w:val="20"/>
          <w:szCs w:val="20"/>
          <w:color w:val="auto"/>
        </w:rPr>
      </w:pPr>
    </w:p>
    <w:p>
      <w:pPr>
        <w:spacing w:after="0"/>
        <w:rPr>
          <w:sz w:val="20"/>
          <w:szCs w:val="20"/>
          <w:color w:val="auto"/>
        </w:rPr>
      </w:pPr>
      <w:r>
        <w:rPr>
          <w:rFonts w:ascii="Arial" w:cs="Arial" w:eastAsia="Arial" w:hAnsi="Arial"/>
          <w:sz w:val="24"/>
          <w:szCs w:val="24"/>
          <w:b w:val="1"/>
          <w:bCs w:val="1"/>
          <w:color w:val="809AA2"/>
        </w:rPr>
        <w:t>Legacy Incentive Plan</w:t>
      </w:r>
    </w:p>
    <w:p>
      <w:pPr>
        <w:spacing w:after="0" w:line="22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Legacy Incentive Plan was administered by the board of directors of Algoma Steel Holdings Inc. Pursuant to the Legacy Incentive Plan, LTIP Awards (including director units, incentive restricted share units or incentive performance share units) were granted to employees and directors of Algoma Steel Holdings Inc. and its affiliates.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As discussed above, in connection with the Merger, each outstanding LTIP Award that had vested was exchanged for a Replacement LTIP Award, subject to certain conditions. In connection with the Merger, 3,232,628 LTIP Awards were exchanged for Replacement LTIP Awards. No additional LTIP Awards will be granted under the Legacy Incentive Plan, which was discontinued following the Merger.</w:t>
      </w:r>
    </w:p>
    <w:p>
      <w:pPr>
        <w:spacing w:after="0" w:line="156" w:lineRule="exact"/>
        <w:rPr>
          <w:sz w:val="20"/>
          <w:szCs w:val="20"/>
          <w:color w:val="auto"/>
        </w:rPr>
      </w:pPr>
    </w:p>
    <w:p>
      <w:pPr>
        <w:spacing w:after="0"/>
        <w:rPr>
          <w:sz w:val="20"/>
          <w:szCs w:val="20"/>
          <w:color w:val="auto"/>
        </w:rPr>
      </w:pPr>
      <w:r>
        <w:rPr>
          <w:rFonts w:ascii="Arial" w:cs="Arial" w:eastAsia="Arial" w:hAnsi="Arial"/>
          <w:sz w:val="31"/>
          <w:szCs w:val="31"/>
          <w:b w:val="1"/>
          <w:bCs w:val="1"/>
          <w:color w:val="003445"/>
        </w:rPr>
        <w:t>Directors’ and Officers’ Insurance and Indemnification</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Company has in place a US$50 million (in the aggregate) directors’ and officers’ liability insurance policy, which provides insurance coverage of Directors and officers of the Company in certain circumstances in excess of any indemnification provided by Algoma, and has deductibles ranging from nil to US$5 million, depending on the type of claim being made. In addition, the Company has entered into indemnification agreements with each of its Directors and officers for liabilities and costs in respect of any action or suit against them in connection with the execution of their duties, subject to customary limitations prescribed by applicable law.</w:t>
      </w:r>
    </w:p>
    <w:p>
      <w:pPr>
        <w:spacing w:after="0" w:line="160" w:lineRule="exact"/>
        <w:rPr>
          <w:sz w:val="20"/>
          <w:szCs w:val="20"/>
          <w:color w:val="auto"/>
        </w:rPr>
      </w:pPr>
    </w:p>
    <w:p>
      <w:pPr>
        <w:spacing w:after="0"/>
        <w:rPr>
          <w:sz w:val="20"/>
          <w:szCs w:val="20"/>
          <w:color w:val="auto"/>
        </w:rPr>
      </w:pPr>
      <w:r>
        <w:rPr>
          <w:rFonts w:ascii="Arial" w:cs="Arial" w:eastAsia="Arial" w:hAnsi="Arial"/>
          <w:sz w:val="31"/>
          <w:szCs w:val="31"/>
          <w:b w:val="1"/>
          <w:bCs w:val="1"/>
          <w:color w:val="003445"/>
        </w:rPr>
        <w:t>Indebtedness of Directors and Officers</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As of the date hereof, none of the Directors, executive officers, employees, former executive officers or former employees of the Company or any of its subsidiaries, and none of their respective associates, is indebted to the Company or any of its subsidiaries or another entity whose indebtedness is the subject of a guarantee, support agreement, letter of credit or other similar agreement or understanding provided by the Company or any of its subsidiaries.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0680"/>
          </w:cols>
          <w:pgMar w:left="600" w:top="262" w:right="619" w:bottom="1440" w:gutter="0" w:footer="0" w:header="0"/>
        </w:sectPr>
      </w:pPr>
    </w:p>
    <w:bookmarkStart w:id="106" w:name="page107"/>
    <w:bookmarkEnd w:id="106"/>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8675" cy="37465"/>
                    </a:xfrm>
                    <a:prstGeom prst="rect">
                      <a:avLst/>
                    </a:prstGeom>
                    <a:noFill/>
                  </pic:spPr>
                </pic:pic>
              </a:graphicData>
            </a:graphic>
          </wp:anchor>
        </w:drawing>
        <w:t>Interests of Certain Persons or Companies in Matters to be Acted Upon</w:t>
      </w:r>
    </w:p>
    <w:p>
      <w:pPr>
        <w:spacing w:after="0" w:line="227"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To the knowledge of the Directors and executive officers of the Company, other than the election of Directors, none of the Directors or executive officers of the Company who have been a Director or executive officer at any time since the beginning of the Company’s last financial year, none of the proposed nominees for election as Directors of the Company, and no associate or affiliate of any of the foregoing, have any material interest, direct or indirect, by way of beneficial ownership of securities or otherwise, in any matter to be acted upon at the Meeting.</w:t>
      </w:r>
    </w:p>
    <w:p>
      <w:pPr>
        <w:spacing w:after="0" w:line="163" w:lineRule="exact"/>
        <w:rPr>
          <w:sz w:val="20"/>
          <w:szCs w:val="20"/>
          <w:color w:val="auto"/>
        </w:rPr>
      </w:pPr>
    </w:p>
    <w:p>
      <w:pPr>
        <w:spacing w:after="0"/>
        <w:rPr>
          <w:sz w:val="20"/>
          <w:szCs w:val="20"/>
          <w:color w:val="auto"/>
        </w:rPr>
      </w:pPr>
      <w:r>
        <w:rPr>
          <w:rFonts w:ascii="Arial" w:cs="Arial" w:eastAsia="Arial" w:hAnsi="Arial"/>
          <w:sz w:val="31"/>
          <w:szCs w:val="31"/>
          <w:b w:val="1"/>
          <w:bCs w:val="1"/>
          <w:color w:val="003445"/>
        </w:rPr>
        <w:t>Interest of Informed Persons in Material Transactions</w:t>
      </w:r>
    </w:p>
    <w:p>
      <w:pPr>
        <w:spacing w:after="0" w:line="22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Other than as described elsewhere in this Information Circular and in the Annual Information Form under the heading “Interest of Management and Others in Material Transactions”, available on the Company’s profile on SEDAR+ at to the knowledge of the Directors of the Company, no informed person (as defined in NI 51-102) of the Company, no proposed Director of the Company and no known associate or affiliate of any such informed person or proposed Director, during Fiscal 2025, has or has had any material interest, direct or indirect, by way of beneficial ownership of securities or otherwise, in any transaction which has or would materially affect the Company or any of its subsidiaries.</w:t>
      </w:r>
    </w:p>
    <w:p>
      <w:pPr>
        <w:spacing w:after="0" w:line="160" w:lineRule="exact"/>
        <w:rPr>
          <w:sz w:val="20"/>
          <w:szCs w:val="20"/>
          <w:color w:val="auto"/>
        </w:rPr>
      </w:pPr>
    </w:p>
    <w:p>
      <w:pPr>
        <w:spacing w:after="0"/>
        <w:rPr>
          <w:sz w:val="20"/>
          <w:szCs w:val="20"/>
          <w:color w:val="auto"/>
        </w:rPr>
      </w:pPr>
      <w:r>
        <w:rPr>
          <w:rFonts w:ascii="Arial" w:cs="Arial" w:eastAsia="Arial" w:hAnsi="Arial"/>
          <w:sz w:val="31"/>
          <w:szCs w:val="31"/>
          <w:b w:val="1"/>
          <w:bCs w:val="1"/>
          <w:color w:val="003445"/>
        </w:rPr>
        <w:t>Other Business</w:t>
      </w:r>
    </w:p>
    <w:p>
      <w:pPr>
        <w:spacing w:after="0" w:line="22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Directors are not aware of any matters intended to come before the Meeting other than those items of business set forth in the Notice of Meeting accompanying this Information Circular. If any other matters properly come before the Meeting, it is the intention of the persons named in the form of proxy and voting instruction form to vote in respect of those matters in accordance with their judgment.</w:t>
      </w:r>
    </w:p>
    <w:p>
      <w:pPr>
        <w:spacing w:after="0" w:line="156" w:lineRule="exact"/>
        <w:rPr>
          <w:sz w:val="20"/>
          <w:szCs w:val="20"/>
          <w:color w:val="auto"/>
        </w:rPr>
      </w:pPr>
    </w:p>
    <w:p>
      <w:pPr>
        <w:spacing w:after="0"/>
        <w:rPr>
          <w:sz w:val="20"/>
          <w:szCs w:val="20"/>
          <w:color w:val="auto"/>
        </w:rPr>
      </w:pPr>
      <w:r>
        <w:rPr>
          <w:rFonts w:ascii="Arial" w:cs="Arial" w:eastAsia="Arial" w:hAnsi="Arial"/>
          <w:sz w:val="31"/>
          <w:szCs w:val="31"/>
          <w:b w:val="1"/>
          <w:bCs w:val="1"/>
          <w:color w:val="003445"/>
        </w:rPr>
        <w:t>Additional Information</w:t>
      </w:r>
    </w:p>
    <w:p>
      <w:pPr>
        <w:spacing w:after="0" w:line="227"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 xml:space="preserve">Financial information is provided in the Company’s comparative financial statements and the Company’s MD&amp;A for Fiscal 2025. Copies of the Meeting Materials, including the Company’s financial statements for Fiscal 2025, together with the auditors’ report thereon, the MD&amp;A, the Annual Information Form and this Information Circular, are available upon written request to the Company (at Algoma Steel Group Inc., 105 West Street, Sault Ste. Marie, Ontario P6A 7B4, Attention: Chief Legal Officer). The Company may require payment of a reasonable charge if the request is made by a person who is not a Shareholder. These documents and additional information relating to the Company may also be found on the Company’s profile on SEDAR+ at and on the Company’s website at </w:t>
      </w:r>
      <w:r>
        <w:rPr>
          <w:rFonts w:ascii="Arial" w:cs="Arial" w:eastAsia="Arial" w:hAnsi="Arial"/>
          <w:sz w:val="19"/>
          <w:szCs w:val="19"/>
          <w:u w:val="single" w:color="auto"/>
          <w:color w:val="0000FF"/>
        </w:rPr>
        <w:t>www.algoma.com</w:t>
      </w:r>
      <w:r>
        <w:rPr>
          <w:rFonts w:ascii="Arial" w:cs="Arial" w:eastAsia="Arial" w:hAnsi="Arial"/>
          <w:sz w:val="19"/>
          <w:szCs w:val="19"/>
          <w:color w:val="auto"/>
        </w:rPr>
        <w:t xml:space="preserve">. If you have any questions about the information contained in this document or require assistance in completing your form of proxy or voting instruction form, please contact Algoma’s proxy solicitation agent, MacKenzie Partners, Inc., by email at by email at </w:t>
      </w:r>
      <w:r>
        <w:rPr>
          <w:rFonts w:ascii="Arial" w:cs="Arial" w:eastAsia="Arial" w:hAnsi="Arial"/>
          <w:sz w:val="19"/>
          <w:szCs w:val="19"/>
          <w:u w:val="single" w:color="auto"/>
          <w:color w:val="0000FF"/>
        </w:rPr>
        <w:t>proxy@mackenziepartners.com</w:t>
      </w:r>
      <w:r>
        <w:rPr>
          <w:rFonts w:ascii="Arial" w:cs="Arial" w:eastAsia="Arial" w:hAnsi="Arial"/>
          <w:sz w:val="19"/>
          <w:szCs w:val="19"/>
          <w:color w:val="auto"/>
        </w:rPr>
        <w:t xml:space="preserve"> or by telephone at (800) 322-2885 (toll free).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0680"/>
          </w:cols>
          <w:pgMar w:left="600" w:top="255" w:right="619" w:bottom="1440" w:gutter="0" w:footer="0" w:header="0"/>
        </w:sectPr>
      </w:pPr>
    </w:p>
    <w:bookmarkStart w:id="107" w:name="page108"/>
    <w:bookmarkEnd w:id="107"/>
    <w:p>
      <w:pPr>
        <w:spacing w:after="0"/>
        <w:rPr>
          <w:sz w:val="20"/>
          <w:szCs w:val="20"/>
          <w:color w:val="auto"/>
        </w:rPr>
      </w:pPr>
      <w:r>
        <w:rPr>
          <w:rFonts w:ascii="Arial" w:cs="Arial" w:eastAsia="Arial" w:hAnsi="Arial"/>
          <w:sz w:val="31"/>
          <w:szCs w:val="31"/>
          <w:b w:val="1"/>
          <w:bCs w:val="1"/>
          <w:color w:val="003445"/>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Approval of Directors</w:t>
      </w:r>
    </w:p>
    <w:p>
      <w:pPr>
        <w:spacing w:after="0" w:line="22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Information Circular has been sent to each member of the Board, each shareholder entitled to notice of the Meeting in the manner described in this Information Circular and to Deloitte, as the Company’s auditor. The contents and the sending of this Information Circular to the Shareholders have been approved by the Board of Directors.</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Dated: April 30, 2026</w:t>
      </w:r>
    </w:p>
    <w:p>
      <w:pPr>
        <w:spacing w:after="0" w:line="230" w:lineRule="exact"/>
        <w:rPr>
          <w:sz w:val="20"/>
          <w:szCs w:val="20"/>
          <w:color w:val="auto"/>
        </w:rPr>
      </w:pPr>
    </w:p>
    <w:p>
      <w:pPr>
        <w:ind w:left="6420"/>
        <w:spacing w:after="0"/>
        <w:rPr>
          <w:sz w:val="20"/>
          <w:szCs w:val="20"/>
          <w:color w:val="auto"/>
        </w:rPr>
      </w:pPr>
      <w:r>
        <w:rPr>
          <w:rFonts w:ascii="Arial" w:cs="Arial" w:eastAsia="Arial" w:hAnsi="Arial"/>
          <w:sz w:val="19"/>
          <w:szCs w:val="19"/>
          <w:b w:val="1"/>
          <w:bCs w:val="1"/>
          <w:color w:val="auto"/>
        </w:rPr>
        <w:t>BY ORDER OF THE BOARD OF DIRECTORS</w:t>
      </w:r>
    </w:p>
    <w:p>
      <w:pPr>
        <w:spacing w:after="0" w:line="205" w:lineRule="exact"/>
        <w:rPr>
          <w:sz w:val="20"/>
          <w:szCs w:val="20"/>
          <w:color w:val="auto"/>
        </w:rPr>
      </w:pPr>
    </w:p>
    <w:p>
      <w:pPr>
        <w:ind w:left="6420"/>
        <w:spacing w:after="0"/>
        <w:rPr>
          <w:sz w:val="20"/>
          <w:szCs w:val="20"/>
          <w:color w:val="auto"/>
        </w:rPr>
      </w:pPr>
      <w:r>
        <w:rPr>
          <w:rFonts w:ascii="Arial" w:cs="Arial" w:eastAsia="Arial" w:hAnsi="Arial"/>
          <w:sz w:val="19"/>
          <w:szCs w:val="19"/>
          <w:i w:val="1"/>
          <w:iCs w:val="1"/>
          <w:color w:val="auto"/>
        </w:rPr>
        <w:t>“Andy Harshaw”</w:t>
      </w:r>
    </w:p>
    <w:p>
      <w:pPr>
        <w:spacing w:after="0" w:line="197" w:lineRule="exact"/>
        <w:rPr>
          <w:sz w:val="20"/>
          <w:szCs w:val="20"/>
          <w:color w:val="auto"/>
        </w:rPr>
      </w:pPr>
    </w:p>
    <w:p>
      <w:pPr>
        <w:ind w:left="6420"/>
        <w:spacing w:after="0"/>
        <w:rPr>
          <w:sz w:val="20"/>
          <w:szCs w:val="20"/>
          <w:color w:val="auto"/>
        </w:rPr>
      </w:pPr>
      <w:r>
        <w:rPr>
          <w:rFonts w:ascii="Arial" w:cs="Arial" w:eastAsia="Arial" w:hAnsi="Arial"/>
          <w:sz w:val="19"/>
          <w:szCs w:val="19"/>
          <w:b w:val="1"/>
          <w:bCs w:val="1"/>
          <w:color w:val="auto"/>
        </w:rPr>
        <w:t>Chair of the Board of Directors</w:t>
      </w:r>
    </w:p>
    <w:p>
      <w:pPr>
        <w:spacing w:after="0" w:line="11" w:lineRule="exact"/>
        <w:rPr>
          <w:sz w:val="20"/>
          <w:szCs w:val="20"/>
          <w:color w:val="auto"/>
        </w:rPr>
      </w:pPr>
    </w:p>
    <w:p>
      <w:pPr>
        <w:ind w:left="6420"/>
        <w:spacing w:after="0"/>
        <w:rPr>
          <w:sz w:val="20"/>
          <w:szCs w:val="20"/>
          <w:color w:val="auto"/>
        </w:rPr>
      </w:pPr>
      <w:r>
        <w:rPr>
          <w:rFonts w:ascii="Arial" w:cs="Arial" w:eastAsia="Arial" w:hAnsi="Arial"/>
          <w:sz w:val="19"/>
          <w:szCs w:val="19"/>
          <w:color w:val="auto"/>
        </w:rPr>
        <w:t>Algoma Steel Group Inc.</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2026 MANAGEMENT INFORMATION CIRCULAR </w:t>
      </w:r>
      <w:r>
        <w:rPr>
          <w:rFonts w:ascii="Arial" w:cs="Arial" w:eastAsia="Arial" w:hAnsi="Arial"/>
          <w:sz w:val="14"/>
          <w:szCs w:val="14"/>
          <w:color w:val="auto"/>
        </w:rPr>
        <w:t>ALGOMA STEEL GROUP INC.</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0680"/>
          </w:cols>
          <w:pgMar w:left="600" w:top="255" w:right="619" w:bottom="1440" w:gutter="0" w:footer="0" w:header="0"/>
        </w:sectPr>
      </w:pPr>
    </w:p>
    <w:bookmarkStart w:id="108" w:name="page109"/>
    <w:bookmarkEnd w:id="108"/>
    <w:p>
      <w:pPr>
        <w:jc w:val="center"/>
        <w:ind w:right="-8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8675" cy="37465"/>
                    </a:xfrm>
                    <a:prstGeom prst="rect">
                      <a:avLst/>
                    </a:prstGeom>
                    <a:noFill/>
                  </pic:spPr>
                </pic:pic>
              </a:graphicData>
            </a:graphic>
          </wp:anchor>
        </w:drawing>
        <w:t>SCHEDULE A</w:t>
      </w:r>
    </w:p>
    <w:p>
      <w:pPr>
        <w:spacing w:after="0" w:line="8" w:lineRule="exact"/>
        <w:rPr>
          <w:sz w:val="20"/>
          <w:szCs w:val="20"/>
          <w:color w:val="auto"/>
        </w:rPr>
      </w:pPr>
    </w:p>
    <w:p>
      <w:pPr>
        <w:jc w:val="right"/>
        <w:ind w:right="2359"/>
        <w:spacing w:after="0"/>
        <w:rPr>
          <w:sz w:val="20"/>
          <w:szCs w:val="20"/>
          <w:color w:val="auto"/>
        </w:rPr>
      </w:pPr>
      <w:r>
        <w:rPr>
          <w:rFonts w:ascii="Arial" w:cs="Arial" w:eastAsia="Arial" w:hAnsi="Arial"/>
          <w:sz w:val="21"/>
          <w:szCs w:val="21"/>
          <w:b w:val="1"/>
          <w:bCs w:val="1"/>
          <w:color w:val="003445"/>
        </w:rPr>
        <w:t>MANDATE OF THE BOARD OF DIRECTORS</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attached.</w:t>
      </w:r>
    </w:p>
    <w:p>
      <w:pPr>
        <w:spacing w:after="0" w:line="133"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A-1</w:t>
      </w:r>
    </w:p>
    <w:p>
      <w:pPr>
        <w:sectPr>
          <w:pgSz w:w="11900" w:h="16838" w:orient="portrait"/>
          <w:cols w:equalWidth="0" w:num="1">
            <w:col w:w="9859"/>
          </w:cols>
          <w:pgMar w:left="600" w:top="260"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ALGOMA STEEL GROUP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MANDATE OF THE BOARD OF DIRECTORS</w:t>
      </w:r>
    </w:p>
    <w:p>
      <w:pPr>
        <w:spacing w:after="0" w:line="214" w:lineRule="exact"/>
        <w:rPr>
          <w:sz w:val="20"/>
          <w:szCs w:val="20"/>
          <w:color w:val="auto"/>
        </w:rPr>
      </w:pPr>
    </w:p>
    <w:p>
      <w:pPr>
        <w:ind w:left="520" w:hanging="520"/>
        <w:spacing w:after="0"/>
        <w:tabs>
          <w:tab w:leader="none" w:pos="520"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Purpose</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purpose of this Mandate is to set out the mandate and responsibilities of the board of directors (the “</w:t>
      </w:r>
      <w:r>
        <w:rPr>
          <w:rFonts w:ascii="Arial" w:cs="Arial" w:eastAsia="Arial" w:hAnsi="Arial"/>
          <w:sz w:val="19"/>
          <w:szCs w:val="19"/>
          <w:b w:val="1"/>
          <w:bCs w:val="1"/>
          <w:color w:val="auto"/>
        </w:rPr>
        <w:t>Board</w:t>
      </w:r>
      <w:r>
        <w:rPr>
          <w:rFonts w:ascii="Arial" w:cs="Arial" w:eastAsia="Arial" w:hAnsi="Arial"/>
          <w:sz w:val="19"/>
          <w:szCs w:val="19"/>
          <w:color w:val="auto"/>
        </w:rPr>
        <w:t>”) of Algoma Steel Group Inc. (the “</w:t>
      </w:r>
      <w:r>
        <w:rPr>
          <w:rFonts w:ascii="Arial" w:cs="Arial" w:eastAsia="Arial" w:hAnsi="Arial"/>
          <w:sz w:val="19"/>
          <w:szCs w:val="19"/>
          <w:b w:val="1"/>
          <w:bCs w:val="1"/>
          <w:color w:val="auto"/>
        </w:rPr>
        <w:t>Company</w:t>
      </w:r>
      <w:r>
        <w:rPr>
          <w:rFonts w:ascii="Arial" w:cs="Arial" w:eastAsia="Arial" w:hAnsi="Arial"/>
          <w:sz w:val="19"/>
          <w:szCs w:val="19"/>
          <w:color w:val="auto"/>
        </w:rPr>
        <w:t>”). By approving this Mandate, the Board confirms its responsibility for the stewardship of the Company and its affairs. This stewardship function includes responsibility for the matters set out in this Mandate. The responsibilities of the Board described herein are pursuant to, and subject to, the provisions of applicable statutes and the constating documents of the Company and do not impose any additional responsibilities or liabilities on the directors at law or otherwise.</w:t>
      </w:r>
    </w:p>
    <w:p>
      <w:pPr>
        <w:spacing w:after="0" w:line="193" w:lineRule="exact"/>
        <w:rPr>
          <w:sz w:val="20"/>
          <w:szCs w:val="20"/>
          <w:color w:val="auto"/>
        </w:rPr>
      </w:pPr>
    </w:p>
    <w:p>
      <w:pPr>
        <w:ind w:left="520" w:hanging="520"/>
        <w:spacing w:after="0"/>
        <w:tabs>
          <w:tab w:leader="none" w:pos="520"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Composition</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 xml:space="preserve">The Board shall be constituted with a majority of individuals who qualify as “independent” (as defined in National Instrument 58-101 – </w:t>
      </w:r>
      <w:r>
        <w:rPr>
          <w:rFonts w:ascii="Arial" w:cs="Arial" w:eastAsia="Arial" w:hAnsi="Arial"/>
          <w:sz w:val="19"/>
          <w:szCs w:val="19"/>
          <w:i w:val="1"/>
          <w:iCs w:val="1"/>
          <w:color w:val="auto"/>
        </w:rPr>
        <w:t>Disclosure of Corporate Governance Practices</w:t>
      </w:r>
      <w:r>
        <w:rPr>
          <w:rFonts w:ascii="Arial" w:cs="Arial" w:eastAsia="Arial" w:hAnsi="Arial"/>
          <w:sz w:val="19"/>
          <w:szCs w:val="19"/>
          <w:color w:val="auto"/>
        </w:rPr>
        <w:t xml:space="preserve"> (“</w:t>
      </w:r>
      <w:r>
        <w:rPr>
          <w:rFonts w:ascii="Arial" w:cs="Arial" w:eastAsia="Arial" w:hAnsi="Arial"/>
          <w:sz w:val="19"/>
          <w:szCs w:val="19"/>
          <w:b w:val="1"/>
          <w:bCs w:val="1"/>
          <w:color w:val="auto"/>
        </w:rPr>
        <w:t>NI 58-101</w:t>
      </w:r>
      <w:r>
        <w:rPr>
          <w:rFonts w:ascii="Arial" w:cs="Arial" w:eastAsia="Arial" w:hAnsi="Arial"/>
          <w:sz w:val="19"/>
          <w:szCs w:val="19"/>
          <w:color w:val="auto"/>
        </w:rPr>
        <w:t>”) and within the meaning of applicable Nasdaq Stock Market LLC and U.S. Securities and Exchange Commission rules), provided, however, that if at any time a majority of the directors are not independent because of the death, resignation, bankruptcy, adjudicated incompetence, removal or change in circumstance of any director who was an independent director, this requirement shall not be applicable for a period of 60 days thereafter, during which time the remaining directors shall appoint a sufficient number of directors who qualify as “independent” to comply with this requirement.</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Pursuant to applicable rules, an independent director is one who has no direct or indirect relationship with the Company that could, in the view of the Board, be reasonably expected to interfere with a director’s independent judgment.</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Board may elect an independent director to act as chair of the Board (the “</w:t>
      </w:r>
      <w:r>
        <w:rPr>
          <w:rFonts w:ascii="Arial" w:cs="Arial" w:eastAsia="Arial" w:hAnsi="Arial"/>
          <w:sz w:val="19"/>
          <w:szCs w:val="19"/>
          <w:b w:val="1"/>
          <w:bCs w:val="1"/>
          <w:color w:val="auto"/>
        </w:rPr>
        <w:t>Chair</w:t>
      </w:r>
      <w:r>
        <w:rPr>
          <w:rFonts w:ascii="Arial" w:cs="Arial" w:eastAsia="Arial" w:hAnsi="Arial"/>
          <w:sz w:val="19"/>
          <w:szCs w:val="19"/>
          <w:color w:val="auto"/>
        </w:rPr>
        <w:t>”). If the Chair is not an independent director, then the directors of the Board who are independent, shall elect an independent director to act as Lead Director of the Board (the “</w:t>
      </w:r>
      <w:r>
        <w:rPr>
          <w:rFonts w:ascii="Arial" w:cs="Arial" w:eastAsia="Arial" w:hAnsi="Arial"/>
          <w:sz w:val="19"/>
          <w:szCs w:val="19"/>
          <w:b w:val="1"/>
          <w:bCs w:val="1"/>
          <w:color w:val="auto"/>
        </w:rPr>
        <w:t>Lead Director</w:t>
      </w:r>
      <w:r>
        <w:rPr>
          <w:rFonts w:ascii="Arial" w:cs="Arial" w:eastAsia="Arial" w:hAnsi="Arial"/>
          <w:sz w:val="19"/>
          <w:szCs w:val="19"/>
          <w:color w:val="auto"/>
        </w:rPr>
        <w:t>”).</w:t>
      </w:r>
    </w:p>
    <w:p>
      <w:pPr>
        <w:spacing w:after="0" w:line="165" w:lineRule="exact"/>
        <w:rPr>
          <w:sz w:val="20"/>
          <w:szCs w:val="20"/>
          <w:color w:val="auto"/>
        </w:rPr>
      </w:pPr>
    </w:p>
    <w:p>
      <w:pPr>
        <w:ind w:left="520" w:hanging="520"/>
        <w:spacing w:after="0"/>
        <w:tabs>
          <w:tab w:leader="none" w:pos="520"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Responsibilities of the Board of Directors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Board is responsible for the stewardship and oversight of the Company and in that regard shall be specifically responsible for:</w:t>
      </w:r>
    </w:p>
    <w:p>
      <w:pPr>
        <w:spacing w:after="0" w:line="167" w:lineRule="exact"/>
        <w:rPr>
          <w:sz w:val="20"/>
          <w:szCs w:val="20"/>
          <w:color w:val="auto"/>
        </w:rPr>
      </w:pPr>
    </w:p>
    <w:p>
      <w:pPr>
        <w:ind w:left="1040" w:hanging="516"/>
        <w:spacing w:after="0"/>
        <w:tabs>
          <w:tab w:leader="none" w:pos="10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participating in the development of and approving a strategic plan for the Company;</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supervising the activities and managing the investments and affairs of the Company;</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approving major decisions regarding the Company;</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defining the roles and responsibilities of management;</w:t>
      </w:r>
    </w:p>
    <w:p>
      <w:pPr>
        <w:spacing w:after="0" w:line="226" w:lineRule="exact"/>
        <w:rPr>
          <w:rFonts w:ascii="Arial" w:cs="Arial" w:eastAsia="Arial" w:hAnsi="Arial"/>
          <w:sz w:val="19"/>
          <w:szCs w:val="19"/>
          <w:color w:val="auto"/>
        </w:rPr>
      </w:pPr>
    </w:p>
    <w:p>
      <w:pPr>
        <w:ind w:left="5200" w:right="1820" w:hanging="4676"/>
        <w:spacing w:after="0" w:line="427" w:lineRule="auto"/>
        <w:tabs>
          <w:tab w:leader="none" w:pos="1053"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reviewing and approving the business and investment objectives to be met by management; A-2</w:t>
      </w:r>
    </w:p>
    <w:p>
      <w:pPr>
        <w:sectPr>
          <w:pgSz w:w="11900" w:h="16838" w:orient="portrait"/>
          <w:cols w:equalWidth="0" w:num="1">
            <w:col w:w="10680"/>
          </w:cols>
          <w:pgMar w:left="600" w:top="265" w:right="619" w:bottom="1440" w:gutter="0" w:footer="0" w:header="0"/>
        </w:sectPr>
      </w:pPr>
    </w:p>
    <w:bookmarkStart w:id="110" w:name="page111"/>
    <w:bookmarkEnd w:id="110"/>
    <w:p>
      <w:pPr>
        <w:ind w:left="1040" w:hanging="516"/>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8675" cy="37465"/>
                    </a:xfrm>
                    <a:prstGeom prst="rect">
                      <a:avLst/>
                    </a:prstGeom>
                    <a:noFill/>
                  </pic:spPr>
                </pic:pic>
              </a:graphicData>
            </a:graphic>
          </wp:anchor>
        </w:drawing>
        <w:t>assessing the performance of and overseeing management;</w:t>
      </w:r>
    </w:p>
    <w:p>
      <w:pPr>
        <w:spacing w:after="0" w:line="226" w:lineRule="exact"/>
        <w:rPr>
          <w:rFonts w:ascii="Arial" w:cs="Arial" w:eastAsia="Arial" w:hAnsi="Arial"/>
          <w:sz w:val="19"/>
          <w:szCs w:val="19"/>
          <w:color w:val="auto"/>
        </w:rPr>
      </w:pPr>
    </w:p>
    <w:p>
      <w:pPr>
        <w:ind w:left="1040" w:hanging="516"/>
        <w:spacing w:after="0" w:line="268" w:lineRule="auto"/>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issuing securities of the Company for such consideration as the Board may deem appropriate, subject to applicable law;</w:t>
      </w:r>
    </w:p>
    <w:p>
      <w:pPr>
        <w:spacing w:after="0" w:line="166" w:lineRule="exact"/>
        <w:rPr>
          <w:rFonts w:ascii="Arial" w:cs="Arial" w:eastAsia="Arial" w:hAnsi="Arial"/>
          <w:sz w:val="19"/>
          <w:szCs w:val="19"/>
          <w:color w:val="auto"/>
        </w:rPr>
      </w:pPr>
    </w:p>
    <w:p>
      <w:pPr>
        <w:ind w:left="1040" w:hanging="516"/>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reviewing the Company’s debt strategy;</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identifying and managing risk exposure;</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ensuring the integrity and adequacy of the Company’s internal controls and management information systems;</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succession planning;</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establishing committees of the Board, where required or prudent, and defining their mandate;</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establishing and maintaining procedures and policies to ascertain director independence;</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maintaining records and providing reports to shareholders;</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ensuring effective and adequate communication with shareholders, other stakeholders and the public; and</w:t>
      </w:r>
    </w:p>
    <w:p>
      <w:pPr>
        <w:spacing w:after="0" w:line="226" w:lineRule="exact"/>
        <w:rPr>
          <w:rFonts w:ascii="Arial" w:cs="Arial" w:eastAsia="Arial" w:hAnsi="Arial"/>
          <w:sz w:val="19"/>
          <w:szCs w:val="19"/>
          <w:color w:val="auto"/>
        </w:rPr>
      </w:pPr>
    </w:p>
    <w:p>
      <w:pPr>
        <w:ind w:left="1040" w:hanging="516"/>
        <w:spacing w:after="0"/>
        <w:tabs>
          <w:tab w:leader="none" w:pos="10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determining the amount and timing of dividends to shareholders, if any.</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It is recognized that every director in exercising powers and discharging duties must act honestly and in good faith with a view to the best interest of the Company. Directors must exercise the care, diligence and skill that a reasonably prudent person would exercise in comparable circumstances. In this regard, they will comply with their duties of honesty, loyalty, care, diligence, skill and prudence.</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In addition, directors are expected to carry out their duties in accordance with policies and regulations adopted by the Board from time to time.</w:t>
      </w:r>
    </w:p>
    <w:p>
      <w:pPr>
        <w:spacing w:after="0" w:line="14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It is expected that management will co-operate in all ways to facilitate compliance by the Board with its legal duties by causing the Company and its subsidiaries to take such actions as may be necessary in that regard and by promptly reporting any data or information to the Board that may affect such compliance.</w:t>
      </w:r>
    </w:p>
    <w:p>
      <w:pPr>
        <w:spacing w:after="0" w:line="182" w:lineRule="exact"/>
        <w:rPr>
          <w:sz w:val="20"/>
          <w:szCs w:val="20"/>
          <w:color w:val="auto"/>
        </w:rPr>
      </w:pPr>
    </w:p>
    <w:p>
      <w:pPr>
        <w:ind w:left="520" w:hanging="520"/>
        <w:spacing w:after="0"/>
        <w:tabs>
          <w:tab w:leader="none" w:pos="520"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Expectations of Directors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Board has developed a number of specific expectations of directors to promote the discharge by the directors of their responsibilities and to promote the proper conduct of the Board.</w:t>
      </w:r>
    </w:p>
    <w:p>
      <w:pPr>
        <w:spacing w:after="0" w:line="167" w:lineRule="exact"/>
        <w:rPr>
          <w:sz w:val="20"/>
          <w:szCs w:val="20"/>
          <w:color w:val="auto"/>
        </w:rPr>
      </w:pPr>
    </w:p>
    <w:p>
      <w:pPr>
        <w:jc w:val="both"/>
        <w:ind w:left="1040" w:hanging="516"/>
        <w:spacing w:after="0" w:line="249" w:lineRule="auto"/>
        <w:tabs>
          <w:tab w:leader="none" w:pos="1040" w:val="left"/>
        </w:tabs>
        <w:numPr>
          <w:ilvl w:val="0"/>
          <w:numId w:val="76"/>
        </w:numPr>
        <w:rPr>
          <w:rFonts w:ascii="Arial" w:cs="Arial" w:eastAsia="Arial" w:hAnsi="Arial"/>
          <w:sz w:val="19"/>
          <w:szCs w:val="19"/>
          <w:color w:val="auto"/>
        </w:rPr>
      </w:pPr>
      <w:r>
        <w:rPr>
          <w:rFonts w:ascii="Arial" w:cs="Arial" w:eastAsia="Arial" w:hAnsi="Arial"/>
          <w:sz w:val="19"/>
          <w:szCs w:val="19"/>
          <w:b w:val="1"/>
          <w:bCs w:val="1"/>
          <w:i w:val="1"/>
          <w:iCs w:val="1"/>
          <w:color w:val="auto"/>
        </w:rPr>
        <w:t>Commitment and Attendance</w:t>
      </w:r>
      <w:r>
        <w:rPr>
          <w:rFonts w:ascii="Arial" w:cs="Arial" w:eastAsia="Arial" w:hAnsi="Arial"/>
          <w:sz w:val="19"/>
          <w:szCs w:val="19"/>
          <w:color w:val="auto"/>
        </w:rPr>
        <w:t>. All directors are expected to maintain a high attendance record at meetings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Board and the committees of which they are members. Attendance by telephone or video conference may be used to facilitate a director’s attendance.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A-3</w:t>
      </w:r>
    </w:p>
    <w:p>
      <w:pPr>
        <w:sectPr>
          <w:pgSz w:w="11900" w:h="16838" w:orient="portrait"/>
          <w:cols w:equalWidth="0" w:num="1">
            <w:col w:w="10680"/>
          </w:cols>
          <w:pgMar w:left="600" w:top="262" w:right="619" w:bottom="1440" w:gutter="0" w:footer="0" w:header="0"/>
        </w:sectPr>
      </w:pPr>
    </w:p>
    <w:bookmarkStart w:id="111" w:name="page112"/>
    <w:bookmarkEnd w:id="111"/>
    <w:p>
      <w:pPr>
        <w:jc w:val="both"/>
        <w:ind w:left="516" w:hanging="516"/>
        <w:spacing w:after="0" w:line="239" w:lineRule="auto"/>
        <w:tabs>
          <w:tab w:leader="none" w:pos="516"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8675" cy="37465"/>
                    </a:xfrm>
                    <a:prstGeom prst="rect">
                      <a:avLst/>
                    </a:prstGeom>
                    <a:noFill/>
                  </pic:spPr>
                </pic:pic>
              </a:graphicData>
            </a:graphic>
          </wp:anchor>
        </w:drawing>
        <w:t>Preparation for Meetings</w:t>
      </w:r>
      <w:r>
        <w:rPr>
          <w:rFonts w:ascii="Arial" w:cs="Arial" w:eastAsia="Arial" w:hAnsi="Arial"/>
          <w:sz w:val="19"/>
          <w:szCs w:val="19"/>
          <w:color w:val="auto"/>
        </w:rPr>
        <w:t>. All directors are expected to review the materials circulated in advance of meetings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Board and its committees and should arrive prepared to discuss the issues presented. Directors are encouraged to contact the Chair, and if one has been appointed and if appropriate, the Lead Director, the Chief Executive Officer and any other appropriate executive officer(s) of the Company to ask questions and discuss agenda items prior to meetings.</w:t>
      </w:r>
    </w:p>
    <w:p>
      <w:pPr>
        <w:spacing w:after="0" w:line="195" w:lineRule="exact"/>
        <w:rPr>
          <w:rFonts w:ascii="Arial" w:cs="Arial" w:eastAsia="Arial" w:hAnsi="Arial"/>
          <w:sz w:val="19"/>
          <w:szCs w:val="19"/>
          <w:color w:val="auto"/>
        </w:rPr>
      </w:pPr>
    </w:p>
    <w:p>
      <w:pPr>
        <w:jc w:val="both"/>
        <w:ind w:left="516" w:hanging="516"/>
        <w:spacing w:after="0" w:line="249" w:lineRule="auto"/>
        <w:tabs>
          <w:tab w:leader="none" w:pos="516"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t>Participation in Meetings</w:t>
      </w:r>
      <w:r>
        <w:rPr>
          <w:rFonts w:ascii="Arial" w:cs="Arial" w:eastAsia="Arial" w:hAnsi="Arial"/>
          <w:sz w:val="19"/>
          <w:szCs w:val="19"/>
          <w:color w:val="auto"/>
        </w:rPr>
        <w:t>. Each director is expected to be sufficiently knowledgeable of the business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including its financial statements, and the risks it faces, to ensure active and effective, and candid and forthright participation in the deliberations of the Board and of each committee on which he or she serves.</w:t>
      </w:r>
    </w:p>
    <w:p>
      <w:pPr>
        <w:spacing w:after="0" w:line="184" w:lineRule="exact"/>
        <w:rPr>
          <w:rFonts w:ascii="Arial" w:cs="Arial" w:eastAsia="Arial" w:hAnsi="Arial"/>
          <w:sz w:val="19"/>
          <w:szCs w:val="19"/>
          <w:color w:val="auto"/>
        </w:rPr>
      </w:pPr>
    </w:p>
    <w:p>
      <w:pPr>
        <w:jc w:val="both"/>
        <w:ind w:left="516" w:hanging="516"/>
        <w:spacing w:after="0" w:line="243" w:lineRule="auto"/>
        <w:tabs>
          <w:tab w:leader="none" w:pos="516"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t>Loyalty and Ethics</w:t>
      </w:r>
      <w:r>
        <w:rPr>
          <w:rFonts w:ascii="Arial" w:cs="Arial" w:eastAsia="Arial" w:hAnsi="Arial"/>
          <w:sz w:val="19"/>
          <w:szCs w:val="19"/>
          <w:color w:val="auto"/>
        </w:rPr>
        <w:t>. In their roles as directors, all members of the Board owe a duty of loyalty to the Company.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This duty of loyalty mandates that the best interests of the Company take precedence over any other interest possessed by a director. Directors are expected to conduct themselves in accordance with the Company’s Code of Business Conduct and Ethics.</w:t>
      </w:r>
    </w:p>
    <w:p>
      <w:pPr>
        <w:spacing w:after="0" w:line="189" w:lineRule="exact"/>
        <w:rPr>
          <w:rFonts w:ascii="Arial" w:cs="Arial" w:eastAsia="Arial" w:hAnsi="Arial"/>
          <w:sz w:val="19"/>
          <w:szCs w:val="19"/>
          <w:color w:val="auto"/>
        </w:rPr>
      </w:pPr>
    </w:p>
    <w:p>
      <w:pPr>
        <w:jc w:val="both"/>
        <w:ind w:left="516" w:hanging="516"/>
        <w:spacing w:after="0" w:line="235" w:lineRule="auto"/>
        <w:tabs>
          <w:tab w:leader="none" w:pos="516"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t>Other Board Memberships and Significant Activities</w:t>
      </w:r>
      <w:r>
        <w:rPr>
          <w:rFonts w:ascii="Arial" w:cs="Arial" w:eastAsia="Arial" w:hAnsi="Arial"/>
          <w:sz w:val="19"/>
          <w:szCs w:val="19"/>
          <w:color w:val="auto"/>
        </w:rPr>
        <w:t>. The Company values the experience directors bring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from other boards on which they serve and other activities in which they participate, but recognizes that those boards and activities also may present demands on a director’s time and availability and may present conflicts or legal issues, including independence issues. Each member of the Board should, when considering membership on another board or committee, make every effort to ensure that such membership will not impair the member’s time and availability for his or her commitment to the Company. Directors should advise the Chair and the Chief Executive Officer before accepting membership on other public company boards or any audit committee or other significant committee assignment on any other board, or establishing other significant relationships with businesses, institutions, governmental units or regulatory entities, particularly those that may result in significant time commitments or a change in the member’s relationship to the Company.</w:t>
      </w:r>
    </w:p>
    <w:p>
      <w:pPr>
        <w:spacing w:after="0" w:line="192" w:lineRule="exact"/>
        <w:rPr>
          <w:rFonts w:ascii="Arial" w:cs="Arial" w:eastAsia="Arial" w:hAnsi="Arial"/>
          <w:sz w:val="19"/>
          <w:szCs w:val="19"/>
          <w:color w:val="auto"/>
        </w:rPr>
      </w:pPr>
    </w:p>
    <w:p>
      <w:pPr>
        <w:jc w:val="both"/>
        <w:ind w:left="516" w:hanging="516"/>
        <w:spacing w:after="0"/>
        <w:tabs>
          <w:tab w:leader="none" w:pos="516"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t>Personal Conduct</w:t>
      </w:r>
      <w:r>
        <w:rPr>
          <w:rFonts w:ascii="Arial" w:cs="Arial" w:eastAsia="Arial" w:hAnsi="Arial"/>
          <w:sz w:val="19"/>
          <w:szCs w:val="19"/>
          <w:color w:val="auto"/>
        </w:rPr>
        <w:t>. Directors are expected to: (i) exhibit high standards of personal integrity, honesty and loyalty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the Company; (ii) project a positive image of the Company to news media, the financial community, governments and their agencies, shareholders and employees; (iii) be willing to contribute extra efforts, from time to time, as may be necessary including, among other things, being willing to serve on committees of the Board; and (iv) disclose any potential conflict of interest that may arise with the affairs or business of the Company and, generally, avoid entering into situations where such conflicts could arise or could reasonably be perceived to arise.</w:t>
      </w:r>
    </w:p>
    <w:p>
      <w:pPr>
        <w:spacing w:after="0" w:line="391" w:lineRule="exact"/>
        <w:rPr>
          <w:rFonts w:ascii="Arial" w:cs="Arial" w:eastAsia="Arial" w:hAnsi="Arial"/>
          <w:sz w:val="19"/>
          <w:szCs w:val="19"/>
          <w:color w:val="auto"/>
        </w:rPr>
      </w:pPr>
    </w:p>
    <w:p>
      <w:pPr>
        <w:jc w:val="both"/>
        <w:ind w:left="516" w:hanging="516"/>
        <w:spacing w:after="0" w:line="249" w:lineRule="auto"/>
        <w:tabs>
          <w:tab w:leader="none" w:pos="516" w:val="left"/>
        </w:tabs>
        <w:numPr>
          <w:ilvl w:val="0"/>
          <w:numId w:val="77"/>
        </w:numPr>
        <w:rPr>
          <w:rFonts w:ascii="Arial" w:cs="Arial" w:eastAsia="Arial" w:hAnsi="Arial"/>
          <w:sz w:val="19"/>
          <w:szCs w:val="19"/>
          <w:color w:val="auto"/>
        </w:rPr>
      </w:pPr>
      <w:r>
        <w:rPr>
          <w:rFonts w:ascii="Arial" w:cs="Arial" w:eastAsia="Arial" w:hAnsi="Arial"/>
          <w:sz w:val="19"/>
          <w:szCs w:val="19"/>
          <w:b w:val="1"/>
          <w:bCs w:val="1"/>
          <w:i w:val="1"/>
          <w:iCs w:val="1"/>
          <w:color w:val="auto"/>
        </w:rPr>
        <w:t>Confidentiality</w:t>
      </w:r>
      <w:r>
        <w:rPr>
          <w:rFonts w:ascii="Arial" w:cs="Arial" w:eastAsia="Arial" w:hAnsi="Arial"/>
          <w:sz w:val="19"/>
          <w:szCs w:val="19"/>
          <w:color w:val="auto"/>
        </w:rPr>
        <w:t>. The proceedings and deliberations of the Board and its committees are confidential.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member of the Board will maintain the confidentiality of information received in connection with his or her service as a director.</w:t>
      </w:r>
    </w:p>
    <w:p>
      <w:pPr>
        <w:spacing w:after="0" w:line="93" w:lineRule="exact"/>
        <w:rPr>
          <w:sz w:val="20"/>
          <w:szCs w:val="20"/>
          <w:color w:val="auto"/>
        </w:rPr>
      </w:pPr>
    </w:p>
    <w:p>
      <w:pPr>
        <w:ind w:left="4676"/>
        <w:spacing w:after="0"/>
        <w:rPr>
          <w:sz w:val="20"/>
          <w:szCs w:val="20"/>
          <w:color w:val="auto"/>
        </w:rPr>
      </w:pPr>
      <w:r>
        <w:rPr>
          <w:rFonts w:ascii="Arial" w:cs="Arial" w:eastAsia="Arial" w:hAnsi="Arial"/>
          <w:sz w:val="19"/>
          <w:szCs w:val="19"/>
          <w:color w:val="auto"/>
        </w:rPr>
        <w:t>A-4</w:t>
      </w:r>
    </w:p>
    <w:p>
      <w:pPr>
        <w:sectPr>
          <w:pgSz w:w="11900" w:h="16838" w:orient="portrait"/>
          <w:cols w:equalWidth="0" w:num="1">
            <w:col w:w="10156"/>
          </w:cols>
          <w:pgMar w:left="1124" w:top="262" w:right="619" w:bottom="1440" w:gutter="0" w:footer="0" w:header="0"/>
        </w:sectPr>
      </w:pPr>
    </w:p>
    <w:bookmarkStart w:id="112" w:name="page113"/>
    <w:bookmarkEnd w:id="112"/>
    <w:p>
      <w:pPr>
        <w:ind w:left="520" w:hanging="520"/>
        <w:spacing w:after="0"/>
        <w:tabs>
          <w:tab w:leader="none" w:pos="52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8675" cy="37465"/>
                    </a:xfrm>
                    <a:prstGeom prst="rect">
                      <a:avLst/>
                    </a:prstGeom>
                    <a:noFill/>
                  </pic:spPr>
                </pic:pic>
              </a:graphicData>
            </a:graphic>
          </wp:anchor>
        </w:drawing>
        <w:t>Meetings</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The Board will meet not less than four times per year: three meetings to review quarterly results and one meeting prior to the issuance of the annual financial results of the Company. The Board may meet periodically without management and any non-independent directors present to ensure that the Board functions independently of management. At each Board meeting, unless otherwise determined by the Board, an in-camera meeting of independent directors will take place, which session will be chaired by the Chair or, if the Chair is not independent within the meaning of NI 58-101 and one has been appointed, the Lead Director. In discharging its mandate, the Board and any committee of the Board will have the authority to retain and receive advice from outside financial, legal or other advisors (at the cost of the Company) as the Board or any such committee determines to be necessary to permit it to carry out its duties.</w:t>
      </w:r>
    </w:p>
    <w:p>
      <w:pPr>
        <w:spacing w:after="0" w:line="16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Board appreciates having certain members of senior management attend each Board meeting to provide information and opinion to assist the directors in their deliberations. Management attendees who are not Board members will be excused for any agenda items which are reserved for discussion among directors only.</w:t>
      </w:r>
    </w:p>
    <w:p>
      <w:pPr>
        <w:spacing w:after="0" w:line="182" w:lineRule="exact"/>
        <w:rPr>
          <w:sz w:val="20"/>
          <w:szCs w:val="20"/>
          <w:color w:val="auto"/>
        </w:rPr>
      </w:pPr>
    </w:p>
    <w:p>
      <w:pPr>
        <w:ind w:left="520" w:hanging="520"/>
        <w:spacing w:after="0"/>
        <w:tabs>
          <w:tab w:leader="none" w:pos="520"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Board Meeting Agendas and Information</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Chair, and if one has been appointed, the Lead Director, in consultation with management, will develop the agenda for each Board meeting. Agendas will be distributed to the directors before each meeting, and all directors shall be free to suggest additions to the agenda in advance of the meeting.</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Whenever practicable, information and reports pertaining to Board meeting agenda items will be circulated to the directors in advance of the meeting. Reports may be presented during the meeting by members of the Board, management and/or staff, or by invited outside advisors. It is recognized that under some circumstances, due to the confidential nature of matters to be discussed at a meeting, it will not be prudent or appropriate to distribute written materials in advance.</w:t>
      </w:r>
    </w:p>
    <w:p>
      <w:pPr>
        <w:spacing w:after="0" w:line="187" w:lineRule="exact"/>
        <w:rPr>
          <w:sz w:val="20"/>
          <w:szCs w:val="20"/>
          <w:color w:val="auto"/>
        </w:rPr>
      </w:pPr>
    </w:p>
    <w:p>
      <w:pPr>
        <w:ind w:left="520" w:hanging="520"/>
        <w:spacing w:after="0"/>
        <w:tabs>
          <w:tab w:leader="none" w:pos="520"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Measures for Receiving Shareholder Feedback</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All publicly disseminated materials of the Company shall provide for a mechanism for feedback of shareholders.</w:t>
      </w:r>
    </w:p>
    <w:p>
      <w:pPr>
        <w:spacing w:after="0" w:line="225" w:lineRule="exact"/>
        <w:rPr>
          <w:sz w:val="20"/>
          <w:szCs w:val="20"/>
          <w:color w:val="auto"/>
        </w:rPr>
      </w:pPr>
    </w:p>
    <w:p>
      <w:pPr>
        <w:ind w:left="520" w:hanging="520"/>
        <w:spacing w:after="0"/>
        <w:tabs>
          <w:tab w:leader="none" w:pos="52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Telephone and Electronic Board Meetings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 director may participate in a meeting of the directors or in a committee meeting by means of telephone, electronic or such other communications facilities as permit all persons participating in the meeting to communicate with each other and a director participating in such a meeting by such means is deemed to be present at the meeting.</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While it is the intent of the Board to follow an agreed meeting schedule as closely as possible, it is felt that, from time to time, with respect to time sensitive matters telephone board meetings may be required to be called in order for directors to be in a position to better fulfill their legal obligations. Alternatively, management may request the directors to approve certain matters by unanimous written consent.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A-5</w:t>
      </w:r>
    </w:p>
    <w:p>
      <w:pPr>
        <w:sectPr>
          <w:pgSz w:w="11900" w:h="16838" w:orient="portrait"/>
          <w:cols w:equalWidth="0" w:num="1">
            <w:col w:w="10680"/>
          </w:cols>
          <w:pgMar w:left="600" w:top="260" w:right="619" w:bottom="1440" w:gutter="0" w:footer="0" w:header="0"/>
        </w:sectPr>
      </w:pPr>
    </w:p>
    <w:bookmarkStart w:id="113" w:name="page114"/>
    <w:bookmarkEnd w:id="113"/>
    <w:p>
      <w:pPr>
        <w:ind w:left="520" w:hanging="520"/>
        <w:spacing w:after="0"/>
        <w:tabs>
          <w:tab w:leader="none" w:pos="520"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675" cy="37465"/>
                    </a:xfrm>
                    <a:prstGeom prst="rect">
                      <a:avLst/>
                    </a:prstGeom>
                    <a:noFill/>
                  </pic:spPr>
                </pic:pic>
              </a:graphicData>
            </a:graphic>
          </wp:anchor>
        </w:drawing>
        <w:t>Expectations of and Access to Management</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Management shall be required to report to the Board at the request of the Board on the performance of the Company, new and proposed initiatives, the Company’s business and investments, management concerns and any other matter the Board or its Chair may deem appropriate. In addition, the Board expects management to promptly report to the Chair or, if one has been appointed and if appropriate, the Lead Director, any significant developments, changes, transactions or proposals respecting the Company or its subsidiaries. All members of the Board should be free to contact management at any time to discuss any aspect of the Company’s business. Directors should use their judgement to ensure that any such contact is not disruptive to the operations of the Company. The Board expects that there will be frequent opportunities for members of the Board to meet with management in meetings of the Board and committees, or in other formal or informal settings.</w:t>
      </w:r>
    </w:p>
    <w:p>
      <w:pPr>
        <w:spacing w:after="0" w:line="192" w:lineRule="exact"/>
        <w:rPr>
          <w:sz w:val="20"/>
          <w:szCs w:val="20"/>
          <w:color w:val="auto"/>
        </w:rPr>
      </w:pPr>
    </w:p>
    <w:p>
      <w:pPr>
        <w:ind w:left="520" w:hanging="520"/>
        <w:spacing w:after="0"/>
        <w:tabs>
          <w:tab w:leader="none" w:pos="520" w:val="left"/>
        </w:tabs>
        <w:numPr>
          <w:ilvl w:val="0"/>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Access to Outside Advisors.</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Board may, in its sole discretion, retain and obtain the advice and assistance of such advisors as it deems necessary to fulfil its duties and responsibilities under this Mandate. The Board may set the compensation and oversee the work of such advisors to be paid by the Company.</w:t>
      </w:r>
    </w:p>
    <w:p>
      <w:pPr>
        <w:spacing w:after="0" w:line="182" w:lineRule="exact"/>
        <w:rPr>
          <w:sz w:val="20"/>
          <w:szCs w:val="20"/>
          <w:color w:val="auto"/>
        </w:rPr>
      </w:pPr>
    </w:p>
    <w:p>
      <w:pPr>
        <w:ind w:left="520" w:hanging="520"/>
        <w:spacing w:after="0"/>
        <w:tabs>
          <w:tab w:leader="none" w:pos="520"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Communications Policy</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The Board shall approve the content of the Company’s major communications to shareholders and the investing public including any annual report, management information circular, annual information form and any prospectuses which may be issued. The Audit &amp; Risk Management Committee shall review and recommend to the Board the approval of the quarterly and annual financial statements (including the management discussion and analysis) and press releases relating to financial matters. The Board also has responsibility for monitoring all of the Company’s external communications. However, the Board believes that it is generally the function of management to speak for the Company in its communications with the investment community, the media, customers, suppliers, employees, governments and the general public. The Board will appoint an independent, non-executive director to be available to shareholders with concerns should communications with management fail to resolve the issue or such contact is inappropriate.</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Board shall have responsibility for reviewing the Company’s policies and practices with respect to disclosure of financial and other information including insider reporting and trading. The Board shall approve and monitor the disclosure policies designed to assist the Company in meeting its objective of providing timely, consistent and credible dissemination of information, consistent with disclosure requirements under applicable securities law. The Board shall review the Company’s policies relating to communication and disclosure on an annual basis.</w:t>
      </w:r>
    </w:p>
    <w:p>
      <w:pPr>
        <w:spacing w:after="0" w:line="194" w:lineRule="exact"/>
        <w:rPr>
          <w:sz w:val="20"/>
          <w:szCs w:val="20"/>
          <w:color w:val="auto"/>
        </w:rPr>
      </w:pPr>
    </w:p>
    <w:p>
      <w:pPr>
        <w:ind w:left="520" w:hanging="520"/>
        <w:spacing w:after="0"/>
        <w:tabs>
          <w:tab w:leader="none" w:pos="52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Internal Control and Management Information Systems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Board has responsibility for the integrity of the Company’s internal control and management information systems. All material matters relating to the Company and its business require the prior approval of the Board, subject to the Board’s ability to delegate such matters to, among others, the Audit &amp; Risk Management Committee, HRCC, NGC and management. Management is authorized to act, without Board approval, on all ordinary course matters relating to the Company’s business subject to any management authority guidelines adopted by the Board.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A-6</w:t>
      </w:r>
    </w:p>
    <w:p>
      <w:pPr>
        <w:sectPr>
          <w:pgSz w:w="11900" w:h="16838" w:orient="portrait"/>
          <w:cols w:equalWidth="0" w:num="1">
            <w:col w:w="10680"/>
          </w:cols>
          <w:pgMar w:left="600" w:top="260" w:right="619" w:bottom="1440" w:gutter="0" w:footer="0" w:header="0"/>
        </w:sectPr>
      </w:pPr>
    </w:p>
    <w:bookmarkStart w:id="114" w:name="page115"/>
    <w:bookmarkEnd w:id="114"/>
    <w:p>
      <w:pPr>
        <w:jc w:val="both"/>
        <w:spacing w:after="0" w:line="24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8675" cy="37465"/>
                    </a:xfrm>
                    <a:prstGeom prst="rect">
                      <a:avLst/>
                    </a:prstGeom>
                    <a:noFill/>
                  </pic:spPr>
                </pic:pic>
              </a:graphicData>
            </a:graphic>
          </wp:anchor>
        </w:drawing>
        <w:t>The Audit &amp; Risk Management Committee has responsibility for ensuring internal financial controls are appropriately designed, implemented and monitored and for ensuring that management’s financial reporting is complete and accurate, even though management may be charged with developing and implementing the necessary procedures.</w:t>
      </w:r>
    </w:p>
    <w:p>
      <w:pPr>
        <w:spacing w:after="0" w:line="182" w:lineRule="exact"/>
        <w:rPr>
          <w:sz w:val="20"/>
          <w:szCs w:val="20"/>
          <w:color w:val="auto"/>
        </w:rPr>
      </w:pPr>
    </w:p>
    <w:p>
      <w:pPr>
        <w:ind w:left="520" w:hanging="520"/>
        <w:spacing w:after="0"/>
        <w:tabs>
          <w:tab w:leader="none" w:pos="520"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Delegation of Powers</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directors may establish one or more committees and may, subject to the Company’s articles, delegate to such committees any of the powers of the Board. The directors may also, subject to the Company’s articles, delegate powers to manage the business and affairs of the Company to such of the officers of the Company as they, in their sole and absolute discretion, may deem necessary or desirable to appoint, and define the scope of and manner in which such powers will be exercised by such persons as they may deem appropriate.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Board retains responsibility for oversight of any matters delegated to any director(s) or any committee of the Board, to management or to other persons.</w:t>
      </w:r>
    </w:p>
    <w:p>
      <w:pPr>
        <w:spacing w:after="0" w:line="165" w:lineRule="exact"/>
        <w:rPr>
          <w:sz w:val="20"/>
          <w:szCs w:val="20"/>
          <w:color w:val="auto"/>
        </w:rPr>
      </w:pPr>
    </w:p>
    <w:p>
      <w:pPr>
        <w:ind w:left="520" w:hanging="520"/>
        <w:spacing w:after="0"/>
        <w:tabs>
          <w:tab w:leader="none" w:pos="52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Board Effectiveness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The Board shall review and, if determined appropriate, approve the recommendations of the applicable committee of the Board, if any, concerning the adoption of written position descriptions for the Chair and, if one has been appointed, the Lead Director, and for the chair of each committee of the Board, and for the Chief Executive Officer, provided that in approving a position description for the Chief Executive Officer, the Board shall consider the input of the Chief Executive Officer and shall develop and approve corporate goals and objectives that the Chief Executive Officer is responsible for meeting (which may include goals and objectives relevant to the Chief Executive Officer’s compensation, as recommended by the applicable committee of the Board, if any).</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Board shall review and, if determined appropriate, adopt a process recommended by the applicable committee of the Board, if any, for reviewing the performance and effectiveness of the Board as a whole, the committees of the Board and the contributions of individual directors on an annual basis.</w:t>
      </w:r>
    </w:p>
    <w:p>
      <w:pPr>
        <w:spacing w:after="0" w:line="182" w:lineRule="exact"/>
        <w:rPr>
          <w:sz w:val="20"/>
          <w:szCs w:val="20"/>
          <w:color w:val="auto"/>
        </w:rPr>
      </w:pPr>
    </w:p>
    <w:p>
      <w:pPr>
        <w:ind w:left="520" w:hanging="520"/>
        <w:spacing w:after="0"/>
        <w:tabs>
          <w:tab w:leader="none" w:pos="520"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Education and Training</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Board will provide newly elected directors with an orientation program to educate them on the Company, their roles and responsibilities on the Board and its committees, the contribution that an individual director is expected to make, as well as the Company’s internal controls, financial reporting and accounting practices. In addition, directors will, from time to time, as required, receive: (a) training to increase their skills and abilities, as it relates to their duties and their responsibilities on the Board; and (b) continuing education about the Company to maintain a current understanding of the Company’s business, including its operations, internal controls, financial reporting and accounting practices.</w:t>
      </w:r>
    </w:p>
    <w:p>
      <w:pPr>
        <w:spacing w:after="0" w:line="191" w:lineRule="exact"/>
        <w:rPr>
          <w:sz w:val="20"/>
          <w:szCs w:val="20"/>
          <w:color w:val="auto"/>
        </w:rPr>
      </w:pPr>
    </w:p>
    <w:p>
      <w:pPr>
        <w:ind w:left="520" w:hanging="520"/>
        <w:spacing w:after="0"/>
        <w:tabs>
          <w:tab w:leader="none" w:pos="520"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No Rights Created</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This Mandate is a broad policy statement and is attended to be part of the Board’s flexible governance framework. While this Mandate should comply with all applicable law and the Company’s constating documents, this Mandate does not create any legally binding obligations on the Board, any of its committees, any director or the Company.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A-7</w:t>
      </w:r>
    </w:p>
    <w:p>
      <w:pPr>
        <w:sectPr>
          <w:pgSz w:w="11900" w:h="16838" w:orient="portrait"/>
          <w:cols w:equalWidth="0" w:num="1">
            <w:col w:w="10680"/>
          </w:cols>
          <w:pgMar w:left="600" w:top="262" w:right="619" w:bottom="1440" w:gutter="0" w:footer="0" w:header="0"/>
        </w:sectPr>
      </w:pPr>
    </w:p>
    <w:bookmarkStart w:id="115" w:name="page116"/>
    <w:bookmarkEnd w:id="115"/>
    <w:p>
      <w:pPr>
        <w:jc w:val="center"/>
        <w:spacing w:after="0" w:line="310" w:lineRule="auto"/>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37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8675" cy="37465"/>
                    </a:xfrm>
                    <a:prstGeom prst="rect">
                      <a:avLst/>
                    </a:prstGeom>
                    <a:noFill/>
                  </pic:spPr>
                </pic:pic>
              </a:graphicData>
            </a:graphic>
          </wp:anchor>
        </w:drawing>
        <w:t>For questions or more information with respect to the Annual General Meeting of Algoma Steel Group Inc., please contact our proxy solicitation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76835</wp:posOffset>
            </wp:positionV>
            <wp:extent cx="1546860" cy="4991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6860" cy="499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 Penn Plaza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New York, New York 10001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Call Toll-Free (800) 322-2885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xml:space="preserve">Email: </w:t>
      </w:r>
      <w:r>
        <w:rPr>
          <w:rFonts w:ascii="Arial" w:cs="Arial" w:eastAsia="Arial" w:hAnsi="Arial"/>
          <w:sz w:val="21"/>
          <w:szCs w:val="21"/>
          <w:b w:val="1"/>
          <w:bCs w:val="1"/>
          <w:u w:val="single" w:color="auto"/>
          <w:color w:val="0000FF"/>
        </w:rPr>
        <w:t>proxy@mackenziepartners.com</w:t>
      </w:r>
    </w:p>
    <w:p>
      <w:pPr>
        <w:sectPr>
          <w:pgSz w:w="11900" w:h="16838" w:orient="portrait"/>
          <w:cols w:equalWidth="0" w:num="1">
            <w:col w:w="10400"/>
          </w:cols>
          <w:pgMar w:left="740" w:top="252" w:right="759" w:bottom="1440" w:gutter="0" w:footer="0" w:header="0"/>
        </w:sectPr>
      </w:pPr>
    </w:p>
    <w:bookmarkStart w:id="116" w:name="page117"/>
    <w:bookmarkEnd w:id="116"/>
    <w:p>
      <w:pPr>
        <w:ind w:left="888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161925</wp:posOffset>
            </wp:positionV>
            <wp:extent cx="5780405" cy="7486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80405" cy="7486015"/>
                    </a:xfrm>
                    <a:prstGeom prst="rect">
                      <a:avLst/>
                    </a:prstGeom>
                    <a:noFill/>
                  </pic:spPr>
                </pic:pic>
              </a:graphicData>
            </a:graphic>
          </wp:anchor>
        </w:drawing>
      </w:r>
    </w:p>
    <w:p>
      <w:pPr>
        <w:sectPr>
          <w:pgSz w:w="11900" w:h="16838" w:orient="portrait"/>
          <w:cols w:equalWidth="0" w:num="1">
            <w:col w:w="9840"/>
          </w:cols>
          <w:pgMar w:left="1440" w:top="121" w:right="619" w:bottom="1440" w:gutter="0" w:footer="0" w:header="0"/>
        </w:sectPr>
      </w:pPr>
    </w:p>
    <w:bookmarkStart w:id="117" w:name="page118"/>
    <w:bookmarkEnd w:id="1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675" cy="75774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8675" cy="75774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E4CCAF"/>
    <w:multiLevelType w:val="hybridMultilevel"/>
    <w:lvl w:ilvl="0">
      <w:lvlJc w:val="left"/>
      <w:lvlText w:val="%1."/>
      <w:numFmt w:val="decimal"/>
      <w:start w:val="1"/>
    </w:lvl>
  </w:abstractNum>
  <w:abstractNum w:abstractNumId="1">
    <w:nsid w:val="7A6D8D3C"/>
    <w:multiLevelType w:val="hybridMultilevel"/>
    <w:lvl w:ilvl="0">
      <w:lvlJc w:val="left"/>
      <w:lvlText w:val="%1."/>
      <w:numFmt w:val="decimal"/>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decimal"/>
      <w:start w:val="8"/>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decimal"/>
      <w:start w:val="1"/>
    </w:lvl>
  </w:abstractNum>
  <w:abstractNum w:abstractNumId="7">
    <w:nsid w:val="32FFF902"/>
    <w:multiLevelType w:val="hybridMultilevel"/>
    <w:lvl w:ilvl="0">
      <w:lvlJc w:val="left"/>
      <w:lvlText w:val="%1."/>
      <w:numFmt w:val="decimal"/>
      <w:start w:val="2"/>
    </w:lvl>
  </w:abstractNum>
  <w:abstractNum w:abstractNumId="8">
    <w:nsid w:val="684A481A"/>
    <w:multiLevelType w:val="hybridMultilevel"/>
    <w:lvl w:ilvl="0">
      <w:lvlJc w:val="left"/>
      <w:lvlText w:val=" "/>
      <w:numFmt w:val="bullet"/>
      <w:start w:val="1"/>
    </w:lvl>
  </w:abstractNum>
  <w:abstractNum w:abstractNumId="9">
    <w:nsid w:val="579478FE"/>
    <w:multiLevelType w:val="hybridMultilevel"/>
    <w:lvl w:ilvl="0">
      <w:lvlJc w:val="left"/>
      <w:lvlText w:val="(%1)"/>
      <w:numFmt w:val="lowerLetter"/>
      <w:start w:val="1"/>
    </w:lvl>
  </w:abstractNum>
  <w:abstractNum w:abstractNumId="10">
    <w:nsid w:val="749ABB43"/>
    <w:multiLevelType w:val="hybridMultilevel"/>
    <w:lvl w:ilvl="0">
      <w:lvlJc w:val="left"/>
      <w:lvlText w:val="%1."/>
      <w:numFmt w:val="decimal"/>
      <w:start w:val="3"/>
    </w:lvl>
  </w:abstractNum>
  <w:abstractNum w:abstractNumId="11">
    <w:nsid w:val="3DC240FB"/>
    <w:multiLevelType w:val="hybridMultilevel"/>
    <w:lvl w:ilvl="0">
      <w:lvlJc w:val="left"/>
      <w:lvlText w:val="%1."/>
      <w:numFmt w:val="decimal"/>
      <w:start w:val="4"/>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1)"/>
      <w:numFmt w:val="decimal"/>
      <w:start w:val="1"/>
    </w:lvl>
  </w:abstractNum>
  <w:abstractNum w:abstractNumId="23">
    <w:nsid w:val="39386575"/>
    <w:multiLevelType w:val="hybridMultilevel"/>
    <w:lvl w:ilvl="0">
      <w:lvlJc w:val="left"/>
      <w:lvlText w:val="(%1)"/>
      <w:numFmt w:val="decimal"/>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2"/>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decimal"/>
      <w:start w:val="3"/>
    </w:lvl>
  </w:abstractNum>
  <w:abstractNum w:abstractNumId="31">
    <w:nsid w:val="D34B6A8"/>
    <w:multiLevelType w:val="hybridMultilevel"/>
    <w:lvl w:ilvl="0">
      <w:lvlJc w:val="left"/>
      <w:lvlText w:val="(%1)"/>
      <w:numFmt w:val="decimal"/>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lowerLetter"/>
      <w:start w:val="3"/>
    </w:lvl>
  </w:abstractNum>
  <w:abstractNum w:abstractNumId="36">
    <w:nsid w:val="77AE35EB"/>
    <w:multiLevelType w:val="hybridMultilevel"/>
    <w:lvl w:ilvl="0">
      <w:lvlJc w:val="left"/>
      <w:lvlText w:val="(%1)"/>
      <w:numFmt w:val="lowerLetter"/>
      <w:start w:val="2"/>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lowerLetter"/>
      <w:start w:val="1"/>
    </w:lvl>
  </w:abstractNum>
  <w:abstractNum w:abstractNumId="39">
    <w:nsid w:val="5FF87E05"/>
    <w:multiLevelType w:val="hybridMultilevel"/>
    <w:lvl w:ilvl="0">
      <w:lvlJc w:val="left"/>
      <w:lvlText w:val="(%1)"/>
      <w:numFmt w:val="lowerLetter"/>
      <w:start w:val="1"/>
    </w:lvl>
  </w:abstractNum>
  <w:abstractNum w:abstractNumId="40">
    <w:nsid w:val="2F305DEF"/>
    <w:multiLevelType w:val="hybridMultilevel"/>
    <w:lvl w:ilvl="0">
      <w:lvlJc w:val="left"/>
      <w:lvlText w:val="(%1)"/>
      <w:numFmt w:val="lowerRoman"/>
      <w:start w:val="1"/>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1"/>
    </w:lvl>
    <w:lvl w:ilvl="1">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1"/>
    </w:lvl>
  </w:abstractNum>
  <w:abstractNum w:abstractNumId="49">
    <w:nsid w:val="15014ACB"/>
    <w:multiLevelType w:val="hybridMultilevel"/>
    <w:lvl w:ilvl="0">
      <w:lvlJc w:val="left"/>
      <w:lvlText w:val="(%1)"/>
      <w:numFmt w:val="decimal"/>
      <w:start w:val="9"/>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1)"/>
      <w:numFmt w:val="lowerRoman"/>
      <w:start w:val="12"/>
    </w:lvl>
  </w:abstractNum>
  <w:abstractNum w:abstractNumId="55">
    <w:nsid w:val="168E121F"/>
    <w:multiLevelType w:val="hybridMultilevel"/>
    <w:lvl w:ilvl="0">
      <w:lvlJc w:val="left"/>
      <w:lvlText w:val="(%1)"/>
      <w:numFmt w:val="lowerRoman"/>
      <w:start w:val="16"/>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
      <w:numFmt w:val="bullet"/>
      <w:start w:val="1"/>
    </w:lvl>
  </w:abstractNum>
  <w:abstractNum w:abstractNumId="61">
    <w:nsid w:val="51D9C564"/>
    <w:multiLevelType w:val="hybridMultilevel"/>
    <w:lvl w:ilvl="0">
      <w:lvlJc w:val="left"/>
      <w:lvlText w:val="•"/>
      <w:numFmt w:val="bullet"/>
      <w:start w:val="1"/>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1)"/>
      <w:numFmt w:val="lowerLetter"/>
      <w:start w:val="1"/>
    </w:lvl>
    <w:lvl w:ilvl="1">
      <w:lvlJc w:val="left"/>
      <w:lvlText w:val="(%2)"/>
      <w:numFmt w:val="lowerRoman"/>
      <w:start w:val="1"/>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2"/>
    </w:lvl>
  </w:abstractNum>
  <w:abstractNum w:abstractNumId="71">
    <w:nsid w:val="4962813B"/>
    <w:multiLevelType w:val="hybridMultilevel"/>
    <w:lvl w:ilvl="0">
      <w:lvlJc w:val="left"/>
      <w:lvlText w:val="%1."/>
      <w:numFmt w:val="decimal"/>
      <w:start w:val="3"/>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Letter"/>
      <w:start w:val="6"/>
    </w:lvl>
  </w:abstractNum>
  <w:abstractNum w:abstractNumId="74">
    <w:nsid w:val="14330624"/>
    <w:multiLevelType w:val="hybridMultilevel"/>
    <w:lvl w:ilvl="0">
      <w:lvlJc w:val="left"/>
      <w:lvlText w:val="%1."/>
      <w:numFmt w:val="decimal"/>
      <w:start w:val="4"/>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2"/>
    </w:lvl>
  </w:abstractNum>
  <w:abstractNum w:abstractNumId="77">
    <w:nsid w:val="71EA1109"/>
    <w:multiLevelType w:val="hybridMultilevel"/>
    <w:lvl w:ilvl="0">
      <w:lvlJc w:val="left"/>
      <w:lvlText w:val="%1."/>
      <w:numFmt w:val="decimal"/>
      <w:start w:val="5"/>
    </w:lvl>
  </w:abstractNum>
  <w:abstractNum w:abstractNumId="78">
    <w:nsid w:val="100F59DC"/>
    <w:multiLevelType w:val="hybridMultilevel"/>
    <w:lvl w:ilvl="0">
      <w:lvlJc w:val="left"/>
      <w:lvlText w:val="%1."/>
      <w:numFmt w:val="decimal"/>
      <w:start w:val="6"/>
    </w:lvl>
  </w:abstractNum>
  <w:abstractNum w:abstractNumId="79">
    <w:nsid w:val="7FB7E0AA"/>
    <w:multiLevelType w:val="hybridMultilevel"/>
    <w:lvl w:ilvl="0">
      <w:lvlJc w:val="left"/>
      <w:lvlText w:val="%1."/>
      <w:numFmt w:val="decimal"/>
      <w:start w:val="7"/>
    </w:lvl>
  </w:abstractNum>
  <w:abstractNum w:abstractNumId="80">
    <w:nsid w:val="6EB5BD4"/>
    <w:multiLevelType w:val="hybridMultilevel"/>
    <w:lvl w:ilvl="0">
      <w:lvlJc w:val="left"/>
      <w:lvlText w:val="%1."/>
      <w:numFmt w:val="decimal"/>
      <w:start w:val="8"/>
    </w:lvl>
  </w:abstractNum>
  <w:abstractNum w:abstractNumId="81">
    <w:nsid w:val="6F6DD9AC"/>
    <w:multiLevelType w:val="hybridMultilevel"/>
    <w:lvl w:ilvl="0">
      <w:lvlJc w:val="left"/>
      <w:lvlText w:val="%1."/>
      <w:numFmt w:val="decimal"/>
      <w:start w:val="9"/>
    </w:lvl>
  </w:abstractNum>
  <w:abstractNum w:abstractNumId="82">
    <w:nsid w:val="94211F2"/>
    <w:multiLevelType w:val="hybridMultilevel"/>
    <w:lvl w:ilvl="0">
      <w:lvlJc w:val="left"/>
      <w:lvlText w:val="%1."/>
      <w:numFmt w:val="decimal"/>
      <w:start w:val="10"/>
    </w:lvl>
  </w:abstractNum>
  <w:abstractNum w:abstractNumId="83">
    <w:nsid w:val="885E1B"/>
    <w:multiLevelType w:val="hybridMultilevel"/>
    <w:lvl w:ilvl="0">
      <w:lvlJc w:val="left"/>
      <w:lvlText w:val="%1."/>
      <w:numFmt w:val="decimal"/>
      <w:start w:val="11"/>
    </w:lvl>
  </w:abstractNum>
  <w:abstractNum w:abstractNumId="84">
    <w:nsid w:val="76272110"/>
    <w:multiLevelType w:val="hybridMultilevel"/>
    <w:lvl w:ilvl="0">
      <w:lvlJc w:val="left"/>
      <w:lvlText w:val="%1."/>
      <w:numFmt w:val="decimal"/>
      <w:start w:val="12"/>
    </w:lvl>
  </w:abstractNum>
  <w:abstractNum w:abstractNumId="85">
    <w:nsid w:val="4C04A8AF"/>
    <w:multiLevelType w:val="hybridMultilevel"/>
    <w:lvl w:ilvl="0">
      <w:lvlJc w:val="left"/>
      <w:lvlText w:val="%1."/>
      <w:numFmt w:val="decimal"/>
      <w:start w:val="13"/>
    </w:lvl>
  </w:abstractNum>
  <w:abstractNum w:abstractNumId="86">
    <w:nsid w:val="1716703B"/>
    <w:multiLevelType w:val="hybridMultilevel"/>
    <w:lvl w:ilvl="0">
      <w:lvlJc w:val="left"/>
      <w:lvlText w:val="%1."/>
      <w:numFmt w:val="decimal"/>
      <w:start w:val="14"/>
    </w:lvl>
  </w:abstractNum>
  <w:abstractNum w:abstractNumId="87">
    <w:nsid w:val="14E17E33"/>
    <w:multiLevelType w:val="hybridMultilevel"/>
    <w:lvl w:ilvl="0">
      <w:lvlJc w:val="left"/>
      <w:lvlText w:val="%1."/>
      <w:numFmt w:val="decimal"/>
      <w:start w:val="15"/>
    </w:lvl>
  </w:abstractNum>
  <w:abstractNum w:abstractNumId="88">
    <w:nsid w:val="3222E7CD"/>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2026-05-22T08:03:22Z</dcterms:created>
  <dcterms:modified xsi:type="dcterms:W3CDTF">2026-05-22T08:03:22Z</dcterms:modified>
</cp:coreProperties>
</file>